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A3739" w14:textId="77777777" w:rsidR="00466B5B" w:rsidRDefault="00466B5B" w:rsidP="00466B5B">
      <w:pPr>
        <w:tabs>
          <w:tab w:val="left" w:pos="2486"/>
          <w:tab w:val="center" w:pos="4680"/>
        </w:tabs>
        <w:spacing w:line="480" w:lineRule="auto"/>
      </w:pPr>
    </w:p>
    <w:p w14:paraId="2D056E02" w14:textId="77777777" w:rsidR="00466B5B" w:rsidRDefault="00466B5B" w:rsidP="00466B5B">
      <w:pPr>
        <w:tabs>
          <w:tab w:val="left" w:pos="2486"/>
          <w:tab w:val="center" w:pos="4680"/>
        </w:tabs>
        <w:spacing w:line="480" w:lineRule="auto"/>
      </w:pPr>
    </w:p>
    <w:p w14:paraId="2E5104F5" w14:textId="689EAAF2" w:rsidR="004E38FF" w:rsidRPr="00466B5B" w:rsidRDefault="004E38FF" w:rsidP="004E38FF">
      <w:pPr>
        <w:spacing w:line="480" w:lineRule="auto"/>
        <w:jc w:val="center"/>
        <w:rPr>
          <w:rFonts w:ascii="Times New Roman" w:hAnsi="Times New Roman" w:cs="Times New Roman"/>
        </w:rPr>
      </w:pPr>
      <w:r w:rsidRPr="00466B5B">
        <w:rPr>
          <w:rFonts w:ascii="Times New Roman" w:hAnsi="Times New Roman" w:cs="Times New Roman"/>
        </w:rPr>
        <w:t xml:space="preserve">The </w:t>
      </w:r>
      <w:r w:rsidR="00312511">
        <w:rPr>
          <w:rFonts w:ascii="Times New Roman" w:hAnsi="Times New Roman" w:cs="Times New Roman"/>
        </w:rPr>
        <w:t xml:space="preserve">Evolution </w:t>
      </w:r>
      <w:r>
        <w:rPr>
          <w:rFonts w:ascii="Times New Roman" w:hAnsi="Times New Roman" w:cs="Times New Roman"/>
        </w:rPr>
        <w:t xml:space="preserve">of Defining </w:t>
      </w:r>
      <w:r w:rsidRPr="00466B5B">
        <w:rPr>
          <w:rFonts w:ascii="Times New Roman" w:hAnsi="Times New Roman" w:cs="Times New Roman"/>
        </w:rPr>
        <w:t>Rape in</w:t>
      </w:r>
      <w:r>
        <w:rPr>
          <w:rFonts w:ascii="Times New Roman" w:hAnsi="Times New Roman" w:cs="Times New Roman"/>
        </w:rPr>
        <w:t xml:space="preserve"> the United States</w:t>
      </w:r>
      <w:r w:rsidRPr="00466B5B">
        <w:rPr>
          <w:rFonts w:ascii="Times New Roman" w:hAnsi="Times New Roman" w:cs="Times New Roman"/>
        </w:rPr>
        <w:t xml:space="preserve"> </w:t>
      </w:r>
    </w:p>
    <w:p w14:paraId="445A1692" w14:textId="77777777" w:rsidR="00466B5B" w:rsidRDefault="00466B5B" w:rsidP="00466B5B">
      <w:pPr>
        <w:tabs>
          <w:tab w:val="left" w:pos="2486"/>
          <w:tab w:val="center" w:pos="4680"/>
        </w:tabs>
        <w:spacing w:line="480" w:lineRule="auto"/>
      </w:pPr>
    </w:p>
    <w:p w14:paraId="4F20C2B1" w14:textId="77777777" w:rsidR="00466B5B" w:rsidRDefault="00466B5B" w:rsidP="00466B5B">
      <w:pPr>
        <w:tabs>
          <w:tab w:val="left" w:pos="2486"/>
          <w:tab w:val="center" w:pos="4680"/>
        </w:tabs>
        <w:spacing w:line="480" w:lineRule="auto"/>
      </w:pPr>
    </w:p>
    <w:p w14:paraId="36D9F078" w14:textId="77777777" w:rsidR="00466B5B" w:rsidRDefault="00466B5B" w:rsidP="00466B5B">
      <w:pPr>
        <w:tabs>
          <w:tab w:val="left" w:pos="2486"/>
          <w:tab w:val="center" w:pos="4680"/>
        </w:tabs>
        <w:spacing w:line="480" w:lineRule="auto"/>
      </w:pPr>
    </w:p>
    <w:p w14:paraId="61EB0236" w14:textId="77777777" w:rsidR="00466B5B" w:rsidRDefault="00466B5B" w:rsidP="00466B5B">
      <w:pPr>
        <w:tabs>
          <w:tab w:val="left" w:pos="2486"/>
          <w:tab w:val="center" w:pos="4680"/>
        </w:tabs>
        <w:spacing w:line="480" w:lineRule="auto"/>
      </w:pPr>
    </w:p>
    <w:p w14:paraId="0FC0AA8F" w14:textId="77777777" w:rsidR="00466B5B" w:rsidRDefault="00466B5B" w:rsidP="00466B5B">
      <w:pPr>
        <w:tabs>
          <w:tab w:val="left" w:pos="2486"/>
          <w:tab w:val="center" w:pos="4680"/>
        </w:tabs>
        <w:spacing w:line="480" w:lineRule="auto"/>
      </w:pPr>
    </w:p>
    <w:p w14:paraId="6D5BFABA" w14:textId="77777777" w:rsidR="00466B5B" w:rsidRDefault="00466B5B" w:rsidP="00466B5B">
      <w:pPr>
        <w:tabs>
          <w:tab w:val="left" w:pos="2486"/>
          <w:tab w:val="center" w:pos="4680"/>
        </w:tabs>
        <w:spacing w:line="480" w:lineRule="auto"/>
      </w:pPr>
    </w:p>
    <w:p w14:paraId="7CAE960C" w14:textId="77777777" w:rsidR="00466B5B" w:rsidRDefault="00466B5B" w:rsidP="00466B5B">
      <w:pPr>
        <w:tabs>
          <w:tab w:val="left" w:pos="2486"/>
          <w:tab w:val="center" w:pos="4680"/>
        </w:tabs>
        <w:spacing w:line="480" w:lineRule="auto"/>
      </w:pPr>
    </w:p>
    <w:p w14:paraId="7C367CA7" w14:textId="60D40B27" w:rsidR="004E38FF" w:rsidRDefault="00466B5B" w:rsidP="004E38FF">
      <w:pPr>
        <w:spacing w:line="480" w:lineRule="auto"/>
        <w:jc w:val="center"/>
        <w:rPr>
          <w:rFonts w:ascii="Times New Roman" w:hAnsi="Times New Roman" w:cs="Times New Roman"/>
        </w:rPr>
      </w:pPr>
      <w:r w:rsidRPr="00466B5B">
        <w:rPr>
          <w:rFonts w:ascii="Times New Roman" w:hAnsi="Times New Roman" w:cs="Times New Roman"/>
        </w:rPr>
        <w:t>Sophia Rhoades</w:t>
      </w:r>
    </w:p>
    <w:p w14:paraId="613EEDD7" w14:textId="77777777" w:rsidR="004E38FF" w:rsidRDefault="004E38FF" w:rsidP="004E38FF">
      <w:pPr>
        <w:spacing w:line="480" w:lineRule="auto"/>
        <w:jc w:val="center"/>
        <w:rPr>
          <w:rFonts w:ascii="Times New Roman" w:hAnsi="Times New Roman" w:cs="Times New Roman"/>
        </w:rPr>
      </w:pPr>
      <w:r>
        <w:rPr>
          <w:rFonts w:ascii="Times New Roman" w:hAnsi="Times New Roman" w:cs="Times New Roman"/>
        </w:rPr>
        <w:t>Chancellor’s Honors Program Thesis</w:t>
      </w:r>
    </w:p>
    <w:p w14:paraId="38A8C335" w14:textId="3EE7E4BD" w:rsidR="00466B5B" w:rsidRPr="00466B5B" w:rsidRDefault="00466B5B" w:rsidP="004E38FF">
      <w:pPr>
        <w:spacing w:line="480" w:lineRule="auto"/>
        <w:jc w:val="center"/>
        <w:rPr>
          <w:rFonts w:ascii="Times New Roman" w:hAnsi="Times New Roman" w:cs="Times New Roman"/>
        </w:rPr>
      </w:pPr>
      <w:r>
        <w:rPr>
          <w:rFonts w:ascii="Times New Roman" w:hAnsi="Times New Roman" w:cs="Times New Roman"/>
        </w:rPr>
        <w:t>December 11</w:t>
      </w:r>
      <w:r w:rsidRPr="00466B5B">
        <w:rPr>
          <w:rFonts w:ascii="Times New Roman" w:hAnsi="Times New Roman" w:cs="Times New Roman"/>
        </w:rPr>
        <w:t>, 20</w:t>
      </w:r>
      <w:r>
        <w:rPr>
          <w:rFonts w:ascii="Times New Roman" w:hAnsi="Times New Roman" w:cs="Times New Roman"/>
        </w:rPr>
        <w:t>20</w:t>
      </w:r>
    </w:p>
    <w:p w14:paraId="3D558EE9" w14:textId="77777777" w:rsidR="00466B5B" w:rsidRPr="00466B5B" w:rsidRDefault="00466B5B" w:rsidP="00466B5B">
      <w:pPr>
        <w:tabs>
          <w:tab w:val="left" w:pos="2486"/>
          <w:tab w:val="center" w:pos="4680"/>
        </w:tabs>
        <w:spacing w:line="480" w:lineRule="auto"/>
        <w:rPr>
          <w:rFonts w:ascii="Times New Roman" w:hAnsi="Times New Roman" w:cs="Times New Roman"/>
        </w:rPr>
      </w:pPr>
    </w:p>
    <w:p w14:paraId="16586580" w14:textId="77777777" w:rsidR="00466B5B" w:rsidRPr="00466B5B" w:rsidRDefault="00466B5B" w:rsidP="00466B5B">
      <w:pPr>
        <w:spacing w:line="480" w:lineRule="auto"/>
        <w:rPr>
          <w:rFonts w:ascii="Times New Roman" w:hAnsi="Times New Roman" w:cs="Times New Roman"/>
        </w:rPr>
      </w:pPr>
      <w:r w:rsidRPr="00466B5B">
        <w:rPr>
          <w:rFonts w:ascii="Times New Roman" w:hAnsi="Times New Roman" w:cs="Times New Roman"/>
        </w:rPr>
        <w:tab/>
      </w:r>
    </w:p>
    <w:p w14:paraId="583AA5B5" w14:textId="77777777" w:rsidR="00466B5B" w:rsidRDefault="00466B5B" w:rsidP="00466B5B">
      <w:pPr>
        <w:spacing w:line="480" w:lineRule="auto"/>
      </w:pPr>
    </w:p>
    <w:p w14:paraId="5CF3F229" w14:textId="77777777" w:rsidR="00466B5B" w:rsidRDefault="00466B5B" w:rsidP="00466B5B">
      <w:pPr>
        <w:spacing w:line="480" w:lineRule="auto"/>
      </w:pPr>
    </w:p>
    <w:p w14:paraId="159DEDD5" w14:textId="77777777" w:rsidR="00466B5B" w:rsidRDefault="00466B5B" w:rsidP="00466B5B">
      <w:pPr>
        <w:spacing w:line="480" w:lineRule="auto"/>
      </w:pPr>
    </w:p>
    <w:p w14:paraId="7AD6ED7F" w14:textId="234EF510" w:rsidR="00BE7447" w:rsidRDefault="00BE7447" w:rsidP="00AD6787">
      <w:pPr>
        <w:spacing w:line="480" w:lineRule="auto"/>
        <w:ind w:firstLine="720"/>
        <w:rPr>
          <w:rFonts w:ascii="Times New Roman" w:hAnsi="Times New Roman" w:cs="Times New Roman"/>
        </w:rPr>
      </w:pPr>
    </w:p>
    <w:p w14:paraId="271C2947" w14:textId="7E6840B0" w:rsidR="00466B5B" w:rsidRDefault="00466B5B" w:rsidP="00AD6787">
      <w:pPr>
        <w:spacing w:line="480" w:lineRule="auto"/>
        <w:ind w:firstLine="720"/>
        <w:rPr>
          <w:rFonts w:ascii="Times New Roman" w:hAnsi="Times New Roman" w:cs="Times New Roman"/>
        </w:rPr>
      </w:pPr>
    </w:p>
    <w:p w14:paraId="00868D1D" w14:textId="1FE45E2F" w:rsidR="00466B5B" w:rsidRDefault="00466B5B" w:rsidP="00AD6787">
      <w:pPr>
        <w:spacing w:line="480" w:lineRule="auto"/>
        <w:ind w:firstLine="720"/>
        <w:rPr>
          <w:rFonts w:ascii="Times New Roman" w:hAnsi="Times New Roman" w:cs="Times New Roman"/>
        </w:rPr>
      </w:pPr>
    </w:p>
    <w:p w14:paraId="16FDEEE5" w14:textId="26C2750D" w:rsidR="00E67F44" w:rsidRDefault="00E67F44" w:rsidP="00AD6787">
      <w:pPr>
        <w:spacing w:line="480" w:lineRule="auto"/>
        <w:ind w:firstLine="720"/>
        <w:rPr>
          <w:rFonts w:ascii="Times New Roman" w:hAnsi="Times New Roman" w:cs="Times New Roman"/>
        </w:rPr>
      </w:pPr>
    </w:p>
    <w:p w14:paraId="67E78E27" w14:textId="77777777" w:rsidR="009953DC" w:rsidRDefault="009953DC" w:rsidP="009953DC">
      <w:pPr>
        <w:spacing w:line="480" w:lineRule="auto"/>
        <w:rPr>
          <w:rFonts w:ascii="Times New Roman" w:hAnsi="Times New Roman" w:cs="Times New Roman"/>
        </w:rPr>
      </w:pPr>
    </w:p>
    <w:p w14:paraId="42D0D2B3" w14:textId="78E442E7" w:rsidR="00ED0648" w:rsidRDefault="00ED0648" w:rsidP="009953DC">
      <w:pPr>
        <w:spacing w:line="480" w:lineRule="auto"/>
        <w:jc w:val="center"/>
        <w:rPr>
          <w:rFonts w:ascii="Times New Roman" w:hAnsi="Times New Roman" w:cs="Times New Roman"/>
          <w:b/>
          <w:bCs/>
        </w:rPr>
      </w:pPr>
      <w:r w:rsidRPr="00ED0648">
        <w:rPr>
          <w:rFonts w:ascii="Times New Roman" w:hAnsi="Times New Roman" w:cs="Times New Roman"/>
          <w:b/>
          <w:bCs/>
        </w:rPr>
        <w:lastRenderedPageBreak/>
        <w:t>Abstract</w:t>
      </w:r>
    </w:p>
    <w:p w14:paraId="0DE1E22C" w14:textId="7A3C4427" w:rsidR="00ED0648" w:rsidRPr="0018404F" w:rsidRDefault="00ED0648" w:rsidP="009953DC">
      <w:pPr>
        <w:spacing w:line="480" w:lineRule="auto"/>
        <w:rPr>
          <w:rFonts w:ascii="Times New Roman" w:hAnsi="Times New Roman" w:cs="Times New Roman"/>
          <w:b/>
          <w:bCs/>
        </w:rPr>
      </w:pPr>
      <w:r w:rsidRPr="00ED0648">
        <w:rPr>
          <w:rFonts w:ascii="Times New Roman" w:eastAsia="Times New Roman" w:hAnsi="Times New Roman" w:cs="Times New Roman"/>
        </w:rPr>
        <w:t xml:space="preserve">This thesis is about the development of how rape has been defined throughout history. The article begins with the discussion of the racialization of rape and Ida B. Well’s anti-lynching crusade. The thesis concludes with the discussion of the </w:t>
      </w:r>
      <w:proofErr w:type="gramStart"/>
      <w:r w:rsidRPr="00ED0648">
        <w:rPr>
          <w:rFonts w:ascii="Times New Roman" w:eastAsia="Times New Roman" w:hAnsi="Times New Roman" w:cs="Times New Roman"/>
        </w:rPr>
        <w:t>resources</w:t>
      </w:r>
      <w:proofErr w:type="gramEnd"/>
      <w:r w:rsidRPr="00ED0648">
        <w:rPr>
          <w:rFonts w:ascii="Times New Roman" w:eastAsia="Times New Roman" w:hAnsi="Times New Roman" w:cs="Times New Roman"/>
        </w:rPr>
        <w:t xml:space="preserve"> survivors have created for each other and the</w:t>
      </w:r>
      <w:r w:rsidR="00FB3479">
        <w:rPr>
          <w:rFonts w:ascii="Times New Roman" w:eastAsia="Times New Roman" w:hAnsi="Times New Roman" w:cs="Times New Roman"/>
        </w:rPr>
        <w:t xml:space="preserve"> ref</w:t>
      </w:r>
      <w:r w:rsidR="00322423">
        <w:rPr>
          <w:rFonts w:ascii="Times New Roman" w:eastAsia="Times New Roman" w:hAnsi="Times New Roman" w:cs="Times New Roman"/>
        </w:rPr>
        <w:t>l</w:t>
      </w:r>
      <w:r w:rsidR="00FB3479">
        <w:rPr>
          <w:rFonts w:ascii="Times New Roman" w:eastAsia="Times New Roman" w:hAnsi="Times New Roman" w:cs="Times New Roman"/>
        </w:rPr>
        <w:t>ection</w:t>
      </w:r>
      <w:r w:rsidR="00322423">
        <w:rPr>
          <w:rFonts w:ascii="Times New Roman" w:eastAsia="Times New Roman" w:hAnsi="Times New Roman" w:cs="Times New Roman"/>
        </w:rPr>
        <w:t xml:space="preserve"> of how the un-normalization of rape behaviors and rape culture has launched it into the political and social sphere</w:t>
      </w:r>
      <w:r w:rsidR="00C17B26">
        <w:rPr>
          <w:rFonts w:ascii="Times New Roman" w:eastAsia="Times New Roman" w:hAnsi="Times New Roman" w:cs="Times New Roman"/>
        </w:rPr>
        <w:t>s</w:t>
      </w:r>
      <w:r w:rsidRPr="00ED0648">
        <w:rPr>
          <w:rFonts w:ascii="Times New Roman" w:eastAsia="Times New Roman" w:hAnsi="Times New Roman" w:cs="Times New Roman"/>
        </w:rPr>
        <w:t>. The purpose of this thesis was to provide people with a greater understanding of the history of rape culture in America and why many rapists face little to no time in jail and walk free. I hope that this</w:t>
      </w:r>
      <w:r w:rsidR="002E6A9E" w:rsidRPr="0018404F">
        <w:rPr>
          <w:rFonts w:ascii="Times New Roman" w:eastAsia="Times New Roman" w:hAnsi="Times New Roman" w:cs="Times New Roman"/>
        </w:rPr>
        <w:t xml:space="preserve"> thesis</w:t>
      </w:r>
      <w:r w:rsidRPr="00ED0648">
        <w:rPr>
          <w:rFonts w:ascii="Times New Roman" w:eastAsia="Times New Roman" w:hAnsi="Times New Roman" w:cs="Times New Roman"/>
        </w:rPr>
        <w:t xml:space="preserve"> will be a resource for anyone who wants to further their education on this subject and in the field of American Studies, specifically </w:t>
      </w:r>
      <w:r w:rsidR="004F7233">
        <w:rPr>
          <w:rFonts w:ascii="Times New Roman" w:eastAsia="Times New Roman" w:hAnsi="Times New Roman" w:cs="Times New Roman"/>
        </w:rPr>
        <w:t xml:space="preserve">women, </w:t>
      </w:r>
      <w:r w:rsidRPr="00ED0648">
        <w:rPr>
          <w:rFonts w:ascii="Times New Roman" w:eastAsia="Times New Roman" w:hAnsi="Times New Roman" w:cs="Times New Roman"/>
        </w:rPr>
        <w:t>gender</w:t>
      </w:r>
      <w:r w:rsidR="004F7233">
        <w:rPr>
          <w:rFonts w:ascii="Times New Roman" w:eastAsia="Times New Roman" w:hAnsi="Times New Roman" w:cs="Times New Roman"/>
        </w:rPr>
        <w:t>, and African American studies.</w:t>
      </w:r>
    </w:p>
    <w:p w14:paraId="358B9C7F" w14:textId="77777777" w:rsidR="009953DC" w:rsidRDefault="009953DC" w:rsidP="009953DC">
      <w:pPr>
        <w:spacing w:line="480" w:lineRule="auto"/>
        <w:rPr>
          <w:rFonts w:ascii="Times New Roman" w:hAnsi="Times New Roman" w:cs="Times New Roman"/>
        </w:rPr>
      </w:pPr>
    </w:p>
    <w:p w14:paraId="3304B556" w14:textId="77777777" w:rsidR="009953DC" w:rsidRDefault="009953DC" w:rsidP="009953DC">
      <w:pPr>
        <w:spacing w:line="480" w:lineRule="auto"/>
        <w:rPr>
          <w:rFonts w:ascii="Times New Roman" w:hAnsi="Times New Roman" w:cs="Times New Roman"/>
        </w:rPr>
      </w:pPr>
    </w:p>
    <w:p w14:paraId="5829C48B" w14:textId="77777777" w:rsidR="009953DC" w:rsidRDefault="009953DC" w:rsidP="009953DC">
      <w:pPr>
        <w:spacing w:line="480" w:lineRule="auto"/>
        <w:rPr>
          <w:rFonts w:ascii="Times New Roman" w:hAnsi="Times New Roman" w:cs="Times New Roman"/>
        </w:rPr>
      </w:pPr>
    </w:p>
    <w:p w14:paraId="40AE8EA8" w14:textId="77777777" w:rsidR="009953DC" w:rsidRDefault="009953DC" w:rsidP="009953DC">
      <w:pPr>
        <w:spacing w:line="480" w:lineRule="auto"/>
        <w:rPr>
          <w:rFonts w:ascii="Times New Roman" w:hAnsi="Times New Roman" w:cs="Times New Roman"/>
        </w:rPr>
      </w:pPr>
    </w:p>
    <w:p w14:paraId="357877B0" w14:textId="77777777" w:rsidR="009953DC" w:rsidRDefault="009953DC" w:rsidP="009953DC">
      <w:pPr>
        <w:spacing w:line="480" w:lineRule="auto"/>
        <w:rPr>
          <w:rFonts w:ascii="Times New Roman" w:hAnsi="Times New Roman" w:cs="Times New Roman"/>
        </w:rPr>
      </w:pPr>
    </w:p>
    <w:p w14:paraId="7C262C6E" w14:textId="77777777" w:rsidR="009953DC" w:rsidRDefault="009953DC" w:rsidP="009953DC">
      <w:pPr>
        <w:spacing w:line="480" w:lineRule="auto"/>
        <w:rPr>
          <w:rFonts w:ascii="Times New Roman" w:hAnsi="Times New Roman" w:cs="Times New Roman"/>
        </w:rPr>
      </w:pPr>
    </w:p>
    <w:p w14:paraId="5343A261" w14:textId="77777777" w:rsidR="009953DC" w:rsidRDefault="009953DC" w:rsidP="009953DC">
      <w:pPr>
        <w:spacing w:line="480" w:lineRule="auto"/>
        <w:rPr>
          <w:rFonts w:ascii="Times New Roman" w:hAnsi="Times New Roman" w:cs="Times New Roman"/>
        </w:rPr>
      </w:pPr>
    </w:p>
    <w:p w14:paraId="3570EB83" w14:textId="77777777" w:rsidR="009953DC" w:rsidRDefault="009953DC" w:rsidP="009953DC">
      <w:pPr>
        <w:spacing w:line="480" w:lineRule="auto"/>
        <w:rPr>
          <w:rFonts w:ascii="Times New Roman" w:hAnsi="Times New Roman" w:cs="Times New Roman"/>
        </w:rPr>
      </w:pPr>
    </w:p>
    <w:p w14:paraId="6D0385C8" w14:textId="77777777" w:rsidR="009953DC" w:rsidRDefault="009953DC" w:rsidP="009953DC">
      <w:pPr>
        <w:spacing w:line="480" w:lineRule="auto"/>
        <w:rPr>
          <w:rFonts w:ascii="Times New Roman" w:hAnsi="Times New Roman" w:cs="Times New Roman"/>
        </w:rPr>
      </w:pPr>
    </w:p>
    <w:p w14:paraId="44B40415" w14:textId="77777777" w:rsidR="009953DC" w:rsidRDefault="009953DC" w:rsidP="009953DC">
      <w:pPr>
        <w:spacing w:line="480" w:lineRule="auto"/>
        <w:rPr>
          <w:rFonts w:ascii="Times New Roman" w:hAnsi="Times New Roman" w:cs="Times New Roman"/>
        </w:rPr>
      </w:pPr>
    </w:p>
    <w:p w14:paraId="2483AF39" w14:textId="77777777" w:rsidR="009953DC" w:rsidRDefault="009953DC" w:rsidP="009953DC">
      <w:pPr>
        <w:spacing w:line="480" w:lineRule="auto"/>
        <w:rPr>
          <w:rFonts w:ascii="Times New Roman" w:hAnsi="Times New Roman" w:cs="Times New Roman"/>
        </w:rPr>
      </w:pPr>
    </w:p>
    <w:p w14:paraId="122E74DB" w14:textId="77777777" w:rsidR="009953DC" w:rsidRDefault="009953DC" w:rsidP="009953DC">
      <w:pPr>
        <w:spacing w:line="480" w:lineRule="auto"/>
        <w:rPr>
          <w:rFonts w:ascii="Times New Roman" w:hAnsi="Times New Roman" w:cs="Times New Roman"/>
        </w:rPr>
      </w:pPr>
    </w:p>
    <w:p w14:paraId="5AC30C52" w14:textId="77777777" w:rsidR="009953DC" w:rsidRDefault="009953DC" w:rsidP="009953DC">
      <w:pPr>
        <w:spacing w:line="480" w:lineRule="auto"/>
        <w:rPr>
          <w:rFonts w:ascii="Times New Roman" w:hAnsi="Times New Roman" w:cs="Times New Roman"/>
        </w:rPr>
      </w:pPr>
    </w:p>
    <w:p w14:paraId="2F642A70" w14:textId="1B45AB23" w:rsidR="00AD6787" w:rsidRPr="00AD6787" w:rsidRDefault="00AD6787" w:rsidP="009953DC">
      <w:pPr>
        <w:spacing w:line="480" w:lineRule="auto"/>
        <w:ind w:firstLine="720"/>
        <w:rPr>
          <w:rFonts w:ascii="Times New Roman" w:hAnsi="Times New Roman" w:cs="Times New Roman"/>
          <w:color w:val="000000" w:themeColor="text1"/>
        </w:rPr>
      </w:pPr>
      <w:r w:rsidRPr="00AD6787">
        <w:rPr>
          <w:rFonts w:ascii="Times New Roman" w:hAnsi="Times New Roman" w:cs="Times New Roman"/>
        </w:rPr>
        <w:lastRenderedPageBreak/>
        <w:t xml:space="preserve">Ida B. Wells was a pioneer in the anti-lynching crusade beginning in the late 1880s. Her advocacy stemmed from the </w:t>
      </w:r>
      <w:r w:rsidR="000D5457">
        <w:rPr>
          <w:rFonts w:ascii="Times New Roman" w:hAnsi="Times New Roman" w:cs="Times New Roman"/>
        </w:rPr>
        <w:t>enormous</w:t>
      </w:r>
      <w:r w:rsidRPr="00AD6787">
        <w:rPr>
          <w:rFonts w:ascii="Times New Roman" w:hAnsi="Times New Roman" w:cs="Times New Roman"/>
        </w:rPr>
        <w:t xml:space="preserve"> amount of African American men that were falsely accused of rape by white women and lynched. The racialization of carnal knowledge allowed for white male supremacy to continue to abuse the lives of African Americans through another medium of exploitation. The prosecution of rape in the United States during “the early republic shows that the sexual prerogatives of white men—like their right to citizenship—rested upon the legal disabilities of the African American or Native American men or all women.”</w:t>
      </w:r>
      <w:r w:rsidRPr="00AD6787">
        <w:rPr>
          <w:rStyle w:val="FootnoteReference"/>
          <w:rFonts w:ascii="Times New Roman" w:hAnsi="Times New Roman" w:cs="Times New Roman"/>
        </w:rPr>
        <w:footnoteReference w:id="1"/>
      </w:r>
      <w:r w:rsidRPr="00AD6787">
        <w:rPr>
          <w:rFonts w:ascii="Times New Roman" w:hAnsi="Times New Roman" w:cs="Times New Roman"/>
        </w:rPr>
        <w:t xml:space="preserve"> Ida B. Wells showed that white men feared losing their dominant power in society therefore the lynching of African American men allowed them to implement their “lesson of subordination.”</w:t>
      </w:r>
      <w:r w:rsidRPr="00AD6787">
        <w:rPr>
          <w:rStyle w:val="FootnoteReference"/>
          <w:rFonts w:ascii="Times New Roman" w:hAnsi="Times New Roman" w:cs="Times New Roman"/>
        </w:rPr>
        <w:footnoteReference w:id="2"/>
      </w:r>
      <w:r w:rsidRPr="00AD6787">
        <w:rPr>
          <w:rFonts w:ascii="Times New Roman" w:hAnsi="Times New Roman" w:cs="Times New Roman"/>
        </w:rPr>
        <w:t xml:space="preserve"> Wells also highlights how America’s white patriarchal society created an unhealthy public sentiment and the promotion of a mob culture that would freely achieve mass lynching without any consequences. In Ida B. Wells’ </w:t>
      </w:r>
      <w:r w:rsidRPr="00AD6787">
        <w:rPr>
          <w:rFonts w:ascii="Times New Roman" w:hAnsi="Times New Roman" w:cs="Times New Roman"/>
          <w:i/>
          <w:color w:val="000000" w:themeColor="text1"/>
        </w:rPr>
        <w:t>Southern Horrors: Lynch Law in All Its Phases</w:t>
      </w:r>
      <w:r w:rsidRPr="00AD6787">
        <w:rPr>
          <w:rFonts w:ascii="Times New Roman" w:hAnsi="Times New Roman" w:cs="Times New Roman"/>
          <w:color w:val="000000" w:themeColor="text1"/>
        </w:rPr>
        <w:t xml:space="preserve"> </w:t>
      </w:r>
      <w:r w:rsidRPr="00AD6787">
        <w:rPr>
          <w:rFonts w:ascii="Times New Roman" w:hAnsi="Times New Roman" w:cs="Times New Roman"/>
          <w:i/>
          <w:color w:val="000000" w:themeColor="text1"/>
        </w:rPr>
        <w:t>(1892)</w:t>
      </w:r>
      <w:r w:rsidRPr="00AD6787">
        <w:rPr>
          <w:rFonts w:ascii="Times New Roman" w:hAnsi="Times New Roman" w:cs="Times New Roman"/>
          <w:color w:val="000000" w:themeColor="text1"/>
        </w:rPr>
        <w:t>, she conveys how the laws in the South function to prevent the consensual relationships between black men and white women but protect nonconsensual relationships between white men and black women; Wells points out that the unwritten law solely allows for the prosecution of African American men on any rumor of relations with a white woman</w:t>
      </w:r>
      <w:r w:rsidR="00AC3DA4">
        <w:rPr>
          <w:rFonts w:ascii="Times New Roman" w:hAnsi="Times New Roman" w:cs="Times New Roman"/>
          <w:color w:val="000000" w:themeColor="text1"/>
        </w:rPr>
        <w:t>.</w:t>
      </w:r>
      <w:r w:rsidRPr="00AD6787">
        <w:rPr>
          <w:rFonts w:ascii="Times New Roman" w:hAnsi="Times New Roman" w:cs="Times New Roman"/>
          <w:color w:val="000000" w:themeColor="text1"/>
        </w:rPr>
        <w:t xml:space="preserve"> </w:t>
      </w:r>
      <w:r w:rsidR="00AC3DA4">
        <w:rPr>
          <w:rFonts w:ascii="Times New Roman" w:hAnsi="Times New Roman" w:cs="Times New Roman"/>
          <w:color w:val="000000" w:themeColor="text1"/>
        </w:rPr>
        <w:t xml:space="preserve">The </w:t>
      </w:r>
      <w:r w:rsidRPr="00AD6787">
        <w:rPr>
          <w:rFonts w:ascii="Times New Roman" w:hAnsi="Times New Roman" w:cs="Times New Roman"/>
          <w:color w:val="000000" w:themeColor="text1"/>
        </w:rPr>
        <w:t>white southerners who disapproved of lynching and remained silent only helped the agenda of those who actively participated in lynching.</w:t>
      </w:r>
    </w:p>
    <w:p w14:paraId="30BCD159" w14:textId="3EE2E795" w:rsidR="00AD6787" w:rsidRPr="00AD6787" w:rsidRDefault="00AD6787" w:rsidP="00AD6787">
      <w:pPr>
        <w:spacing w:line="480" w:lineRule="auto"/>
        <w:ind w:firstLine="720"/>
        <w:rPr>
          <w:rFonts w:ascii="Times New Roman" w:hAnsi="Times New Roman" w:cs="Times New Roman"/>
          <w:color w:val="000000" w:themeColor="text1"/>
        </w:rPr>
      </w:pPr>
      <w:r w:rsidRPr="00AD6787">
        <w:rPr>
          <w:rFonts w:ascii="Times New Roman" w:hAnsi="Times New Roman" w:cs="Times New Roman"/>
          <w:color w:val="000000" w:themeColor="text1"/>
        </w:rPr>
        <w:lastRenderedPageBreak/>
        <w:t>In the late eighteenth century colonial America, white men were separated from black men when convicted of rape. By the end of the eighteenth century, all white men had virtually gained full citizenship rights</w:t>
      </w:r>
      <w:r w:rsidRPr="00AD6787">
        <w:rPr>
          <w:rStyle w:val="FootnoteReference"/>
          <w:rFonts w:ascii="Times New Roman" w:hAnsi="Times New Roman" w:cs="Times New Roman"/>
          <w:color w:val="000000" w:themeColor="text1"/>
        </w:rPr>
        <w:footnoteReference w:id="3"/>
      </w:r>
      <w:r w:rsidRPr="00AD6787">
        <w:rPr>
          <w:rFonts w:ascii="Times New Roman" w:hAnsi="Times New Roman" w:cs="Times New Roman"/>
          <w:color w:val="000000" w:themeColor="text1"/>
        </w:rPr>
        <w:t xml:space="preserve"> which left black men free or enslaved at the mercy of the power of white men to convict them of rape whether or not if the accusation was true. When white men faced trial of rape allegations, “[s]</w:t>
      </w:r>
      <w:proofErr w:type="spellStart"/>
      <w:r w:rsidRPr="00AD6787">
        <w:rPr>
          <w:rFonts w:ascii="Times New Roman" w:hAnsi="Times New Roman" w:cs="Times New Roman"/>
          <w:color w:val="000000" w:themeColor="text1"/>
        </w:rPr>
        <w:t>tandards</w:t>
      </w:r>
      <w:proofErr w:type="spellEnd"/>
      <w:r w:rsidRPr="00AD6787">
        <w:rPr>
          <w:rFonts w:ascii="Times New Roman" w:hAnsi="Times New Roman" w:cs="Times New Roman"/>
          <w:color w:val="000000" w:themeColor="text1"/>
        </w:rPr>
        <w:t xml:space="preserve"> of evidence were higher…leading to a higher rate of acquittal.”</w:t>
      </w:r>
      <w:r w:rsidRPr="00AD6787">
        <w:rPr>
          <w:rStyle w:val="FootnoteReference"/>
          <w:rFonts w:ascii="Times New Roman" w:hAnsi="Times New Roman" w:cs="Times New Roman"/>
          <w:color w:val="000000" w:themeColor="text1"/>
        </w:rPr>
        <w:footnoteReference w:id="4"/>
      </w:r>
      <w:r w:rsidRPr="00AD6787">
        <w:rPr>
          <w:rFonts w:ascii="Times New Roman" w:hAnsi="Times New Roman" w:cs="Times New Roman"/>
          <w:color w:val="000000" w:themeColor="text1"/>
        </w:rPr>
        <w:t xml:space="preserve">  The beginning development of the racialization of rape convictions foreshadowed what the future of rape would be defined as in the antebellum period of Ida B. Well</w:t>
      </w:r>
      <w:r w:rsidR="00686679">
        <w:rPr>
          <w:rFonts w:ascii="Times New Roman" w:hAnsi="Times New Roman" w:cs="Times New Roman"/>
          <w:color w:val="000000" w:themeColor="text1"/>
        </w:rPr>
        <w:t>s’</w:t>
      </w:r>
      <w:r w:rsidRPr="00AD6787">
        <w:rPr>
          <w:rFonts w:ascii="Times New Roman" w:hAnsi="Times New Roman" w:cs="Times New Roman"/>
          <w:color w:val="000000" w:themeColor="text1"/>
        </w:rPr>
        <w:t xml:space="preserve"> anti-lynching crusade. A consensual relationship between a black man and a white woman was common throughout the antebellum era. In 1825, Polly Lane who was a lower-class woman accused Jim a neighborhood slave of rape.</w:t>
      </w:r>
      <w:r w:rsidRPr="00AD6787">
        <w:rPr>
          <w:rStyle w:val="FootnoteReference"/>
          <w:rFonts w:ascii="Times New Roman" w:hAnsi="Times New Roman" w:cs="Times New Roman"/>
          <w:color w:val="000000" w:themeColor="text1"/>
        </w:rPr>
        <w:footnoteReference w:id="5"/>
      </w:r>
      <w:r w:rsidRPr="00AD6787">
        <w:rPr>
          <w:rFonts w:ascii="Times New Roman" w:hAnsi="Times New Roman" w:cs="Times New Roman"/>
          <w:color w:val="000000" w:themeColor="text1"/>
        </w:rPr>
        <w:t xml:space="preserve"> When the trial occurred it was revealed by another slave named Dick that he had seen Polly and Jim together in bed before and that they both knew that she might be pregnant.</w:t>
      </w:r>
      <w:r w:rsidRPr="00AD6787">
        <w:rPr>
          <w:rStyle w:val="FootnoteReference"/>
          <w:rFonts w:ascii="Times New Roman" w:hAnsi="Times New Roman" w:cs="Times New Roman"/>
          <w:color w:val="000000" w:themeColor="text1"/>
        </w:rPr>
        <w:footnoteReference w:id="6"/>
      </w:r>
      <w:r w:rsidRPr="00AD6787">
        <w:rPr>
          <w:rFonts w:ascii="Times New Roman" w:hAnsi="Times New Roman" w:cs="Times New Roman"/>
          <w:color w:val="000000" w:themeColor="text1"/>
        </w:rPr>
        <w:t xml:space="preserve"> Polly attempted to protect herself from being ostracized in the community by claiming that Jim raped her. However, Polly’s accusation of rape failed and a “bastardly warrant…[was issued to her shifting the] crime from rape to illegitimacy and the burden of guilt from the black to the white woman.”</w:t>
      </w:r>
      <w:r w:rsidRPr="00AD6787">
        <w:rPr>
          <w:rStyle w:val="FootnoteReference"/>
          <w:rFonts w:ascii="Times New Roman" w:hAnsi="Times New Roman" w:cs="Times New Roman"/>
          <w:color w:val="000000" w:themeColor="text1"/>
        </w:rPr>
        <w:footnoteReference w:id="7"/>
      </w:r>
      <w:r w:rsidRPr="00AD6787">
        <w:rPr>
          <w:rFonts w:ascii="Times New Roman" w:hAnsi="Times New Roman" w:cs="Times New Roman"/>
          <w:color w:val="000000" w:themeColor="text1"/>
        </w:rPr>
        <w:t xml:space="preserve"> The consensual relationship between a white woman and black man posed a threat to the reputation of  a white woman if their relationship was discovered by others. As a result, many white women feared violent repercussions</w:t>
      </w:r>
      <w:r w:rsidR="00BB290B">
        <w:rPr>
          <w:rFonts w:ascii="Times New Roman" w:hAnsi="Times New Roman" w:cs="Times New Roman"/>
          <w:color w:val="000000" w:themeColor="text1"/>
        </w:rPr>
        <w:t>,</w:t>
      </w:r>
      <w:r w:rsidRPr="00AD6787">
        <w:rPr>
          <w:rFonts w:ascii="Times New Roman" w:hAnsi="Times New Roman" w:cs="Times New Roman"/>
          <w:color w:val="000000" w:themeColor="text1"/>
        </w:rPr>
        <w:t xml:space="preserve"> so they projected the responsibility of the relationship on the black man to avoid consequences. Even though when white women would “cry rape” and escape the physical </w:t>
      </w:r>
      <w:r w:rsidRPr="00AD6787">
        <w:rPr>
          <w:rFonts w:ascii="Times New Roman" w:hAnsi="Times New Roman" w:cs="Times New Roman"/>
          <w:color w:val="000000" w:themeColor="text1"/>
        </w:rPr>
        <w:lastRenderedPageBreak/>
        <w:t xml:space="preserve">punishment, they were still faced with grappling with the torturing psychological consequences of watching the lynching of their former lover. </w:t>
      </w:r>
    </w:p>
    <w:p w14:paraId="56B801D2" w14:textId="0C91028A" w:rsidR="00AD6787" w:rsidRPr="00AD6787" w:rsidRDefault="00AD6787" w:rsidP="00AD6787">
      <w:pPr>
        <w:spacing w:line="480" w:lineRule="auto"/>
        <w:ind w:firstLine="720"/>
        <w:rPr>
          <w:rFonts w:ascii="Times New Roman" w:hAnsi="Times New Roman" w:cs="Times New Roman"/>
          <w:color w:val="000000" w:themeColor="text1"/>
        </w:rPr>
      </w:pPr>
      <w:r w:rsidRPr="00AD6787">
        <w:rPr>
          <w:rFonts w:ascii="Times New Roman" w:hAnsi="Times New Roman" w:cs="Times New Roman"/>
          <w:color w:val="000000" w:themeColor="text1"/>
        </w:rPr>
        <w:t>In Ida B. Wells</w:t>
      </w:r>
      <w:r w:rsidR="00BB290B">
        <w:rPr>
          <w:rFonts w:ascii="Times New Roman" w:hAnsi="Times New Roman" w:cs="Times New Roman"/>
          <w:color w:val="000000" w:themeColor="text1"/>
        </w:rPr>
        <w:t>’</w:t>
      </w:r>
      <w:r w:rsidRPr="00AD6787">
        <w:rPr>
          <w:rFonts w:ascii="Times New Roman" w:hAnsi="Times New Roman" w:cs="Times New Roman"/>
          <w:color w:val="000000" w:themeColor="text1"/>
        </w:rPr>
        <w:t xml:space="preserve"> Chapter II, </w:t>
      </w:r>
      <w:r w:rsidRPr="00AD6787">
        <w:rPr>
          <w:rFonts w:ascii="Times New Roman" w:hAnsi="Times New Roman" w:cs="Times New Roman"/>
          <w:i/>
          <w:color w:val="000000" w:themeColor="text1"/>
        </w:rPr>
        <w:t>The Black and White of It</w:t>
      </w:r>
      <w:r w:rsidRPr="00AD6787">
        <w:rPr>
          <w:rFonts w:ascii="Times New Roman" w:hAnsi="Times New Roman" w:cs="Times New Roman"/>
          <w:color w:val="000000" w:themeColor="text1"/>
        </w:rPr>
        <w:t>, she discusses how a wealthy African American man was shot and killed by a mob of white men because he wrote a note to a white woman of high society.</w:t>
      </w:r>
      <w:r w:rsidRPr="00AD6787">
        <w:rPr>
          <w:rStyle w:val="FootnoteReference"/>
          <w:rFonts w:ascii="Times New Roman" w:hAnsi="Times New Roman" w:cs="Times New Roman"/>
          <w:color w:val="000000" w:themeColor="text1"/>
        </w:rPr>
        <w:footnoteReference w:id="8"/>
      </w:r>
      <w:r w:rsidRPr="00AD6787">
        <w:rPr>
          <w:rFonts w:ascii="Times New Roman" w:hAnsi="Times New Roman" w:cs="Times New Roman"/>
          <w:color w:val="000000" w:themeColor="text1"/>
        </w:rPr>
        <w:t xml:space="preserve"> The murder of this African American man during Wells’ time showcases the evolution of the strenuous relationship that existed between the black man and the white woman. The unwritten law fabricated by the white southern mob prevented consensual relationships between black men and white women as both parties were subject to indirect ownership by the white man. In contrast, white men were allowed to freely seduced and rape black women with virtually no consequences. White men believed that they had a sexual entitlement to black women because they were not seen of being capable of virtue. Therefore, “[t]his construction gave white men free sexual rein and limited the ability of African American women of any class to refuse sexual </w:t>
      </w:r>
      <w:r w:rsidR="000926FA">
        <w:rPr>
          <w:rFonts w:ascii="Times New Roman" w:hAnsi="Times New Roman" w:cs="Times New Roman"/>
          <w:color w:val="000000" w:themeColor="text1"/>
        </w:rPr>
        <w:t>advances</w:t>
      </w:r>
      <w:r w:rsidRPr="00AD6787">
        <w:rPr>
          <w:rFonts w:ascii="Times New Roman" w:hAnsi="Times New Roman" w:cs="Times New Roman"/>
          <w:color w:val="000000" w:themeColor="text1"/>
        </w:rPr>
        <w:t>.”</w:t>
      </w:r>
      <w:r w:rsidRPr="00AD6787">
        <w:rPr>
          <w:rStyle w:val="FootnoteReference"/>
          <w:rFonts w:ascii="Times New Roman" w:hAnsi="Times New Roman" w:cs="Times New Roman"/>
          <w:color w:val="000000" w:themeColor="text1"/>
        </w:rPr>
        <w:footnoteReference w:id="9"/>
      </w:r>
      <w:r w:rsidRPr="00AD6787">
        <w:rPr>
          <w:rFonts w:ascii="Times New Roman" w:hAnsi="Times New Roman" w:cs="Times New Roman"/>
          <w:color w:val="000000" w:themeColor="text1"/>
        </w:rPr>
        <w:t xml:space="preserve"> Antebellum society’s belief of the lack of morality of black woman further promoted the false narrative of their uncivilized manner and   allowed white men to continue to escape punishment of committing rape. Young black girls also found themselves with no justice for rape that had been committed</w:t>
      </w:r>
      <w:r w:rsidR="005B4959">
        <w:rPr>
          <w:rFonts w:ascii="Times New Roman" w:hAnsi="Times New Roman" w:cs="Times New Roman"/>
          <w:color w:val="000000" w:themeColor="text1"/>
        </w:rPr>
        <w:t xml:space="preserve"> against</w:t>
      </w:r>
      <w:r w:rsidRPr="00AD6787">
        <w:rPr>
          <w:rFonts w:ascii="Times New Roman" w:hAnsi="Times New Roman" w:cs="Times New Roman"/>
          <w:color w:val="000000" w:themeColor="text1"/>
        </w:rPr>
        <w:t xml:space="preserve"> them. The “[l]</w:t>
      </w:r>
      <w:proofErr w:type="spellStart"/>
      <w:r w:rsidRPr="00AD6787">
        <w:rPr>
          <w:rFonts w:ascii="Times New Roman" w:hAnsi="Times New Roman" w:cs="Times New Roman"/>
          <w:color w:val="000000" w:themeColor="text1"/>
        </w:rPr>
        <w:t>ocal</w:t>
      </w:r>
      <w:proofErr w:type="spellEnd"/>
      <w:r w:rsidRPr="00AD6787">
        <w:rPr>
          <w:rFonts w:ascii="Times New Roman" w:hAnsi="Times New Roman" w:cs="Times New Roman"/>
          <w:color w:val="000000" w:themeColor="text1"/>
        </w:rPr>
        <w:t xml:space="preserve"> authorities in the antebellum South confronted by the rape of black girls would look the other way.”</w:t>
      </w:r>
      <w:r w:rsidRPr="00AD6787">
        <w:rPr>
          <w:rStyle w:val="FootnoteReference"/>
          <w:rFonts w:ascii="Times New Roman" w:hAnsi="Times New Roman" w:cs="Times New Roman"/>
          <w:color w:val="000000" w:themeColor="text1"/>
        </w:rPr>
        <w:footnoteReference w:id="10"/>
      </w:r>
      <w:r w:rsidRPr="00AD6787">
        <w:rPr>
          <w:rFonts w:ascii="Times New Roman" w:hAnsi="Times New Roman" w:cs="Times New Roman"/>
          <w:color w:val="000000" w:themeColor="text1"/>
        </w:rPr>
        <w:t xml:space="preserve"> The inability for young black women to be protected by their families against rape, legitimized “when they came of age at the end of the nineteenth century [and had] learned early </w:t>
      </w:r>
      <w:r w:rsidRPr="00AD6787">
        <w:rPr>
          <w:rFonts w:ascii="Times New Roman" w:hAnsi="Times New Roman" w:cs="Times New Roman"/>
          <w:color w:val="000000" w:themeColor="text1"/>
        </w:rPr>
        <w:lastRenderedPageBreak/>
        <w:t>in their lives that race alone was ‘sufficient invitation to the Southern white man.’”</w:t>
      </w:r>
      <w:r w:rsidRPr="00AD6787">
        <w:rPr>
          <w:rStyle w:val="FootnoteReference"/>
          <w:rFonts w:ascii="Times New Roman" w:hAnsi="Times New Roman" w:cs="Times New Roman"/>
          <w:color w:val="000000" w:themeColor="text1"/>
        </w:rPr>
        <w:footnoteReference w:id="11"/>
      </w:r>
      <w:r w:rsidRPr="00AD6787">
        <w:rPr>
          <w:rFonts w:ascii="Times New Roman" w:hAnsi="Times New Roman" w:cs="Times New Roman"/>
          <w:color w:val="000000" w:themeColor="text1"/>
        </w:rPr>
        <w:t xml:space="preserve"> Both black men and women were oversexualized when it came to sexual relationships </w:t>
      </w:r>
      <w:r w:rsidR="006E4F65">
        <w:rPr>
          <w:rFonts w:ascii="Times New Roman" w:hAnsi="Times New Roman" w:cs="Times New Roman"/>
          <w:color w:val="000000" w:themeColor="text1"/>
        </w:rPr>
        <w:t xml:space="preserve">with </w:t>
      </w:r>
      <w:r w:rsidRPr="00AD6787">
        <w:rPr>
          <w:rFonts w:ascii="Times New Roman" w:hAnsi="Times New Roman" w:cs="Times New Roman"/>
          <w:color w:val="000000" w:themeColor="text1"/>
        </w:rPr>
        <w:t>white men and women.</w:t>
      </w:r>
      <w:r w:rsidR="006E4F65">
        <w:rPr>
          <w:rFonts w:ascii="Times New Roman" w:hAnsi="Times New Roman" w:cs="Times New Roman"/>
          <w:color w:val="000000" w:themeColor="text1"/>
        </w:rPr>
        <w:t xml:space="preserve"> B</w:t>
      </w:r>
      <w:r w:rsidRPr="00AD6787">
        <w:rPr>
          <w:rFonts w:ascii="Times New Roman" w:hAnsi="Times New Roman" w:cs="Times New Roman"/>
          <w:color w:val="000000" w:themeColor="text1"/>
        </w:rPr>
        <w:t>lack women were faced with inescapable degradation as they were forced into subordination by both white and black men.</w:t>
      </w:r>
    </w:p>
    <w:p w14:paraId="61BDDBBB" w14:textId="5A9BAC39" w:rsidR="00AD6787" w:rsidRPr="00AD6787" w:rsidRDefault="00AD6787" w:rsidP="00AD6787">
      <w:pPr>
        <w:spacing w:line="480" w:lineRule="auto"/>
        <w:ind w:firstLine="720"/>
        <w:rPr>
          <w:rFonts w:ascii="Times New Roman" w:hAnsi="Times New Roman" w:cs="Times New Roman"/>
          <w:color w:val="000000" w:themeColor="text1"/>
        </w:rPr>
      </w:pPr>
      <w:r w:rsidRPr="00AD6787">
        <w:rPr>
          <w:rFonts w:ascii="Times New Roman" w:hAnsi="Times New Roman" w:cs="Times New Roman"/>
          <w:color w:val="000000" w:themeColor="text1"/>
        </w:rPr>
        <w:t>The silence of white southerners that disapproved of lynching only aided the goals of the white mob and their attack on African American men. The concept of rape at the end of the nineteenth century was considered to be “The Negro Crime.”</w:t>
      </w:r>
      <w:r w:rsidRPr="00AD6787">
        <w:rPr>
          <w:rStyle w:val="FootnoteReference"/>
          <w:rFonts w:ascii="Times New Roman" w:hAnsi="Times New Roman" w:cs="Times New Roman"/>
          <w:color w:val="000000" w:themeColor="text1"/>
        </w:rPr>
        <w:footnoteReference w:id="12"/>
      </w:r>
      <w:r w:rsidRPr="00AD6787">
        <w:rPr>
          <w:rFonts w:ascii="Times New Roman" w:hAnsi="Times New Roman" w:cs="Times New Roman"/>
          <w:color w:val="000000" w:themeColor="text1"/>
        </w:rPr>
        <w:t xml:space="preserve"> African American men’s right to vote was undermined by the fear of rape which was a concept created by white southerners.</w:t>
      </w:r>
      <w:r w:rsidRPr="00AD6787">
        <w:rPr>
          <w:rStyle w:val="FootnoteReference"/>
          <w:rFonts w:ascii="Times New Roman" w:hAnsi="Times New Roman" w:cs="Times New Roman"/>
          <w:color w:val="000000" w:themeColor="text1"/>
        </w:rPr>
        <w:footnoteReference w:id="13"/>
      </w:r>
      <w:r w:rsidRPr="00AD6787">
        <w:rPr>
          <w:rFonts w:ascii="Times New Roman" w:hAnsi="Times New Roman" w:cs="Times New Roman"/>
          <w:color w:val="000000" w:themeColor="text1"/>
        </w:rPr>
        <w:t xml:space="preserve"> The branding of rape as a crime that African American men were solely responsible for allowed the white mob to overpower others who believed elsewise. </w:t>
      </w:r>
      <w:r w:rsidR="00E630E5">
        <w:rPr>
          <w:rFonts w:ascii="Times New Roman" w:hAnsi="Times New Roman" w:cs="Times New Roman"/>
          <w:color w:val="000000" w:themeColor="text1"/>
        </w:rPr>
        <w:t>“S</w:t>
      </w:r>
      <w:r w:rsidRPr="00AD6787">
        <w:rPr>
          <w:rFonts w:ascii="Times New Roman" w:hAnsi="Times New Roman" w:cs="Times New Roman"/>
          <w:color w:val="000000" w:themeColor="text1"/>
        </w:rPr>
        <w:t>ome white southerners agreed that lynch mobs were barbaric, undermined the rule of law, and sacrificed the reputation of the South.”</w:t>
      </w:r>
      <w:r w:rsidRPr="00AD6787">
        <w:rPr>
          <w:rStyle w:val="FootnoteReference"/>
          <w:rFonts w:ascii="Times New Roman" w:hAnsi="Times New Roman" w:cs="Times New Roman"/>
          <w:color w:val="000000" w:themeColor="text1"/>
        </w:rPr>
        <w:footnoteReference w:id="14"/>
      </w:r>
      <w:r w:rsidRPr="00AD6787">
        <w:rPr>
          <w:rFonts w:ascii="Times New Roman" w:hAnsi="Times New Roman" w:cs="Times New Roman"/>
          <w:color w:val="000000" w:themeColor="text1"/>
        </w:rPr>
        <w:t xml:space="preserve"> The white southerners who</w:t>
      </w:r>
      <w:r w:rsidR="005435BF">
        <w:rPr>
          <w:rFonts w:ascii="Times New Roman" w:hAnsi="Times New Roman" w:cs="Times New Roman"/>
          <w:color w:val="000000" w:themeColor="text1"/>
        </w:rPr>
        <w:t xml:space="preserve"> did not</w:t>
      </w:r>
      <w:r w:rsidRPr="00AD6787">
        <w:rPr>
          <w:rFonts w:ascii="Times New Roman" w:hAnsi="Times New Roman" w:cs="Times New Roman"/>
          <w:color w:val="000000" w:themeColor="text1"/>
        </w:rPr>
        <w:t xml:space="preserve"> believe in the lynch mobs remained mostly silent to protect their own safety. White southerners feared that if they spoke out especially if they were part of the lower</w:t>
      </w:r>
      <w:r w:rsidR="00E630E5">
        <w:rPr>
          <w:rFonts w:ascii="Times New Roman" w:hAnsi="Times New Roman" w:cs="Times New Roman"/>
          <w:color w:val="000000" w:themeColor="text1"/>
        </w:rPr>
        <w:t>-</w:t>
      </w:r>
      <w:r w:rsidRPr="00AD6787">
        <w:rPr>
          <w:rFonts w:ascii="Times New Roman" w:hAnsi="Times New Roman" w:cs="Times New Roman"/>
          <w:color w:val="000000" w:themeColor="text1"/>
        </w:rPr>
        <w:t>class</w:t>
      </w:r>
      <w:r w:rsidR="00E630E5">
        <w:rPr>
          <w:rFonts w:ascii="Times New Roman" w:hAnsi="Times New Roman" w:cs="Times New Roman"/>
          <w:color w:val="000000" w:themeColor="text1"/>
        </w:rPr>
        <w:t>,</w:t>
      </w:r>
      <w:r w:rsidRPr="00AD6787">
        <w:rPr>
          <w:rFonts w:ascii="Times New Roman" w:hAnsi="Times New Roman" w:cs="Times New Roman"/>
          <w:color w:val="000000" w:themeColor="text1"/>
        </w:rPr>
        <w:t xml:space="preserve"> they would risk showing support for African Americans and in turn face violent consequences. There were anti-lynching bills passed however, it did not stop the continued tolerance of the white mob by other white southerners. Ida B. Wells conveys that the inability of action taken by white southerners to condemn lynching made them “equally guilty with the actual law-breakers.”</w:t>
      </w:r>
      <w:r w:rsidRPr="00AD6787">
        <w:rPr>
          <w:rStyle w:val="FootnoteReference"/>
          <w:rFonts w:ascii="Times New Roman" w:hAnsi="Times New Roman" w:cs="Times New Roman"/>
          <w:color w:val="000000" w:themeColor="text1"/>
        </w:rPr>
        <w:footnoteReference w:id="15"/>
      </w:r>
      <w:r w:rsidRPr="00AD6787">
        <w:rPr>
          <w:rFonts w:ascii="Times New Roman" w:hAnsi="Times New Roman" w:cs="Times New Roman"/>
          <w:color w:val="000000" w:themeColor="text1"/>
        </w:rPr>
        <w:t xml:space="preserve"> The failure of direct action allowed for the white mob to run ramped in the south creating an uprising of lynching terrors where African American men were forced to fear for their lives if they had any type of interaction with a white woman. The </w:t>
      </w:r>
      <w:r w:rsidRPr="00AD6787">
        <w:rPr>
          <w:rFonts w:ascii="Times New Roman" w:hAnsi="Times New Roman" w:cs="Times New Roman"/>
          <w:color w:val="000000" w:themeColor="text1"/>
        </w:rPr>
        <w:lastRenderedPageBreak/>
        <w:t xml:space="preserve">redefinition of rape in the late 1890s was solely the belief that only black men raped white women. </w:t>
      </w:r>
    </w:p>
    <w:p w14:paraId="42AED64A" w14:textId="2D911137" w:rsidR="00AD6787" w:rsidRDefault="00AD6787" w:rsidP="00AD6787">
      <w:pPr>
        <w:spacing w:line="480" w:lineRule="auto"/>
        <w:ind w:firstLine="720"/>
        <w:rPr>
          <w:rFonts w:ascii="Times New Roman" w:hAnsi="Times New Roman" w:cs="Times New Roman"/>
        </w:rPr>
      </w:pPr>
      <w:r>
        <w:rPr>
          <w:rFonts w:ascii="Times New Roman" w:hAnsi="Times New Roman" w:cs="Times New Roman"/>
        </w:rPr>
        <w:t>The 1908 Springfield riot that resulted in the burning of the black business district and the lynching of two black men brought upon the establishment of the movement for racial justice.</w:t>
      </w:r>
      <w:r>
        <w:rPr>
          <w:rStyle w:val="FootnoteReference"/>
          <w:rFonts w:ascii="Times New Roman" w:hAnsi="Times New Roman" w:cs="Times New Roman"/>
        </w:rPr>
        <w:footnoteReference w:id="16"/>
      </w:r>
      <w:r>
        <w:rPr>
          <w:rFonts w:ascii="Times New Roman" w:hAnsi="Times New Roman" w:cs="Times New Roman"/>
        </w:rPr>
        <w:t xml:space="preserve"> The National Association for the Advancement of Colored People was founded and the interracial group set an agenda to combat the false ideas created by white supremacy. The NAACP not only worked to bring attention to the injustices black men were facing but also black women. At the forefront of the NAACP’s agenda was the activism of “black artists and writers” as they “addressed the racial dynamics of sexual violence.”</w:t>
      </w:r>
      <w:r>
        <w:rPr>
          <w:rStyle w:val="FootnoteReference"/>
          <w:rFonts w:ascii="Times New Roman" w:hAnsi="Times New Roman" w:cs="Times New Roman"/>
        </w:rPr>
        <w:footnoteReference w:id="17"/>
      </w:r>
      <w:r>
        <w:rPr>
          <w:rFonts w:ascii="Times New Roman" w:hAnsi="Times New Roman" w:cs="Times New Roman"/>
        </w:rPr>
        <w:t xml:space="preserve"> In </w:t>
      </w:r>
      <w:r w:rsidR="00694620">
        <w:rPr>
          <w:rFonts w:ascii="Times New Roman" w:hAnsi="Times New Roman" w:cs="Times New Roman"/>
        </w:rPr>
        <w:t xml:space="preserve">the film, </w:t>
      </w:r>
      <w:r>
        <w:rPr>
          <w:rFonts w:ascii="Times New Roman" w:hAnsi="Times New Roman" w:cs="Times New Roman"/>
        </w:rPr>
        <w:t xml:space="preserve">“Within Our Gates,” the audience witnesses a flashback of Sylvia Landry almost being raped by the brother of the murdered landowner. The film depicts Armand </w:t>
      </w:r>
      <w:proofErr w:type="spellStart"/>
      <w:r>
        <w:rPr>
          <w:rFonts w:ascii="Times New Roman" w:hAnsi="Times New Roman" w:cs="Times New Roman"/>
        </w:rPr>
        <w:t>Gridlestone</w:t>
      </w:r>
      <w:proofErr w:type="spellEnd"/>
      <w:r>
        <w:rPr>
          <w:rFonts w:ascii="Times New Roman" w:hAnsi="Times New Roman" w:cs="Times New Roman"/>
        </w:rPr>
        <w:t xml:space="preserve"> not being satisfied with the lynching of both of Sylvia’s adopted parents therefore he attempts to rape her out of anger and sexual aggression.</w:t>
      </w:r>
      <w:r>
        <w:rPr>
          <w:rStyle w:val="FootnoteReference"/>
          <w:rFonts w:ascii="Times New Roman" w:hAnsi="Times New Roman" w:cs="Times New Roman"/>
        </w:rPr>
        <w:footnoteReference w:id="18"/>
      </w:r>
      <w:r>
        <w:rPr>
          <w:rFonts w:ascii="Times New Roman" w:hAnsi="Times New Roman" w:cs="Times New Roman"/>
        </w:rPr>
        <w:t xml:space="preserve"> The image of the black woman being subject</w:t>
      </w:r>
      <w:r w:rsidR="00D61C9E">
        <w:rPr>
          <w:rFonts w:ascii="Times New Roman" w:hAnsi="Times New Roman" w:cs="Times New Roman"/>
        </w:rPr>
        <w:t>ed</w:t>
      </w:r>
      <w:r>
        <w:rPr>
          <w:rFonts w:ascii="Times New Roman" w:hAnsi="Times New Roman" w:cs="Times New Roman"/>
        </w:rPr>
        <w:t xml:space="preserve"> to rape showcases the racial dynamic of sexual violence between white men and black women. </w:t>
      </w:r>
    </w:p>
    <w:p w14:paraId="485FA5E1" w14:textId="0F8F5996" w:rsidR="00AD6787" w:rsidRDefault="00AD6787" w:rsidP="00AD6787">
      <w:pPr>
        <w:spacing w:line="480" w:lineRule="auto"/>
        <w:ind w:firstLine="720"/>
        <w:rPr>
          <w:rFonts w:ascii="Times New Roman" w:hAnsi="Times New Roman" w:cs="Times New Roman"/>
        </w:rPr>
      </w:pPr>
      <w:r>
        <w:rPr>
          <w:rFonts w:ascii="Times New Roman" w:hAnsi="Times New Roman" w:cs="Times New Roman"/>
        </w:rPr>
        <w:t>The white press solely projected the horrors of the rape of white women and ignored the black women that were raped. “The Birth of a Nation” showcases that a white woman is better off dead than to be raped by a black man.</w:t>
      </w:r>
      <w:r>
        <w:rPr>
          <w:rStyle w:val="FootnoteReference"/>
          <w:rFonts w:ascii="Times New Roman" w:hAnsi="Times New Roman" w:cs="Times New Roman"/>
        </w:rPr>
        <w:footnoteReference w:id="19"/>
      </w:r>
      <w:r>
        <w:rPr>
          <w:rFonts w:ascii="Times New Roman" w:hAnsi="Times New Roman" w:cs="Times New Roman"/>
        </w:rPr>
        <w:t xml:space="preserve">  The black press worked to debunk the narrative of white women being the only victims of rape.  Black journalists and writers redefined rape to include black women.</w:t>
      </w:r>
      <w:r>
        <w:rPr>
          <w:rStyle w:val="FootnoteReference"/>
          <w:rFonts w:ascii="Times New Roman" w:hAnsi="Times New Roman" w:cs="Times New Roman"/>
        </w:rPr>
        <w:footnoteReference w:id="20"/>
      </w:r>
      <w:r>
        <w:rPr>
          <w:rFonts w:ascii="Times New Roman" w:hAnsi="Times New Roman" w:cs="Times New Roman"/>
        </w:rPr>
        <w:t xml:space="preserve"> Ida B. Wells was the first to draw attention to the numerous black </w:t>
      </w:r>
      <w:r>
        <w:rPr>
          <w:rFonts w:ascii="Times New Roman" w:hAnsi="Times New Roman" w:cs="Times New Roman"/>
        </w:rPr>
        <w:lastRenderedPageBreak/>
        <w:t>women being raped by white men. Wells depicted “white Southern men as the lustful rapists of black women and the hypocritical murders of innocent black men.”</w:t>
      </w:r>
      <w:r>
        <w:rPr>
          <w:rStyle w:val="FootnoteReference"/>
          <w:rFonts w:ascii="Times New Roman" w:hAnsi="Times New Roman" w:cs="Times New Roman"/>
        </w:rPr>
        <w:footnoteReference w:id="21"/>
      </w:r>
      <w:r>
        <w:rPr>
          <w:rFonts w:ascii="Times New Roman" w:hAnsi="Times New Roman" w:cs="Times New Roman"/>
        </w:rPr>
        <w:t xml:space="preserve"> The rape of black women was fully ignored until this point because black women were regarded to be animalistic in nature and unvirtuous. The recognition of the rape of black women devastated communities as black men’s inability to defend their own women from assault hindered their ability to attain the full status of manhood.</w:t>
      </w:r>
      <w:r>
        <w:rPr>
          <w:rStyle w:val="FootnoteReference"/>
          <w:rFonts w:ascii="Times New Roman" w:hAnsi="Times New Roman" w:cs="Times New Roman"/>
        </w:rPr>
        <w:footnoteReference w:id="22"/>
      </w:r>
      <w:r>
        <w:rPr>
          <w:rFonts w:ascii="Times New Roman" w:hAnsi="Times New Roman" w:cs="Times New Roman"/>
        </w:rPr>
        <w:t xml:space="preserve"> The organization of black women against rape and lynching is defined as a pivotal movement in racial and sexual justice that subsequently led to the creation of the broader definition of rape. </w:t>
      </w:r>
      <w:r>
        <w:rPr>
          <w:rStyle w:val="FootnoteReference"/>
          <w:rFonts w:ascii="Times New Roman" w:hAnsi="Times New Roman" w:cs="Times New Roman"/>
        </w:rPr>
        <w:footnoteReference w:id="23"/>
      </w:r>
    </w:p>
    <w:p w14:paraId="186B9024" w14:textId="77777777" w:rsidR="00AD6787" w:rsidRDefault="00AD6787" w:rsidP="00AD6787">
      <w:pPr>
        <w:spacing w:line="480" w:lineRule="auto"/>
        <w:ind w:firstLine="720"/>
        <w:rPr>
          <w:rFonts w:ascii="Times New Roman" w:hAnsi="Times New Roman" w:cs="Times New Roman"/>
        </w:rPr>
      </w:pPr>
      <w:r>
        <w:rPr>
          <w:rFonts w:ascii="Times New Roman" w:hAnsi="Times New Roman" w:cs="Times New Roman"/>
        </w:rPr>
        <w:t>At the dawn of the twentieth century, most women were making efforts to receive an education if they had the privilege or trade in domestic work for urban factory jobs. A record number of women were unmarried at the time which concerned Victorian mothers with their daughter’s ability to fulfill the responsibilities of a true woman.</w:t>
      </w:r>
      <w:r>
        <w:rPr>
          <w:rStyle w:val="FootnoteReference"/>
          <w:rFonts w:ascii="Times New Roman" w:hAnsi="Times New Roman" w:cs="Times New Roman"/>
        </w:rPr>
        <w:footnoteReference w:id="24"/>
      </w:r>
      <w:r>
        <w:rPr>
          <w:rFonts w:ascii="Times New Roman" w:hAnsi="Times New Roman" w:cs="Times New Roman"/>
        </w:rPr>
        <w:t xml:space="preserve"> A number of middle class, elite, and working-class women’s desires to become independent women jeopardized the institution of the Victorian home. The factory work place actually served as a safer space for working women because they lived at home.</w:t>
      </w:r>
      <w:r>
        <w:rPr>
          <w:rStyle w:val="FootnoteReference"/>
          <w:rFonts w:ascii="Times New Roman" w:hAnsi="Times New Roman" w:cs="Times New Roman"/>
        </w:rPr>
        <w:footnoteReference w:id="25"/>
      </w:r>
      <w:r>
        <w:rPr>
          <w:rFonts w:ascii="Times New Roman" w:hAnsi="Times New Roman" w:cs="Times New Roman"/>
        </w:rPr>
        <w:t xml:space="preserve"> Domestic servitude posed a greater risk to the moral corruption of women as coercive sex and sexual exploitation of servants was more common and therefore led to “ruined” domestic women to enter prostitution.</w:t>
      </w:r>
      <w:r>
        <w:rPr>
          <w:rStyle w:val="FootnoteReference"/>
          <w:rFonts w:ascii="Times New Roman" w:hAnsi="Times New Roman" w:cs="Times New Roman"/>
        </w:rPr>
        <w:footnoteReference w:id="26"/>
      </w:r>
      <w:r>
        <w:rPr>
          <w:rFonts w:ascii="Times New Roman" w:hAnsi="Times New Roman" w:cs="Times New Roman"/>
        </w:rPr>
        <w:t xml:space="preserve"> The number of black women in domestic servitude was limited as the number of southern black migrants were </w:t>
      </w:r>
      <w:r>
        <w:rPr>
          <w:rFonts w:ascii="Times New Roman" w:hAnsi="Times New Roman" w:cs="Times New Roman"/>
        </w:rPr>
        <w:lastRenderedPageBreak/>
        <w:t>minimal at the time. White employers also rejected black servants because of their “proverbial uppishness.”</w:t>
      </w:r>
      <w:r>
        <w:rPr>
          <w:rStyle w:val="FootnoteReference"/>
          <w:rFonts w:ascii="Times New Roman" w:hAnsi="Times New Roman" w:cs="Times New Roman"/>
        </w:rPr>
        <w:footnoteReference w:id="27"/>
      </w:r>
      <w:r>
        <w:rPr>
          <w:rFonts w:ascii="Times New Roman" w:hAnsi="Times New Roman" w:cs="Times New Roman"/>
        </w:rPr>
        <w:t xml:space="preserve"> Sylvia Landry in “Within Our Gates” defies the common role of a black woman during this time. As an educated woman, she holds an occupation as a teacher and pursues the agenda of educating poor black children. Sylvia’s ability to achieve a greater occupation than domestic service shows how she redefines what a black woman can be and contribute to society at this time. Sylvia’s desire to uplift her race by educating future generations conveys how she is a respectable working black woman. Even Sylvia’s love interest Dr. V. Vivian mirrors her respectability as he creates a positive image for black men as an educated black doctor.</w:t>
      </w:r>
    </w:p>
    <w:p w14:paraId="71858207" w14:textId="77777777" w:rsidR="00AD6787" w:rsidRDefault="00AD6787" w:rsidP="00AD6787">
      <w:pPr>
        <w:spacing w:line="480" w:lineRule="auto"/>
        <w:ind w:firstLine="720"/>
        <w:rPr>
          <w:rFonts w:ascii="Times New Roman" w:hAnsi="Times New Roman" w:cs="Times New Roman"/>
        </w:rPr>
      </w:pPr>
      <w:r>
        <w:rPr>
          <w:rFonts w:ascii="Times New Roman" w:hAnsi="Times New Roman" w:cs="Times New Roman"/>
        </w:rPr>
        <w:t>As women began to advance in society form receiving an education and working, they posed a direct threat to the white supremacist patriarchy. After Reconstruction, white men began to compete with black men for jobs. As women began to participate in the workforce in the early twentieth century, white men were compelled to place more restrictions on women’s freedom in order to protect themselves. As work propelled women to venture city streets unaccompanied there was a push for street harassment to be redefined as a crime. The “[l]inking [of] the murders of women to street harassment meshed with desires for law and order and for urban economic growth.”</w:t>
      </w:r>
      <w:r>
        <w:rPr>
          <w:rStyle w:val="FootnoteReference"/>
          <w:rFonts w:ascii="Times New Roman" w:hAnsi="Times New Roman" w:cs="Times New Roman"/>
        </w:rPr>
        <w:footnoteReference w:id="28"/>
      </w:r>
      <w:r>
        <w:rPr>
          <w:rFonts w:ascii="Times New Roman" w:hAnsi="Times New Roman" w:cs="Times New Roman"/>
        </w:rPr>
        <w:t xml:space="preserve"> In order for women to achieve economic independence restrictions needed to be placed on sexually dangerous behaviors of men. As a result of new legal restrictions being placed on men’s sexual behavior both northern white and black women eventually rejected the dependence of chivalrous protection by men.</w:t>
      </w:r>
      <w:r>
        <w:rPr>
          <w:rStyle w:val="FootnoteReference"/>
          <w:rFonts w:ascii="Times New Roman" w:hAnsi="Times New Roman" w:cs="Times New Roman"/>
        </w:rPr>
        <w:footnoteReference w:id="29"/>
      </w:r>
      <w:r>
        <w:rPr>
          <w:rFonts w:ascii="Times New Roman" w:hAnsi="Times New Roman" w:cs="Times New Roman"/>
        </w:rPr>
        <w:t xml:space="preserve"> The domain of the public woman was being redefined as the gender system began to transition from female dependence on men to aspirations of independence. </w:t>
      </w:r>
    </w:p>
    <w:p w14:paraId="29DA354A" w14:textId="26D077C6" w:rsidR="00AD6787" w:rsidRDefault="00AD6787" w:rsidP="00AD6787">
      <w:pPr>
        <w:spacing w:line="480" w:lineRule="auto"/>
        <w:ind w:firstLine="720"/>
        <w:rPr>
          <w:rFonts w:ascii="Times New Roman" w:hAnsi="Times New Roman" w:cs="Times New Roman"/>
        </w:rPr>
      </w:pPr>
      <w:r>
        <w:rPr>
          <w:rFonts w:ascii="Times New Roman" w:hAnsi="Times New Roman" w:cs="Times New Roman"/>
        </w:rPr>
        <w:lastRenderedPageBreak/>
        <w:t>Women’s emergence into the public sphere brought more attention to the street harassment of black women by white men. The resistance of white mashers by African American women contributed to their quest for sexual respectability and economic opportunity.</w:t>
      </w:r>
      <w:r>
        <w:rPr>
          <w:rStyle w:val="FootnoteReference"/>
          <w:rFonts w:ascii="Times New Roman" w:hAnsi="Times New Roman" w:cs="Times New Roman"/>
        </w:rPr>
        <w:footnoteReference w:id="30"/>
      </w:r>
      <w:r>
        <w:rPr>
          <w:rFonts w:ascii="Times New Roman" w:hAnsi="Times New Roman" w:cs="Times New Roman"/>
        </w:rPr>
        <w:t xml:space="preserve"> Sylvia Landry’s journey to travel alone to Boston to fundraise $5,000 for her school to remain funded shows how she pursued economic opportunity as an educated and virtuous woman. However, her journey to the North did not come without obstacles. Her decision to travel alone resulted in her being robbed. In the film, a man on the street approaches Sylvia as she appears to be lost and he begins to escort her on the street but as soon as he sees her money</w:t>
      </w:r>
      <w:r w:rsidR="004E4BCC">
        <w:rPr>
          <w:rFonts w:ascii="Times New Roman" w:hAnsi="Times New Roman" w:cs="Times New Roman"/>
        </w:rPr>
        <w:t>,</w:t>
      </w:r>
      <w:r>
        <w:rPr>
          <w:rFonts w:ascii="Times New Roman" w:hAnsi="Times New Roman" w:cs="Times New Roman"/>
        </w:rPr>
        <w:t xml:space="preserve"> he takes off with it. The urban space offered opportunity for women but also presented grave danger and threatened their safety. The moral safety of Sylvia was threatened when she was robbed as she was unable to defend herself without the risk of developing unwomanly characteristics.</w:t>
      </w:r>
      <w:r>
        <w:rPr>
          <w:rStyle w:val="FootnoteReference"/>
          <w:rFonts w:ascii="Times New Roman" w:hAnsi="Times New Roman" w:cs="Times New Roman"/>
        </w:rPr>
        <w:footnoteReference w:id="31"/>
      </w:r>
      <w:r>
        <w:rPr>
          <w:rFonts w:ascii="Times New Roman" w:hAnsi="Times New Roman" w:cs="Times New Roman"/>
        </w:rPr>
        <w:t xml:space="preserve"> The urban space offered freedom of observation for men and therefore the “annoying of women increase[ed] as [they] approach[ed] the cities.”</w:t>
      </w:r>
      <w:r>
        <w:rPr>
          <w:rStyle w:val="FootnoteReference"/>
          <w:rFonts w:ascii="Times New Roman" w:hAnsi="Times New Roman" w:cs="Times New Roman"/>
        </w:rPr>
        <w:footnoteReference w:id="32"/>
      </w:r>
      <w:r>
        <w:rPr>
          <w:rFonts w:ascii="Times New Roman" w:hAnsi="Times New Roman" w:cs="Times New Roman"/>
        </w:rPr>
        <w:t xml:space="preserve"> Men saw cities as spaces where they could not be held responsible for their inappropriate actions because the woman that they would offend would be a stranger to them and they would most likely never see her again.</w:t>
      </w:r>
      <w:r>
        <w:rPr>
          <w:rStyle w:val="FootnoteReference"/>
          <w:rFonts w:ascii="Times New Roman" w:hAnsi="Times New Roman" w:cs="Times New Roman"/>
        </w:rPr>
        <w:footnoteReference w:id="33"/>
      </w:r>
      <w:r>
        <w:rPr>
          <w:rFonts w:ascii="Times New Roman" w:hAnsi="Times New Roman" w:cs="Times New Roman"/>
        </w:rPr>
        <w:t xml:space="preserve"> The racial coding of mashers ultimately exposed white male offenders and their insulting treatment of African American women.</w:t>
      </w:r>
      <w:r>
        <w:rPr>
          <w:rStyle w:val="FootnoteReference"/>
          <w:rFonts w:ascii="Times New Roman" w:hAnsi="Times New Roman" w:cs="Times New Roman"/>
        </w:rPr>
        <w:footnoteReference w:id="34"/>
      </w:r>
    </w:p>
    <w:p w14:paraId="333B1D58" w14:textId="17E00EC4" w:rsidR="00AD6787" w:rsidRDefault="00AD6787" w:rsidP="00AD6787">
      <w:pPr>
        <w:spacing w:line="480" w:lineRule="auto"/>
        <w:ind w:firstLine="720"/>
        <w:rPr>
          <w:rFonts w:ascii="Times New Roman" w:hAnsi="Times New Roman" w:cs="Times New Roman"/>
        </w:rPr>
      </w:pPr>
      <w:r>
        <w:rPr>
          <w:rFonts w:ascii="Times New Roman" w:hAnsi="Times New Roman" w:cs="Times New Roman"/>
        </w:rPr>
        <w:t xml:space="preserve">The racial dynamics in relation to sexual violence were beginning to be discussed more in the early twentieth century. The sexual violence against black women was brought up by the black press in efforts to seek racial justice. The movement of racial uplift is demonstrated clearly in the film, “Within Our Gates” as respectable black actors portray </w:t>
      </w:r>
      <w:r w:rsidR="00A22AA1">
        <w:rPr>
          <w:rFonts w:ascii="Times New Roman" w:hAnsi="Times New Roman" w:cs="Times New Roman"/>
        </w:rPr>
        <w:t xml:space="preserve">black middle class </w:t>
      </w:r>
      <w:r>
        <w:rPr>
          <w:rFonts w:ascii="Times New Roman" w:hAnsi="Times New Roman" w:cs="Times New Roman"/>
        </w:rPr>
        <w:t xml:space="preserve">educated </w:t>
      </w:r>
      <w:r>
        <w:rPr>
          <w:rFonts w:ascii="Times New Roman" w:hAnsi="Times New Roman" w:cs="Times New Roman"/>
        </w:rPr>
        <w:lastRenderedPageBreak/>
        <w:t>African Americans. The film conveyed how educated African Americans can help benefit American society. This is depicted through Sylvia Landry saving a young child from being hit by a car and her campaign to educate impoverished black children in the South. At this time in the United States, black bodies continued to be racialized but the expansion of women into the public sphere shed light on white offenders that had been getting away with immoral behavior. The redefinition of rape now included street harassment from all men to all women.</w:t>
      </w:r>
    </w:p>
    <w:p w14:paraId="4BCB2FB9" w14:textId="24151F48" w:rsidR="00175230" w:rsidRPr="000254BC" w:rsidRDefault="00175230" w:rsidP="00175230">
      <w:pPr>
        <w:spacing w:line="480" w:lineRule="auto"/>
        <w:ind w:firstLine="720"/>
        <w:rPr>
          <w:rFonts w:ascii="Times New Roman" w:hAnsi="Times New Roman" w:cs="Times New Roman"/>
          <w:color w:val="000000" w:themeColor="text1"/>
        </w:rPr>
      </w:pPr>
      <w:r w:rsidRPr="000254BC">
        <w:rPr>
          <w:rFonts w:ascii="Times New Roman" w:hAnsi="Times New Roman" w:cs="Times New Roman"/>
          <w:color w:val="000000" w:themeColor="text1"/>
        </w:rPr>
        <w:t>The Knoxville race riot of 1919 began when Maurice Mays a biracial man was falsely accused of jumping into bed with a white woman and murdering her.</w:t>
      </w:r>
      <w:r w:rsidRPr="000254BC">
        <w:rPr>
          <w:rStyle w:val="FootnoteReference"/>
          <w:rFonts w:ascii="Times New Roman" w:hAnsi="Times New Roman" w:cs="Times New Roman"/>
          <w:color w:val="000000" w:themeColor="text1"/>
        </w:rPr>
        <w:footnoteReference w:id="35"/>
      </w:r>
      <w:r w:rsidRPr="000254BC">
        <w:rPr>
          <w:rFonts w:ascii="Times New Roman" w:hAnsi="Times New Roman" w:cs="Times New Roman"/>
          <w:color w:val="000000" w:themeColor="text1"/>
        </w:rPr>
        <w:t xml:space="preserve"> The Knoxville Journal and Tribune published an extra edition announcing the murder of Mrs. Bertie Lindsey and how the crime had been committed by an unnamed </w:t>
      </w:r>
      <w:r w:rsidR="00E6787F">
        <w:rPr>
          <w:rFonts w:ascii="Times New Roman" w:hAnsi="Times New Roman" w:cs="Times New Roman"/>
          <w:color w:val="000000" w:themeColor="text1"/>
        </w:rPr>
        <w:t>black man</w:t>
      </w:r>
      <w:r w:rsidRPr="000254BC">
        <w:rPr>
          <w:rFonts w:ascii="Times New Roman" w:hAnsi="Times New Roman" w:cs="Times New Roman"/>
          <w:color w:val="000000" w:themeColor="text1"/>
        </w:rPr>
        <w:t>.</w:t>
      </w:r>
      <w:r w:rsidRPr="000254BC">
        <w:rPr>
          <w:rStyle w:val="FootnoteReference"/>
          <w:rFonts w:ascii="Times New Roman" w:hAnsi="Times New Roman" w:cs="Times New Roman"/>
          <w:color w:val="000000" w:themeColor="text1"/>
        </w:rPr>
        <w:footnoteReference w:id="36"/>
      </w:r>
      <w:r w:rsidRPr="000254BC">
        <w:rPr>
          <w:rFonts w:ascii="Times New Roman" w:hAnsi="Times New Roman" w:cs="Times New Roman"/>
          <w:color w:val="000000" w:themeColor="text1"/>
        </w:rPr>
        <w:t xml:space="preserve"> Rumors began to circulate that Maurice Mays had committed the act and tensions that had been building up between black</w:t>
      </w:r>
      <w:r w:rsidR="003173CB">
        <w:rPr>
          <w:rFonts w:ascii="Times New Roman" w:hAnsi="Times New Roman" w:cs="Times New Roman"/>
          <w:color w:val="000000" w:themeColor="text1"/>
        </w:rPr>
        <w:t xml:space="preserve"> people</w:t>
      </w:r>
      <w:r w:rsidRPr="000254BC">
        <w:rPr>
          <w:rFonts w:ascii="Times New Roman" w:hAnsi="Times New Roman" w:cs="Times New Roman"/>
          <w:color w:val="000000" w:themeColor="text1"/>
        </w:rPr>
        <w:t xml:space="preserve"> and white</w:t>
      </w:r>
      <w:r w:rsidR="003173CB">
        <w:rPr>
          <w:rFonts w:ascii="Times New Roman" w:hAnsi="Times New Roman" w:cs="Times New Roman"/>
          <w:color w:val="000000" w:themeColor="text1"/>
        </w:rPr>
        <w:t xml:space="preserve"> people</w:t>
      </w:r>
      <w:r w:rsidRPr="000254BC">
        <w:rPr>
          <w:rFonts w:ascii="Times New Roman" w:hAnsi="Times New Roman" w:cs="Times New Roman"/>
          <w:color w:val="000000" w:themeColor="text1"/>
        </w:rPr>
        <w:t xml:space="preserve"> in Knoxville came to a head and violence broke out on the streets resulting in bloodshed. Mays</w:t>
      </w:r>
      <w:r w:rsidR="00DF2391">
        <w:rPr>
          <w:rFonts w:ascii="Times New Roman" w:hAnsi="Times New Roman" w:cs="Times New Roman"/>
          <w:color w:val="000000" w:themeColor="text1"/>
        </w:rPr>
        <w:t>’s</w:t>
      </w:r>
      <w:r w:rsidRPr="000254BC">
        <w:rPr>
          <w:rFonts w:ascii="Times New Roman" w:hAnsi="Times New Roman" w:cs="Times New Roman"/>
          <w:color w:val="000000" w:themeColor="text1"/>
        </w:rPr>
        <w:t xml:space="preserve"> unfair prosecution depicts how the crime of being charged with rape was only applied to black men. The idea of the black male rapists continued to be conditioned in white minds. The common belief of the black male rapists allowed for rape to be mislabeled because the majority of defendants in rape trials were black. “In 1906, a black man named Edward Johnson, was convicted of raping a white woman and sentenced to death by an all-white jury in Chattanooga.”</w:t>
      </w:r>
      <w:r w:rsidRPr="000254BC">
        <w:rPr>
          <w:rStyle w:val="FootnoteReference"/>
          <w:rFonts w:ascii="Times New Roman" w:hAnsi="Times New Roman" w:cs="Times New Roman"/>
          <w:color w:val="000000" w:themeColor="text1"/>
        </w:rPr>
        <w:footnoteReference w:id="37"/>
      </w:r>
      <w:r w:rsidRPr="000254BC">
        <w:rPr>
          <w:rFonts w:ascii="Times New Roman" w:hAnsi="Times New Roman" w:cs="Times New Roman"/>
          <w:color w:val="000000" w:themeColor="text1"/>
        </w:rPr>
        <w:t xml:space="preserve"> Attorneys’ won Johnson’s appeal to the Supreme Court but he fell victim to white mob violence and was lynched at the hands of infuriated white men. </w:t>
      </w:r>
      <w:r w:rsidR="005B540E">
        <w:rPr>
          <w:rFonts w:ascii="Times New Roman" w:hAnsi="Times New Roman" w:cs="Times New Roman"/>
          <w:color w:val="000000" w:themeColor="text1"/>
        </w:rPr>
        <w:t>I</w:t>
      </w:r>
      <w:r w:rsidR="005B540E" w:rsidRPr="000254BC">
        <w:rPr>
          <w:rFonts w:ascii="Times New Roman" w:hAnsi="Times New Roman" w:cs="Times New Roman"/>
          <w:color w:val="000000" w:themeColor="text1"/>
        </w:rPr>
        <w:t xml:space="preserve">n the </w:t>
      </w:r>
      <w:r w:rsidR="005B540E" w:rsidRPr="000254BC">
        <w:rPr>
          <w:rFonts w:ascii="Times New Roman" w:hAnsi="Times New Roman" w:cs="Times New Roman"/>
          <w:color w:val="000000" w:themeColor="text1"/>
        </w:rPr>
        <w:lastRenderedPageBreak/>
        <w:t>mid twentieth century</w:t>
      </w:r>
      <w:r w:rsidR="005B540E">
        <w:rPr>
          <w:rFonts w:ascii="Times New Roman" w:hAnsi="Times New Roman" w:cs="Times New Roman"/>
          <w:color w:val="000000" w:themeColor="text1"/>
        </w:rPr>
        <w:t>, t</w:t>
      </w:r>
      <w:r w:rsidRPr="000254BC">
        <w:rPr>
          <w:rFonts w:ascii="Times New Roman" w:hAnsi="Times New Roman" w:cs="Times New Roman"/>
          <w:color w:val="000000" w:themeColor="text1"/>
        </w:rPr>
        <w:t>he consistency of rape being racialized led to black men being labeled as rapists which in turn led white men to escape from their crimes of rape</w:t>
      </w:r>
      <w:r w:rsidR="005B540E">
        <w:rPr>
          <w:rFonts w:ascii="Times New Roman" w:hAnsi="Times New Roman" w:cs="Times New Roman"/>
          <w:color w:val="000000" w:themeColor="text1"/>
        </w:rPr>
        <w:t>.</w:t>
      </w:r>
    </w:p>
    <w:p w14:paraId="4CF2B03C" w14:textId="2E35691B" w:rsidR="00175230" w:rsidRPr="000254BC" w:rsidRDefault="00175230" w:rsidP="00175230">
      <w:pPr>
        <w:spacing w:line="480" w:lineRule="auto"/>
        <w:ind w:firstLine="720"/>
        <w:rPr>
          <w:rFonts w:ascii="Times New Roman" w:hAnsi="Times New Roman" w:cs="Times New Roman"/>
          <w:color w:val="000000" w:themeColor="text1"/>
        </w:rPr>
      </w:pPr>
      <w:r w:rsidRPr="000254BC">
        <w:rPr>
          <w:rFonts w:ascii="Times New Roman" w:hAnsi="Times New Roman" w:cs="Times New Roman"/>
          <w:color w:val="000000" w:themeColor="text1"/>
        </w:rPr>
        <w:t>Twentieth century America brought women fully into the public sphere as they were in the workforce to support the war cause or receiving an education. Men in uniform appeared to win over the sentiments of young women in America. After World War I, “soldiers argued that [their] sacrifice for [their] country demanded a similar sexual sacrifice from young women.”</w:t>
      </w:r>
      <w:r w:rsidRPr="000254BC">
        <w:rPr>
          <w:rStyle w:val="FootnoteReference"/>
          <w:rFonts w:ascii="Times New Roman" w:hAnsi="Times New Roman" w:cs="Times New Roman"/>
          <w:color w:val="000000" w:themeColor="text1"/>
        </w:rPr>
        <w:footnoteReference w:id="38"/>
      </w:r>
      <w:r w:rsidRPr="000254BC">
        <w:rPr>
          <w:rFonts w:ascii="Times New Roman" w:hAnsi="Times New Roman" w:cs="Times New Roman"/>
          <w:color w:val="000000" w:themeColor="text1"/>
        </w:rPr>
        <w:t xml:space="preserve"> This general idea held by men led to them believing that they had the right to engage in sexual activity with any women who presented herself as flirtatious or promiscuous. White soldiers believed that their GI status granted them the privilege to not only have sexual relations with any woman but also face no consequences for their actions. When white soldiers stayed in the Normandy region of France after the D-Day, they lived out their belief that all French women were objects of American control.</w:t>
      </w:r>
      <w:r w:rsidRPr="000254BC">
        <w:rPr>
          <w:rStyle w:val="FootnoteReference"/>
          <w:rFonts w:ascii="Times New Roman" w:hAnsi="Times New Roman" w:cs="Times New Roman"/>
          <w:color w:val="000000" w:themeColor="text1"/>
        </w:rPr>
        <w:footnoteReference w:id="39"/>
      </w:r>
      <w:r w:rsidRPr="000254BC">
        <w:rPr>
          <w:rFonts w:ascii="Times New Roman" w:hAnsi="Times New Roman" w:cs="Times New Roman"/>
          <w:color w:val="000000" w:themeColor="text1"/>
        </w:rPr>
        <w:t xml:space="preserve"> American soldiers had landed on the beaches of Normandy with sexual fantasies of France lingering in their minds. They had been conditioned to believe that all French women were sexually promiscuous and obligated to have sex with them for their sacrifice. After the United States liberated France from the Axis Powers, “Norman women launched a wave of rape accusations against American soldiers,…transform[</w:t>
      </w:r>
      <w:proofErr w:type="spellStart"/>
      <w:r w:rsidRPr="000254BC">
        <w:rPr>
          <w:rFonts w:ascii="Times New Roman" w:hAnsi="Times New Roman" w:cs="Times New Roman"/>
          <w:color w:val="000000" w:themeColor="text1"/>
        </w:rPr>
        <w:t>ing</w:t>
      </w:r>
      <w:proofErr w:type="spellEnd"/>
      <w:r w:rsidRPr="000254BC">
        <w:rPr>
          <w:rFonts w:ascii="Times New Roman" w:hAnsi="Times New Roman" w:cs="Times New Roman"/>
          <w:color w:val="000000" w:themeColor="text1"/>
        </w:rPr>
        <w:t>] the GI from rescuer-warrior to violent intruder.”</w:t>
      </w:r>
      <w:r w:rsidRPr="000254BC">
        <w:rPr>
          <w:rStyle w:val="FootnoteReference"/>
          <w:rFonts w:ascii="Times New Roman" w:hAnsi="Times New Roman" w:cs="Times New Roman"/>
          <w:color w:val="000000" w:themeColor="text1"/>
        </w:rPr>
        <w:footnoteReference w:id="40"/>
      </w:r>
      <w:r w:rsidRPr="000254BC">
        <w:rPr>
          <w:rFonts w:ascii="Times New Roman" w:hAnsi="Times New Roman" w:cs="Times New Roman"/>
          <w:color w:val="000000" w:themeColor="text1"/>
        </w:rPr>
        <w:t xml:space="preserve"> In response to these accusations, the U.S. army labeled African American soldiers as the primary rapists and as a result African American soldiers were </w:t>
      </w:r>
      <w:r w:rsidRPr="000254BC">
        <w:rPr>
          <w:rFonts w:ascii="Times New Roman" w:hAnsi="Times New Roman" w:cs="Times New Roman"/>
          <w:color w:val="000000" w:themeColor="text1"/>
        </w:rPr>
        <w:lastRenderedPageBreak/>
        <w:t>lynched on French soil.</w:t>
      </w:r>
      <w:r w:rsidRPr="000254BC">
        <w:rPr>
          <w:rStyle w:val="FootnoteReference"/>
          <w:rFonts w:ascii="Times New Roman" w:hAnsi="Times New Roman" w:cs="Times New Roman"/>
          <w:color w:val="000000" w:themeColor="text1"/>
        </w:rPr>
        <w:footnoteReference w:id="41"/>
      </w:r>
      <w:r w:rsidRPr="000254BC">
        <w:rPr>
          <w:rFonts w:ascii="Times New Roman" w:hAnsi="Times New Roman" w:cs="Times New Roman"/>
          <w:color w:val="000000" w:themeColor="text1"/>
        </w:rPr>
        <w:t xml:space="preserve"> The lynching of African American soldiers from rape accusations in the 1940s continued to convince white women that only black men were capable of rape. White women were aware of the sexual aggression of white males</w:t>
      </w:r>
      <w:r w:rsidR="00132BD4">
        <w:rPr>
          <w:rFonts w:ascii="Times New Roman" w:hAnsi="Times New Roman" w:cs="Times New Roman"/>
          <w:color w:val="000000" w:themeColor="text1"/>
        </w:rPr>
        <w:t>,</w:t>
      </w:r>
      <w:r w:rsidRPr="000254BC">
        <w:rPr>
          <w:rFonts w:ascii="Times New Roman" w:hAnsi="Times New Roman" w:cs="Times New Roman"/>
          <w:color w:val="000000" w:themeColor="text1"/>
        </w:rPr>
        <w:t xml:space="preserve"> but they were unable to justify the men’s actions as rape because they saw them as sons, fathers, and “good men.”</w:t>
      </w:r>
    </w:p>
    <w:p w14:paraId="155FDA72" w14:textId="77777777" w:rsidR="00175230" w:rsidRPr="000254BC" w:rsidRDefault="00175230" w:rsidP="00175230">
      <w:pPr>
        <w:spacing w:line="480" w:lineRule="auto"/>
        <w:ind w:firstLine="720"/>
        <w:rPr>
          <w:rFonts w:ascii="Times New Roman" w:hAnsi="Times New Roman" w:cs="Times New Roman"/>
          <w:color w:val="000000" w:themeColor="text1"/>
        </w:rPr>
      </w:pPr>
      <w:r w:rsidRPr="000254BC">
        <w:rPr>
          <w:rFonts w:ascii="Times New Roman" w:hAnsi="Times New Roman" w:cs="Times New Roman"/>
          <w:color w:val="000000" w:themeColor="text1"/>
        </w:rPr>
        <w:t>In Eugene J. Kanin’s study on “Male Aggression in Dating Courtship Relations,” he depicts how women in the late 1950s prior to entering college faced offensive male sexual aggression from all men. Kanin found that male offenders tend to be older than the women they offend and that young women are more prone to male aggression because they are further away from marriage. Kanin’s findings are demonstrated in the 1960 film “Where the Boys Are” directed by Henry Levin. The college freshman girls in the film take a spring vacation and meet boys who are upperclassmen at other universities. All of the girls are ultimately seeking love with the hopes of receiving a marriage proposal in the future. The girls are extremely naïve especially Melanie who falls for a boy that uses her for sex and is then raped by a friend of the boy she had fallen for.</w:t>
      </w:r>
      <w:r w:rsidRPr="000254BC">
        <w:rPr>
          <w:rStyle w:val="FootnoteReference"/>
          <w:rFonts w:ascii="Times New Roman" w:hAnsi="Times New Roman" w:cs="Times New Roman"/>
          <w:color w:val="000000" w:themeColor="text1"/>
        </w:rPr>
        <w:footnoteReference w:id="42"/>
      </w:r>
      <w:r w:rsidRPr="000254BC">
        <w:rPr>
          <w:rFonts w:ascii="Times New Roman" w:hAnsi="Times New Roman" w:cs="Times New Roman"/>
          <w:color w:val="000000" w:themeColor="text1"/>
        </w:rPr>
        <w:t xml:space="preserve"> Men were convinced that any type of flirtatious attitude or “going steady” with a woman opened the gates for them to freely dominate women. At this time, white men had impunity therefore women could not accuse them of rape. The supposed chivalrous man that had protected white women before post-war America now had the ability to publicly be a sexual predator as their male aggression was naturalized by society’s beliefs that men suffered from raging hormones. Socially permitted sexual behavior allowed for all men to turn rape into dating as women became solely responsible for their chastity and protecting their bodies.</w:t>
      </w:r>
    </w:p>
    <w:p w14:paraId="194C096E" w14:textId="18655145" w:rsidR="00175230" w:rsidRPr="000254BC" w:rsidRDefault="00175230" w:rsidP="00175230">
      <w:pPr>
        <w:spacing w:line="480" w:lineRule="auto"/>
        <w:ind w:firstLine="720"/>
        <w:rPr>
          <w:rFonts w:ascii="Times New Roman" w:hAnsi="Times New Roman" w:cs="Times New Roman"/>
          <w:color w:val="000000" w:themeColor="text1"/>
        </w:rPr>
      </w:pPr>
      <w:r w:rsidRPr="000254BC">
        <w:rPr>
          <w:rFonts w:ascii="Times New Roman" w:hAnsi="Times New Roman" w:cs="Times New Roman"/>
          <w:color w:val="000000" w:themeColor="text1"/>
        </w:rPr>
        <w:lastRenderedPageBreak/>
        <w:t>New sexual expectations were brought upon young women in the 1950s as sexual experiences became “a defining gender characteristic and means of achieving manhood.”</w:t>
      </w:r>
      <w:r w:rsidRPr="000254BC">
        <w:rPr>
          <w:rStyle w:val="FootnoteReference"/>
          <w:rFonts w:ascii="Times New Roman" w:hAnsi="Times New Roman" w:cs="Times New Roman"/>
          <w:color w:val="000000" w:themeColor="text1"/>
        </w:rPr>
        <w:footnoteReference w:id="43"/>
      </w:r>
      <w:r w:rsidRPr="000254BC">
        <w:rPr>
          <w:rFonts w:ascii="Times New Roman" w:hAnsi="Times New Roman" w:cs="Times New Roman"/>
          <w:color w:val="000000" w:themeColor="text1"/>
        </w:rPr>
        <w:t xml:space="preserve"> The ideas held about proper marital norms and studies of dating practices among young people naturalized male aggression as proof of masculinity which made all girls regardless of respectability vulnerable to violence from their dates.</w:t>
      </w:r>
      <w:r w:rsidRPr="000254BC">
        <w:rPr>
          <w:rStyle w:val="FootnoteReference"/>
          <w:rFonts w:ascii="Times New Roman" w:hAnsi="Times New Roman" w:cs="Times New Roman"/>
          <w:color w:val="000000" w:themeColor="text1"/>
        </w:rPr>
        <w:footnoteReference w:id="44"/>
      </w:r>
      <w:r w:rsidRPr="000254BC">
        <w:rPr>
          <w:rFonts w:ascii="Times New Roman" w:hAnsi="Times New Roman" w:cs="Times New Roman"/>
          <w:color w:val="000000" w:themeColor="text1"/>
        </w:rPr>
        <w:t xml:space="preserve"> Women realized that more relaxed dating expectations came at the cost of their safety. All women were at risk of sexual violence from </w:t>
      </w:r>
      <w:r w:rsidR="0069040D">
        <w:rPr>
          <w:rFonts w:ascii="Times New Roman" w:hAnsi="Times New Roman" w:cs="Times New Roman"/>
          <w:color w:val="000000" w:themeColor="text1"/>
        </w:rPr>
        <w:t xml:space="preserve">all men </w:t>
      </w:r>
      <w:r w:rsidRPr="000254BC">
        <w:rPr>
          <w:rFonts w:ascii="Times New Roman" w:hAnsi="Times New Roman" w:cs="Times New Roman"/>
          <w:color w:val="000000" w:themeColor="text1"/>
        </w:rPr>
        <w:t xml:space="preserve">regardless of who their date was. Men saw the activities of necking and petting as a gateway to sexual satisfaction. The drastic changes in the sexual relationship between men and women gave men full ownership over women’s bodies and labeled women permanently as sluts if they engaged in sexual activity before marriage. Women were branded as seductresses with naturally promiscuous behavior when they were violently raped by men. Women were unable to label the violent sexual actions of their </w:t>
      </w:r>
      <w:r w:rsidR="00A339B2">
        <w:rPr>
          <w:rFonts w:ascii="Times New Roman" w:hAnsi="Times New Roman" w:cs="Times New Roman"/>
          <w:color w:val="000000" w:themeColor="text1"/>
        </w:rPr>
        <w:t xml:space="preserve">white </w:t>
      </w:r>
      <w:r w:rsidRPr="000254BC">
        <w:rPr>
          <w:rFonts w:ascii="Times New Roman" w:hAnsi="Times New Roman" w:cs="Times New Roman"/>
          <w:color w:val="000000" w:themeColor="text1"/>
        </w:rPr>
        <w:t>male aggressors because the title of rapist continued to be given primarily to black men. This can be seen with the lynching of African American soldiers and the trials of the Scottsboro boys.</w:t>
      </w:r>
    </w:p>
    <w:p w14:paraId="1512756A" w14:textId="318BE532" w:rsidR="00175230" w:rsidRPr="000254BC" w:rsidRDefault="00175230" w:rsidP="00175230">
      <w:pPr>
        <w:spacing w:line="480" w:lineRule="auto"/>
        <w:ind w:firstLine="720"/>
        <w:rPr>
          <w:rFonts w:ascii="Times New Roman" w:hAnsi="Times New Roman" w:cs="Times New Roman"/>
          <w:color w:val="000000" w:themeColor="text1"/>
        </w:rPr>
      </w:pPr>
      <w:r w:rsidRPr="000254BC">
        <w:rPr>
          <w:rFonts w:ascii="Times New Roman" w:hAnsi="Times New Roman" w:cs="Times New Roman"/>
          <w:color w:val="000000" w:themeColor="text1"/>
        </w:rPr>
        <w:t xml:space="preserve">While rape continued to be mislabeled and women became aware of </w:t>
      </w:r>
      <w:r w:rsidR="00586A29">
        <w:rPr>
          <w:rFonts w:ascii="Times New Roman" w:hAnsi="Times New Roman" w:cs="Times New Roman"/>
          <w:color w:val="000000" w:themeColor="text1"/>
        </w:rPr>
        <w:t xml:space="preserve">white </w:t>
      </w:r>
      <w:r w:rsidRPr="000254BC">
        <w:rPr>
          <w:rFonts w:ascii="Times New Roman" w:hAnsi="Times New Roman" w:cs="Times New Roman"/>
          <w:color w:val="000000" w:themeColor="text1"/>
        </w:rPr>
        <w:t>male aggressors, the African American community was working to reshape rape laws in America to lessen the number of black men falsely prosecuted. In March of 1931, two white women named Victoria Price and Ruby Bates accused nine African American teenagers of raping them.</w:t>
      </w:r>
      <w:r w:rsidRPr="000254BC">
        <w:rPr>
          <w:rStyle w:val="FootnoteReference"/>
          <w:rFonts w:ascii="Times New Roman" w:hAnsi="Times New Roman" w:cs="Times New Roman"/>
          <w:color w:val="000000" w:themeColor="text1"/>
        </w:rPr>
        <w:footnoteReference w:id="45"/>
      </w:r>
      <w:r w:rsidRPr="000254BC">
        <w:rPr>
          <w:rFonts w:ascii="Times New Roman" w:hAnsi="Times New Roman" w:cs="Times New Roman"/>
          <w:color w:val="000000" w:themeColor="text1"/>
        </w:rPr>
        <w:t xml:space="preserve"> After the arrest of the Scottsboro boys, eight of them were sentenced to execution but due to the intervention of the Communist Party, the case gained international and national news.</w:t>
      </w:r>
      <w:r w:rsidRPr="000254BC">
        <w:rPr>
          <w:rStyle w:val="FootnoteReference"/>
          <w:rFonts w:ascii="Times New Roman" w:hAnsi="Times New Roman" w:cs="Times New Roman"/>
          <w:color w:val="000000" w:themeColor="text1"/>
        </w:rPr>
        <w:footnoteReference w:id="46"/>
      </w:r>
      <w:r w:rsidRPr="000254BC">
        <w:rPr>
          <w:rFonts w:ascii="Times New Roman" w:hAnsi="Times New Roman" w:cs="Times New Roman"/>
          <w:color w:val="000000" w:themeColor="text1"/>
        </w:rPr>
        <w:t xml:space="preserve"> The </w:t>
      </w:r>
      <w:r w:rsidRPr="000254BC">
        <w:rPr>
          <w:rFonts w:ascii="Times New Roman" w:hAnsi="Times New Roman" w:cs="Times New Roman"/>
          <w:color w:val="000000" w:themeColor="text1"/>
        </w:rPr>
        <w:lastRenderedPageBreak/>
        <w:t>Communist Party’s International Labor Defense Committee took over the case which built upon the discourse of undermining the southern belief that black men were a constant sexual threat to white women.</w:t>
      </w:r>
      <w:r w:rsidRPr="000254BC">
        <w:rPr>
          <w:rStyle w:val="FootnoteReference"/>
          <w:rFonts w:ascii="Times New Roman" w:hAnsi="Times New Roman" w:cs="Times New Roman"/>
          <w:color w:val="000000" w:themeColor="text1"/>
        </w:rPr>
        <w:footnoteReference w:id="47"/>
      </w:r>
      <w:r w:rsidRPr="000254BC">
        <w:rPr>
          <w:rFonts w:ascii="Times New Roman" w:hAnsi="Times New Roman" w:cs="Times New Roman"/>
          <w:color w:val="000000" w:themeColor="text1"/>
        </w:rPr>
        <w:t xml:space="preserve"> The NAACP ended up joining the Scottsboro Defense Committee in 1935 to help expose the false rape allegations and champion the defendants.</w:t>
      </w:r>
      <w:r w:rsidRPr="000254BC">
        <w:rPr>
          <w:rStyle w:val="FootnoteReference"/>
          <w:rFonts w:ascii="Times New Roman" w:hAnsi="Times New Roman" w:cs="Times New Roman"/>
          <w:color w:val="000000" w:themeColor="text1"/>
        </w:rPr>
        <w:footnoteReference w:id="48"/>
      </w:r>
      <w:r w:rsidRPr="000254BC">
        <w:rPr>
          <w:rFonts w:ascii="Times New Roman" w:hAnsi="Times New Roman" w:cs="Times New Roman"/>
          <w:color w:val="000000" w:themeColor="text1"/>
        </w:rPr>
        <w:t xml:space="preserve"> Soon after, African American communities began to mobilize when appeals did not succeed on other rape cases and as a result they worked for their rights as jurors and voters.</w:t>
      </w:r>
      <w:r w:rsidRPr="000254BC">
        <w:rPr>
          <w:rStyle w:val="FootnoteReference"/>
          <w:rFonts w:ascii="Times New Roman" w:hAnsi="Times New Roman" w:cs="Times New Roman"/>
          <w:color w:val="000000" w:themeColor="text1"/>
        </w:rPr>
        <w:footnoteReference w:id="49"/>
      </w:r>
      <w:r w:rsidRPr="000254BC">
        <w:rPr>
          <w:rFonts w:ascii="Times New Roman" w:hAnsi="Times New Roman" w:cs="Times New Roman"/>
          <w:color w:val="000000" w:themeColor="text1"/>
        </w:rPr>
        <w:t xml:space="preserve"> The persistency that African Americans had with the Scottsboro case brought African American communities together which collectively helped the NAACP form a new campaign supporting black men charged with rape. </w:t>
      </w:r>
    </w:p>
    <w:p w14:paraId="002F1CAF" w14:textId="78E6FD4C" w:rsidR="00175230" w:rsidRPr="000254BC" w:rsidRDefault="00175230" w:rsidP="00175230">
      <w:pPr>
        <w:spacing w:line="480" w:lineRule="auto"/>
        <w:ind w:firstLine="720"/>
        <w:rPr>
          <w:rFonts w:ascii="Times New Roman" w:hAnsi="Times New Roman" w:cs="Times New Roman"/>
          <w:color w:val="000000" w:themeColor="text1"/>
        </w:rPr>
      </w:pPr>
      <w:r w:rsidRPr="000254BC">
        <w:rPr>
          <w:rFonts w:ascii="Times New Roman" w:hAnsi="Times New Roman" w:cs="Times New Roman"/>
          <w:color w:val="000000" w:themeColor="text1"/>
        </w:rPr>
        <w:t xml:space="preserve">The gang rape of </w:t>
      </w:r>
      <w:proofErr w:type="spellStart"/>
      <w:r w:rsidRPr="000254BC">
        <w:rPr>
          <w:rFonts w:ascii="Times New Roman" w:hAnsi="Times New Roman" w:cs="Times New Roman"/>
          <w:color w:val="000000" w:themeColor="text1"/>
        </w:rPr>
        <w:t>Recy</w:t>
      </w:r>
      <w:proofErr w:type="spellEnd"/>
      <w:r w:rsidRPr="000254BC">
        <w:rPr>
          <w:rFonts w:ascii="Times New Roman" w:hAnsi="Times New Roman" w:cs="Times New Roman"/>
          <w:color w:val="000000" w:themeColor="text1"/>
        </w:rPr>
        <w:t xml:space="preserve"> Taylor in Abbeville Alabama in 1944 brought Rosa Parks to the town to investigate. Parks interviewed Taylor in her home but was quickly rushed out by the Deputy Sheriff </w:t>
      </w:r>
      <w:proofErr w:type="spellStart"/>
      <w:r w:rsidRPr="000254BC">
        <w:rPr>
          <w:rFonts w:ascii="Times New Roman" w:hAnsi="Times New Roman" w:cs="Times New Roman"/>
          <w:color w:val="000000" w:themeColor="text1"/>
        </w:rPr>
        <w:t>Lewey</w:t>
      </w:r>
      <w:proofErr w:type="spellEnd"/>
      <w:r w:rsidRPr="000254BC">
        <w:rPr>
          <w:rFonts w:ascii="Times New Roman" w:hAnsi="Times New Roman" w:cs="Times New Roman"/>
          <w:color w:val="000000" w:themeColor="text1"/>
        </w:rPr>
        <w:t xml:space="preserve"> Corbitt.</w:t>
      </w:r>
      <w:r w:rsidRPr="000254BC">
        <w:rPr>
          <w:rStyle w:val="FootnoteReference"/>
          <w:rFonts w:ascii="Times New Roman" w:hAnsi="Times New Roman" w:cs="Times New Roman"/>
          <w:color w:val="000000" w:themeColor="text1"/>
        </w:rPr>
        <w:footnoteReference w:id="50"/>
      </w:r>
      <w:r w:rsidRPr="000254BC">
        <w:rPr>
          <w:rFonts w:ascii="Times New Roman" w:hAnsi="Times New Roman" w:cs="Times New Roman"/>
          <w:color w:val="000000" w:themeColor="text1"/>
        </w:rPr>
        <w:t xml:space="preserve"> Rosa Parks collected the notes she had and took them back to Montgomery where herself and other black activists organized a campaign to defend </w:t>
      </w:r>
      <w:proofErr w:type="spellStart"/>
      <w:r w:rsidRPr="000254BC">
        <w:rPr>
          <w:rFonts w:ascii="Times New Roman" w:hAnsi="Times New Roman" w:cs="Times New Roman"/>
          <w:color w:val="000000" w:themeColor="text1"/>
        </w:rPr>
        <w:t>Recy</w:t>
      </w:r>
      <w:proofErr w:type="spellEnd"/>
      <w:r w:rsidRPr="000254BC">
        <w:rPr>
          <w:rFonts w:ascii="Times New Roman" w:hAnsi="Times New Roman" w:cs="Times New Roman"/>
          <w:color w:val="000000" w:themeColor="text1"/>
        </w:rPr>
        <w:t xml:space="preserve"> Taylor.</w:t>
      </w:r>
      <w:r w:rsidRPr="000254BC">
        <w:rPr>
          <w:rStyle w:val="FootnoteReference"/>
          <w:rFonts w:ascii="Times New Roman" w:hAnsi="Times New Roman" w:cs="Times New Roman"/>
          <w:color w:val="000000" w:themeColor="text1"/>
        </w:rPr>
        <w:footnoteReference w:id="51"/>
      </w:r>
      <w:r w:rsidRPr="000254BC">
        <w:rPr>
          <w:rFonts w:ascii="Times New Roman" w:hAnsi="Times New Roman" w:cs="Times New Roman"/>
          <w:color w:val="000000" w:themeColor="text1"/>
        </w:rPr>
        <w:t xml:space="preserve"> Rosa Parks gained support from national labor unions, African American organizations, and her local allies and formed the Alabama Committee for Equal Justice.</w:t>
      </w:r>
      <w:r w:rsidRPr="000254BC">
        <w:rPr>
          <w:rStyle w:val="FootnoteReference"/>
          <w:rFonts w:ascii="Times New Roman" w:hAnsi="Times New Roman" w:cs="Times New Roman"/>
          <w:color w:val="000000" w:themeColor="text1"/>
        </w:rPr>
        <w:footnoteReference w:id="52"/>
      </w:r>
      <w:r w:rsidRPr="000254BC">
        <w:rPr>
          <w:rFonts w:ascii="Times New Roman" w:hAnsi="Times New Roman" w:cs="Times New Roman"/>
          <w:color w:val="000000" w:themeColor="text1"/>
        </w:rPr>
        <w:t xml:space="preserve"> </w:t>
      </w:r>
      <w:proofErr w:type="spellStart"/>
      <w:r w:rsidRPr="000254BC">
        <w:rPr>
          <w:rFonts w:ascii="Times New Roman" w:hAnsi="Times New Roman" w:cs="Times New Roman"/>
          <w:color w:val="000000" w:themeColor="text1"/>
        </w:rPr>
        <w:t>Recy</w:t>
      </w:r>
      <w:proofErr w:type="spellEnd"/>
      <w:r w:rsidRPr="000254BC">
        <w:rPr>
          <w:rFonts w:ascii="Times New Roman" w:hAnsi="Times New Roman" w:cs="Times New Roman"/>
          <w:color w:val="000000" w:themeColor="text1"/>
        </w:rPr>
        <w:t xml:space="preserve"> Taylor faced an unjust trial but because of Rosa Park’s attention to the case, people across the nation who supported African American rights attacked the hypocrisy of whites. Rosa Parks’ work to bring justice to </w:t>
      </w:r>
      <w:proofErr w:type="spellStart"/>
      <w:r w:rsidRPr="000254BC">
        <w:rPr>
          <w:rFonts w:ascii="Times New Roman" w:hAnsi="Times New Roman" w:cs="Times New Roman"/>
          <w:color w:val="000000" w:themeColor="text1"/>
        </w:rPr>
        <w:t>Recy</w:t>
      </w:r>
      <w:proofErr w:type="spellEnd"/>
      <w:r w:rsidRPr="000254BC">
        <w:rPr>
          <w:rFonts w:ascii="Times New Roman" w:hAnsi="Times New Roman" w:cs="Times New Roman"/>
          <w:color w:val="000000" w:themeColor="text1"/>
        </w:rPr>
        <w:t xml:space="preserve"> Taylor depicts how the African American community was pushing back against </w:t>
      </w:r>
      <w:r w:rsidRPr="000254BC">
        <w:rPr>
          <w:rFonts w:ascii="Times New Roman" w:hAnsi="Times New Roman" w:cs="Times New Roman"/>
          <w:color w:val="000000" w:themeColor="text1"/>
        </w:rPr>
        <w:lastRenderedPageBreak/>
        <w:t xml:space="preserve">unfair rape laws. </w:t>
      </w:r>
      <w:proofErr w:type="spellStart"/>
      <w:r w:rsidRPr="000254BC">
        <w:rPr>
          <w:rFonts w:ascii="Times New Roman" w:hAnsi="Times New Roman" w:cs="Times New Roman"/>
          <w:color w:val="000000" w:themeColor="text1"/>
        </w:rPr>
        <w:t>Recy</w:t>
      </w:r>
      <w:proofErr w:type="spellEnd"/>
      <w:r w:rsidRPr="000254BC">
        <w:rPr>
          <w:rFonts w:ascii="Times New Roman" w:hAnsi="Times New Roman" w:cs="Times New Roman"/>
          <w:color w:val="000000" w:themeColor="text1"/>
        </w:rPr>
        <w:t xml:space="preserve"> Taylor</w:t>
      </w:r>
      <w:r w:rsidR="00462F3B">
        <w:rPr>
          <w:rFonts w:ascii="Times New Roman" w:hAnsi="Times New Roman" w:cs="Times New Roman"/>
          <w:color w:val="000000" w:themeColor="text1"/>
        </w:rPr>
        <w:t>’s</w:t>
      </w:r>
      <w:r w:rsidRPr="000254BC">
        <w:rPr>
          <w:rFonts w:ascii="Times New Roman" w:hAnsi="Times New Roman" w:cs="Times New Roman"/>
          <w:color w:val="000000" w:themeColor="text1"/>
        </w:rPr>
        <w:t xml:space="preserve"> inadequate trial shows how discriminatory rape laws prosecuted both black women and men unjustly.</w:t>
      </w:r>
    </w:p>
    <w:p w14:paraId="4DF18FCA" w14:textId="77777777" w:rsidR="0063747B" w:rsidRDefault="0063747B" w:rsidP="00B93716">
      <w:pPr>
        <w:spacing w:line="480" w:lineRule="auto"/>
        <w:ind w:firstLine="720"/>
        <w:rPr>
          <w:rFonts w:ascii="Times New Roman" w:hAnsi="Times New Roman" w:cs="Times New Roman"/>
        </w:rPr>
      </w:pPr>
      <w:r>
        <w:rPr>
          <w:rFonts w:ascii="Times New Roman" w:hAnsi="Times New Roman" w:cs="Times New Roman"/>
        </w:rPr>
        <w:t>In 1971, Radical Feminists in New York organized a Speak-Out on Rape where there were 30 or 40 chilling accounts given by women.</w:t>
      </w:r>
      <w:r>
        <w:rPr>
          <w:rStyle w:val="FootnoteReference"/>
          <w:rFonts w:ascii="Times New Roman" w:hAnsi="Times New Roman" w:cs="Times New Roman"/>
        </w:rPr>
        <w:footnoteReference w:id="53"/>
      </w:r>
      <w:r>
        <w:rPr>
          <w:rFonts w:ascii="Times New Roman" w:hAnsi="Times New Roman" w:cs="Times New Roman"/>
        </w:rPr>
        <w:t xml:space="preserve"> Women detailed how they were raped by their analyst, a stranger who followed them home, a fake house doctor, and gynecologist.</w:t>
      </w:r>
      <w:r>
        <w:rPr>
          <w:rStyle w:val="FootnoteReference"/>
          <w:rFonts w:ascii="Times New Roman" w:hAnsi="Times New Roman" w:cs="Times New Roman"/>
        </w:rPr>
        <w:footnoteReference w:id="54"/>
      </w:r>
      <w:r>
        <w:rPr>
          <w:rFonts w:ascii="Times New Roman" w:hAnsi="Times New Roman" w:cs="Times New Roman"/>
        </w:rPr>
        <w:t xml:space="preserve">  The shared stories made women aware that they were not alone in their experience of sexual violation. The different identities of each rapist also expanded the narrative of who could be considered a rapist. The break from the traditional narrative of the black male stranger proved that any male could be a rapist. The identification of ‘date rape,’ or ‘acquaintance rape,’ expanded the definition of assailants beyond the historical stereotypes of black, gay, or psychopathic men.”</w:t>
      </w:r>
      <w:r>
        <w:rPr>
          <w:rStyle w:val="FootnoteReference"/>
          <w:rFonts w:ascii="Times New Roman" w:hAnsi="Times New Roman" w:cs="Times New Roman"/>
        </w:rPr>
        <w:footnoteReference w:id="55"/>
      </w:r>
      <w:r>
        <w:rPr>
          <w:rFonts w:ascii="Times New Roman" w:hAnsi="Times New Roman" w:cs="Times New Roman"/>
        </w:rPr>
        <w:t xml:space="preserve"> Women’s subjectivity shifted when they challenged the status quo with their stories. However, rape laws had not been changed as they were the same laws that had be “written when a woman was considered the sexual property of any male acquaintance.”</w:t>
      </w:r>
      <w:r>
        <w:rPr>
          <w:rStyle w:val="FootnoteReference"/>
          <w:rFonts w:ascii="Times New Roman" w:hAnsi="Times New Roman" w:cs="Times New Roman"/>
        </w:rPr>
        <w:footnoteReference w:id="56"/>
      </w:r>
      <w:r>
        <w:rPr>
          <w:rFonts w:ascii="Times New Roman" w:hAnsi="Times New Roman" w:cs="Times New Roman"/>
        </w:rPr>
        <w:t xml:space="preserve"> There were overwhelming realizations of the sexual abuse women had been enduring. At the 1971 Speak-Out, Gail Sheehy’s first-hand account details that when the women are discussing childhood </w:t>
      </w:r>
      <w:proofErr w:type="spellStart"/>
      <w:r>
        <w:rPr>
          <w:rFonts w:ascii="Times New Roman" w:hAnsi="Times New Roman" w:cs="Times New Roman"/>
        </w:rPr>
        <w:t>pantsing</w:t>
      </w:r>
      <w:proofErr w:type="spellEnd"/>
      <w:r>
        <w:rPr>
          <w:rFonts w:ascii="Times New Roman" w:hAnsi="Times New Roman" w:cs="Times New Roman"/>
        </w:rPr>
        <w:t xml:space="preserve"> in grade school, she realizes “[t]hey didn’t call it </w:t>
      </w:r>
      <w:proofErr w:type="spellStart"/>
      <w:r>
        <w:rPr>
          <w:rFonts w:ascii="Times New Roman" w:hAnsi="Times New Roman" w:cs="Times New Roman"/>
        </w:rPr>
        <w:t>pantsing</w:t>
      </w:r>
      <w:proofErr w:type="spellEnd"/>
      <w:r>
        <w:rPr>
          <w:rFonts w:ascii="Times New Roman" w:hAnsi="Times New Roman" w:cs="Times New Roman"/>
        </w:rPr>
        <w:t xml:space="preserve"> at [her] school in Westchester. It was just boys in the woods.”</w:t>
      </w:r>
      <w:r>
        <w:rPr>
          <w:rStyle w:val="FootnoteReference"/>
          <w:rFonts w:ascii="Times New Roman" w:hAnsi="Times New Roman" w:cs="Times New Roman"/>
        </w:rPr>
        <w:footnoteReference w:id="57"/>
      </w:r>
      <w:r>
        <w:rPr>
          <w:rFonts w:ascii="Times New Roman" w:hAnsi="Times New Roman" w:cs="Times New Roman"/>
        </w:rPr>
        <w:t xml:space="preserve"> Sheehy’s recognition of the sexual abuse she endured from her childhood shows how women were developing a collective knowledge of </w:t>
      </w:r>
      <w:r>
        <w:rPr>
          <w:rFonts w:ascii="Times New Roman" w:hAnsi="Times New Roman" w:cs="Times New Roman"/>
        </w:rPr>
        <w:lastRenderedPageBreak/>
        <w:t xml:space="preserve">shared experiences. As women realized they were not alone in their sexual exploitation they directly challenged the normalization of rape by sharing their stories and organizing. </w:t>
      </w:r>
    </w:p>
    <w:p w14:paraId="47262614" w14:textId="1265E974" w:rsidR="0063747B" w:rsidRDefault="0063747B" w:rsidP="0063747B">
      <w:pPr>
        <w:spacing w:line="480" w:lineRule="auto"/>
        <w:ind w:firstLine="720"/>
        <w:rPr>
          <w:rFonts w:ascii="Times New Roman" w:hAnsi="Times New Roman" w:cs="Times New Roman"/>
        </w:rPr>
      </w:pPr>
      <w:r>
        <w:rPr>
          <w:rFonts w:ascii="Times New Roman" w:hAnsi="Times New Roman" w:cs="Times New Roman"/>
        </w:rPr>
        <w:t>The acknowledgement of the collective trauma these women suffered encouraged them to organize. Through their discourse, survivors of rape shifted the blame where it belonged, on the rapists. As women became united by their common experiences</w:t>
      </w:r>
      <w:r w:rsidR="004908E2">
        <w:rPr>
          <w:rFonts w:ascii="Times New Roman" w:hAnsi="Times New Roman" w:cs="Times New Roman"/>
        </w:rPr>
        <w:t>,</w:t>
      </w:r>
      <w:r>
        <w:rPr>
          <w:rFonts w:ascii="Times New Roman" w:hAnsi="Times New Roman" w:cs="Times New Roman"/>
        </w:rPr>
        <w:t xml:space="preserve"> they stood to change the attitudes and laws that prevented victims from receiving justice and freedom from the physical and psychological trauma they carried with them. A couple years after organization began with speak-outs and conferences, “community outreach programs that were imaginative, original and unprecedented: rape crisis centers with a telephone hotline staffed twenty-four hours a day to provide counseling, procedural information and sisterly solidarity”</w:t>
      </w:r>
      <w:r>
        <w:rPr>
          <w:rStyle w:val="FootnoteReference"/>
          <w:rFonts w:ascii="Times New Roman" w:hAnsi="Times New Roman" w:cs="Times New Roman"/>
        </w:rPr>
        <w:footnoteReference w:id="58"/>
      </w:r>
      <w:r>
        <w:rPr>
          <w:rFonts w:ascii="Times New Roman" w:hAnsi="Times New Roman" w:cs="Times New Roman"/>
        </w:rPr>
        <w:t xml:space="preserve"> were popping up in cities across the country. The creation of these new resources by survivors were for the women who never had the chance to talk about their experience and to educate doctors and nurses how to treat a rape victim with greater sensitivity and respect. Women no longer had to sit with being raped as they now had the resources to speak to someone about their experience. Women were now looking at rape from their own perspective which empowered them to see that they were not at fault for any violation of bodily integrity that they endured. At the same time rape crisis centers became accessible, women were participating in “rape legislation study groups to work up model codes based on a fresh approach to the law and to work with legislators to get new laws adopted.”</w:t>
      </w:r>
      <w:r>
        <w:rPr>
          <w:rStyle w:val="FootnoteReference"/>
          <w:rFonts w:ascii="Times New Roman" w:hAnsi="Times New Roman" w:cs="Times New Roman"/>
        </w:rPr>
        <w:footnoteReference w:id="59"/>
      </w:r>
      <w:r>
        <w:rPr>
          <w:rFonts w:ascii="Times New Roman" w:hAnsi="Times New Roman" w:cs="Times New Roman"/>
        </w:rPr>
        <w:t xml:space="preserve"> The ideas that manifested from these study groups can be seen in the changes in legislation that criminalized marital rape and prevented defendants from using the victim’s sexual history as a weapon against her. Similar organizing can be seen in </w:t>
      </w:r>
      <w:r w:rsidR="00E56475">
        <w:rPr>
          <w:rFonts w:ascii="Times New Roman" w:hAnsi="Times New Roman" w:cs="Times New Roman"/>
        </w:rPr>
        <w:t xml:space="preserve">the film, </w:t>
      </w:r>
      <w:r>
        <w:rPr>
          <w:rFonts w:ascii="Times New Roman" w:hAnsi="Times New Roman" w:cs="Times New Roman"/>
        </w:rPr>
        <w:t xml:space="preserve">“Born in </w:t>
      </w:r>
      <w:r>
        <w:rPr>
          <w:rFonts w:ascii="Times New Roman" w:hAnsi="Times New Roman" w:cs="Times New Roman"/>
        </w:rPr>
        <w:lastRenderedPageBreak/>
        <w:t>Flames,” as women protest unequal job opportunities in their supposedly “equal society” and the murder of Adelaide Norris, the leader of the women’s army.</w:t>
      </w:r>
      <w:r>
        <w:rPr>
          <w:rStyle w:val="FootnoteReference"/>
          <w:rFonts w:ascii="Times New Roman" w:hAnsi="Times New Roman" w:cs="Times New Roman"/>
        </w:rPr>
        <w:footnoteReference w:id="60"/>
      </w:r>
      <w:r>
        <w:rPr>
          <w:rFonts w:ascii="Times New Roman" w:hAnsi="Times New Roman" w:cs="Times New Roman"/>
        </w:rPr>
        <w:t xml:space="preserve"> The women’s fight in the economic sex war and against brutality reflect how the women in the anti-rape movement were pushing back against the status quo. </w:t>
      </w:r>
    </w:p>
    <w:p w14:paraId="1D8FA41C" w14:textId="151A0A23" w:rsidR="0063747B" w:rsidRDefault="0063747B" w:rsidP="0063747B">
      <w:pPr>
        <w:spacing w:line="480" w:lineRule="auto"/>
        <w:ind w:firstLine="720"/>
        <w:rPr>
          <w:rFonts w:ascii="Times New Roman" w:hAnsi="Times New Roman" w:cs="Times New Roman"/>
        </w:rPr>
      </w:pPr>
      <w:r>
        <w:rPr>
          <w:rFonts w:ascii="Times New Roman" w:hAnsi="Times New Roman" w:cs="Times New Roman"/>
        </w:rPr>
        <w:t>As time progressed, second wave feminism was met with the backlash of many critics that believed their activism had only made the lives of women more inadequate. Women who spear headed the opposition against the feminist movement believed that women’s liberation had robbed them of what every women’s happiness rest on—men.</w:t>
      </w:r>
      <w:r>
        <w:rPr>
          <w:rStyle w:val="FootnoteReference"/>
          <w:rFonts w:ascii="Times New Roman" w:hAnsi="Times New Roman" w:cs="Times New Roman"/>
        </w:rPr>
        <w:footnoteReference w:id="61"/>
      </w:r>
      <w:r>
        <w:rPr>
          <w:rFonts w:ascii="Times New Roman" w:hAnsi="Times New Roman" w:cs="Times New Roman"/>
        </w:rPr>
        <w:t xml:space="preserve"> Their mission to restore traditional roles to women was motivated by their belief that feminism had only led to distress an identity crisis for women.</w:t>
      </w:r>
      <w:r>
        <w:rPr>
          <w:rStyle w:val="FootnoteReference"/>
          <w:rFonts w:ascii="Times New Roman" w:hAnsi="Times New Roman" w:cs="Times New Roman"/>
        </w:rPr>
        <w:footnoteReference w:id="62"/>
      </w:r>
      <w:r>
        <w:rPr>
          <w:rFonts w:ascii="Times New Roman" w:hAnsi="Times New Roman" w:cs="Times New Roman"/>
        </w:rPr>
        <w:t xml:space="preserve"> These women were set on the ideas that gender equality only contributed to their unhappiness. They believed the work they did outside the home made them less likely to find a husband and have a family. Many young women of the nineties believed that their generation was the human sacrifice to the women’s movement.</w:t>
      </w:r>
      <w:r>
        <w:rPr>
          <w:rStyle w:val="FootnoteReference"/>
          <w:rFonts w:ascii="Times New Roman" w:hAnsi="Times New Roman" w:cs="Times New Roman"/>
        </w:rPr>
        <w:footnoteReference w:id="63"/>
      </w:r>
      <w:r>
        <w:rPr>
          <w:rFonts w:ascii="Times New Roman" w:hAnsi="Times New Roman" w:cs="Times New Roman"/>
        </w:rPr>
        <w:t xml:space="preserve"> This harsh backlash from other women only made it more difficult for all women to continue to improve their status in society and respectfully seek the resources now available to them if they were raped. The women who opposed the second wave feminist agenda were confident that the campus sexual assault crisis was not a fact but rather advertising a mood.</w:t>
      </w:r>
      <w:r>
        <w:rPr>
          <w:rStyle w:val="FootnoteReference"/>
          <w:rFonts w:ascii="Times New Roman" w:hAnsi="Times New Roman" w:cs="Times New Roman"/>
        </w:rPr>
        <w:footnoteReference w:id="64"/>
      </w:r>
      <w:r>
        <w:rPr>
          <w:rFonts w:ascii="Times New Roman" w:hAnsi="Times New Roman" w:cs="Times New Roman"/>
        </w:rPr>
        <w:t xml:space="preserve"> The ant</w:t>
      </w:r>
      <w:r w:rsidR="00020085">
        <w:rPr>
          <w:rFonts w:ascii="Times New Roman" w:hAnsi="Times New Roman" w:cs="Times New Roman"/>
        </w:rPr>
        <w:t>i</w:t>
      </w:r>
      <w:r>
        <w:rPr>
          <w:rFonts w:ascii="Times New Roman" w:hAnsi="Times New Roman" w:cs="Times New Roman"/>
        </w:rPr>
        <w:t>-feminist rhetoric spread the false idea that “rape-crisis feminists reinforce[d] traditional views about the fragility of the female body and will.”</w:t>
      </w:r>
      <w:r>
        <w:rPr>
          <w:rStyle w:val="FootnoteReference"/>
          <w:rFonts w:ascii="Times New Roman" w:hAnsi="Times New Roman" w:cs="Times New Roman"/>
        </w:rPr>
        <w:footnoteReference w:id="65"/>
      </w:r>
      <w:r>
        <w:rPr>
          <w:rFonts w:ascii="Times New Roman" w:hAnsi="Times New Roman" w:cs="Times New Roman"/>
        </w:rPr>
        <w:t xml:space="preserve"> These statements made by women who were a part of the opposition to </w:t>
      </w:r>
      <w:r>
        <w:rPr>
          <w:rFonts w:ascii="Times New Roman" w:hAnsi="Times New Roman" w:cs="Times New Roman"/>
        </w:rPr>
        <w:lastRenderedPageBreak/>
        <w:t>feminism reinforced the status quo of the mindset that gender is natural. This type of thinking only further enforced the fear, anger, shame, and guilt all women faced.</w:t>
      </w:r>
    </w:p>
    <w:p w14:paraId="2A978DA8" w14:textId="77777777" w:rsidR="0063747B" w:rsidRDefault="0063747B" w:rsidP="0063747B">
      <w:pPr>
        <w:spacing w:line="480" w:lineRule="auto"/>
        <w:ind w:firstLine="720"/>
        <w:rPr>
          <w:rFonts w:ascii="Times New Roman" w:hAnsi="Times New Roman" w:cs="Times New Roman"/>
        </w:rPr>
      </w:pPr>
      <w:r>
        <w:rPr>
          <w:rFonts w:ascii="Times New Roman" w:hAnsi="Times New Roman" w:cs="Times New Roman"/>
        </w:rPr>
        <w:t>The work of feminist critics is reflected in the initial reaction of the public to the accusations against Ted Bundy. In the case of Ted Bundy, people could hardly believe that he could have raped and murdered numerous young women. Bundy’s inability to fit the traditional stereotype of a sexual psychopath provided a gate way for people to sympathize with him. Many people were hesitant to believe that Bundy had committed such harsh crimes as “[h]e loved children, read poetry, [and] showed courage by chasing down and capturing a purse snatcher on the streets of Seattle.”</w:t>
      </w:r>
      <w:r>
        <w:rPr>
          <w:rStyle w:val="FootnoteReference"/>
          <w:rFonts w:ascii="Times New Roman" w:hAnsi="Times New Roman" w:cs="Times New Roman"/>
        </w:rPr>
        <w:footnoteReference w:id="66"/>
      </w:r>
      <w:r>
        <w:rPr>
          <w:rFonts w:ascii="Times New Roman" w:hAnsi="Times New Roman" w:cs="Times New Roman"/>
        </w:rPr>
        <w:t xml:space="preserve"> The characteristics that Bundy had previously portrayed to the public demonstrates how the message of the “nice man” was overshadowing the criminal evidence against him. Bundy’s white male privilege provided him with the opportunity to have his knowledge and character valued as more credible by the public. Ted Bundy was even given special privileges in prison and allowed to study law books in preparation to represent himself in court. Even when Bundy broke out of prison people treated him like some sort of modern Robinhood instead of a suspected mass murderer.</w:t>
      </w:r>
      <w:r>
        <w:rPr>
          <w:rStyle w:val="FootnoteReference"/>
          <w:rFonts w:ascii="Times New Roman" w:hAnsi="Times New Roman" w:cs="Times New Roman"/>
        </w:rPr>
        <w:footnoteReference w:id="67"/>
      </w:r>
      <w:r>
        <w:rPr>
          <w:rFonts w:ascii="Times New Roman" w:hAnsi="Times New Roman" w:cs="Times New Roman"/>
        </w:rPr>
        <w:t xml:space="preserve"> The young people in Aspen, started wearing T-shirts with inscriptions like “Ted Bundy is a One-Night Stand” and a local restaurant offered a “</w:t>
      </w:r>
      <w:proofErr w:type="spellStart"/>
      <w:r>
        <w:rPr>
          <w:rFonts w:ascii="Times New Roman" w:hAnsi="Times New Roman" w:cs="Times New Roman"/>
        </w:rPr>
        <w:t>Bundyburger</w:t>
      </w:r>
      <w:proofErr w:type="spellEnd"/>
      <w:r>
        <w:rPr>
          <w:rFonts w:ascii="Times New Roman" w:hAnsi="Times New Roman" w:cs="Times New Roman"/>
        </w:rPr>
        <w:t>.”</w:t>
      </w:r>
      <w:r>
        <w:rPr>
          <w:rStyle w:val="FootnoteReference"/>
          <w:rFonts w:ascii="Times New Roman" w:hAnsi="Times New Roman" w:cs="Times New Roman"/>
        </w:rPr>
        <w:footnoteReference w:id="68"/>
      </w:r>
      <w:r>
        <w:rPr>
          <w:rFonts w:ascii="Times New Roman" w:hAnsi="Times New Roman" w:cs="Times New Roman"/>
        </w:rPr>
        <w:t xml:space="preserve"> The way that people continued to idealize Ted Bundy and treat him as a vigilante rather than a rapist and murderer depicts how the backlash against second wave feminism was influential in reinforcing the idea that women were not the victims of these crimes but rather at fault for them.</w:t>
      </w:r>
    </w:p>
    <w:p w14:paraId="13222473" w14:textId="4DD0F9D1" w:rsidR="0063747B" w:rsidRDefault="0063747B" w:rsidP="0063747B">
      <w:pPr>
        <w:spacing w:line="480" w:lineRule="auto"/>
        <w:ind w:firstLine="720"/>
        <w:rPr>
          <w:rFonts w:ascii="Times New Roman" w:hAnsi="Times New Roman" w:cs="Times New Roman"/>
        </w:rPr>
      </w:pPr>
      <w:r>
        <w:rPr>
          <w:rFonts w:ascii="Times New Roman" w:hAnsi="Times New Roman" w:cs="Times New Roman"/>
        </w:rPr>
        <w:lastRenderedPageBreak/>
        <w:t>The accessibility to rape crisis centers and new rape laws have had a positive impact in aiding victims however it has not stop individuals from being raped. Women continue to struggle to speak out against rape because of the power that their male rapist holds over them. Martha McSally served in the United States Air Force for two decades and began her enlistment in the late 1980s. McSally was raped by a male superior officer on her journey to enter that distinct boys club and did not report it up the chain of command.</w:t>
      </w:r>
      <w:r>
        <w:rPr>
          <w:rStyle w:val="FootnoteReference"/>
          <w:rFonts w:ascii="Times New Roman" w:hAnsi="Times New Roman" w:cs="Times New Roman"/>
        </w:rPr>
        <w:footnoteReference w:id="69"/>
      </w:r>
      <w:r>
        <w:rPr>
          <w:rFonts w:ascii="Times New Roman" w:hAnsi="Times New Roman" w:cs="Times New Roman"/>
        </w:rPr>
        <w:t xml:space="preserve"> McSally’s reasoning for not reporting her rape was due to the fact that if she chose to do so it would threaten or even end her military career. Even though McSally challenged her position in the Air Force by becoming the first woman to pilot an American warplane into combat and had her superiors wave the height requirement, she was reluctant to come forward until a few months ago.</w:t>
      </w:r>
      <w:r>
        <w:rPr>
          <w:rStyle w:val="FootnoteReference"/>
          <w:rFonts w:ascii="Times New Roman" w:hAnsi="Times New Roman" w:cs="Times New Roman"/>
        </w:rPr>
        <w:footnoteReference w:id="70"/>
      </w:r>
      <w:r>
        <w:rPr>
          <w:rFonts w:ascii="Times New Roman" w:hAnsi="Times New Roman" w:cs="Times New Roman"/>
        </w:rPr>
        <w:t xml:space="preserve"> McSally was burdened with ending her career if she dared to call out her colleague and chose to keep her rape as</w:t>
      </w:r>
      <w:r w:rsidR="00474ED2">
        <w:rPr>
          <w:rFonts w:ascii="Times New Roman" w:hAnsi="Times New Roman" w:cs="Times New Roman"/>
        </w:rPr>
        <w:t xml:space="preserve"> a</w:t>
      </w:r>
      <w:r>
        <w:rPr>
          <w:rFonts w:ascii="Times New Roman" w:hAnsi="Times New Roman" w:cs="Times New Roman"/>
        </w:rPr>
        <w:t xml:space="preserve"> private matter and her individual problem for years. Regardless of her choice to keep her rape private for many years, her silence contributed to keeping the structure of military hierarchy in place. Men were left to continue to believe that it was acceptable to exert control over women through sexual exploitation. Another recent case involved the sexual abuse by Larry Nassar on more than 160 women.</w:t>
      </w:r>
      <w:r>
        <w:rPr>
          <w:rStyle w:val="FootnoteReference"/>
          <w:rFonts w:ascii="Times New Roman" w:hAnsi="Times New Roman" w:cs="Times New Roman"/>
        </w:rPr>
        <w:footnoteReference w:id="71"/>
      </w:r>
      <w:r>
        <w:rPr>
          <w:rFonts w:ascii="Times New Roman" w:hAnsi="Times New Roman" w:cs="Times New Roman"/>
        </w:rPr>
        <w:t xml:space="preserve"> These women included elite gymnasts, runners, divers, swimmers, and other athletes.</w:t>
      </w:r>
      <w:r>
        <w:rPr>
          <w:rStyle w:val="FootnoteReference"/>
          <w:rFonts w:ascii="Times New Roman" w:hAnsi="Times New Roman" w:cs="Times New Roman"/>
        </w:rPr>
        <w:footnoteReference w:id="72"/>
      </w:r>
      <w:r>
        <w:rPr>
          <w:rFonts w:ascii="Times New Roman" w:hAnsi="Times New Roman" w:cs="Times New Roman"/>
        </w:rPr>
        <w:t xml:space="preserve"> Nassar’s abuse was allowed to continue for decades as he silenced his victims by his position of power as a “trustworthy” doctor. Nassar manipulated these young women by his assurance that he was doing everything he could as a doctor to help their athletic career. Nassar’s </w:t>
      </w:r>
      <w:r>
        <w:rPr>
          <w:rFonts w:ascii="Times New Roman" w:hAnsi="Times New Roman" w:cs="Times New Roman"/>
        </w:rPr>
        <w:lastRenderedPageBreak/>
        <w:t>position of authority subjected these young women to be vulnerable when he sexually violated them. U.S.A. Gymnastics further enforced Nassar’s position of power by not terminating him as soon as they received evidence that he abused these young women. More than 150 young women gave victim impact statements at Nassar’s sentence hearing which solidified his 40 to 175 years in prison.</w:t>
      </w:r>
      <w:r>
        <w:rPr>
          <w:rStyle w:val="FootnoteReference"/>
          <w:rFonts w:ascii="Times New Roman" w:hAnsi="Times New Roman" w:cs="Times New Roman"/>
        </w:rPr>
        <w:footnoteReference w:id="73"/>
      </w:r>
    </w:p>
    <w:p w14:paraId="1FDD0F05" w14:textId="0CC465B7" w:rsidR="0063747B" w:rsidRDefault="0063747B" w:rsidP="0063747B">
      <w:pPr>
        <w:spacing w:line="480" w:lineRule="auto"/>
        <w:ind w:firstLine="720"/>
        <w:rPr>
          <w:rFonts w:ascii="Times New Roman" w:hAnsi="Times New Roman" w:cs="Times New Roman"/>
        </w:rPr>
      </w:pPr>
      <w:r>
        <w:rPr>
          <w:rFonts w:ascii="Times New Roman" w:hAnsi="Times New Roman" w:cs="Times New Roman"/>
        </w:rPr>
        <w:t xml:space="preserve">Not only have rape victims included women but they also have included the sexual abuse of young boys. In the sexual abuse case of Jerry Sandusky at Penn State, he sexually assaulted young boys. Even when individuals in the locker room witnessed Sandusky’s abuse on these young boys they failed to intervene. Mike </w:t>
      </w:r>
      <w:proofErr w:type="spellStart"/>
      <w:r>
        <w:rPr>
          <w:rFonts w:ascii="Times New Roman" w:hAnsi="Times New Roman" w:cs="Times New Roman"/>
        </w:rPr>
        <w:t>McQueary</w:t>
      </w:r>
      <w:proofErr w:type="spellEnd"/>
      <w:r>
        <w:rPr>
          <w:rFonts w:ascii="Times New Roman" w:hAnsi="Times New Roman" w:cs="Times New Roman"/>
        </w:rPr>
        <w:t>, “</w:t>
      </w:r>
      <w:r w:rsidRPr="00700531">
        <w:rPr>
          <w:rFonts w:ascii="Times New Roman" w:hAnsi="Times New Roman" w:cs="Times New Roman"/>
        </w:rPr>
        <w:t>then a graduate assistant to the f</w:t>
      </w:r>
      <w:r>
        <w:rPr>
          <w:rFonts w:ascii="Times New Roman" w:hAnsi="Times New Roman" w:cs="Times New Roman"/>
        </w:rPr>
        <w:t>ootball team, ‘left immediately’</w:t>
      </w:r>
      <w:r w:rsidRPr="00700531">
        <w:rPr>
          <w:rFonts w:ascii="Times New Roman" w:hAnsi="Times New Roman" w:cs="Times New Roman"/>
        </w:rPr>
        <w:t xml:space="preserve"> after witnessing the former assistant coach Jerry Sandusky sodomize a young boy</w:t>
      </w:r>
      <w:r>
        <w:rPr>
          <w:rFonts w:ascii="Times New Roman" w:hAnsi="Times New Roman" w:cs="Times New Roman"/>
        </w:rPr>
        <w:t>.”</w:t>
      </w:r>
      <w:r>
        <w:rPr>
          <w:rStyle w:val="FootnoteReference"/>
          <w:rFonts w:ascii="Times New Roman" w:hAnsi="Times New Roman" w:cs="Times New Roman"/>
        </w:rPr>
        <w:footnoteReference w:id="74"/>
      </w:r>
      <w:r>
        <w:rPr>
          <w:rFonts w:ascii="Times New Roman" w:hAnsi="Times New Roman" w:cs="Times New Roman"/>
        </w:rPr>
        <w:t xml:space="preserve"> </w:t>
      </w:r>
      <w:proofErr w:type="spellStart"/>
      <w:r>
        <w:rPr>
          <w:rFonts w:ascii="Times New Roman" w:hAnsi="Times New Roman" w:cs="Times New Roman"/>
        </w:rPr>
        <w:t>McQueary’s</w:t>
      </w:r>
      <w:proofErr w:type="spellEnd"/>
      <w:r>
        <w:rPr>
          <w:rFonts w:ascii="Times New Roman" w:hAnsi="Times New Roman" w:cs="Times New Roman"/>
        </w:rPr>
        <w:t xml:space="preserve"> inability to take action to report Sandusky’s actions to the police enforced the power Sandusky continued to have over raping his victims. Sandusky’s position of power resulted in</w:t>
      </w:r>
      <w:r w:rsidR="00541732">
        <w:rPr>
          <w:rFonts w:ascii="Times New Roman" w:hAnsi="Times New Roman" w:cs="Times New Roman"/>
        </w:rPr>
        <w:t xml:space="preserve"> </w:t>
      </w:r>
      <w:proofErr w:type="spellStart"/>
      <w:r w:rsidR="00541732">
        <w:rPr>
          <w:rFonts w:ascii="Times New Roman" w:hAnsi="Times New Roman" w:cs="Times New Roman"/>
        </w:rPr>
        <w:t>McQueary</w:t>
      </w:r>
      <w:proofErr w:type="spellEnd"/>
      <w:r>
        <w:rPr>
          <w:rFonts w:ascii="Times New Roman" w:hAnsi="Times New Roman" w:cs="Times New Roman"/>
        </w:rPr>
        <w:t xml:space="preserve"> denial of the rape victims. The devaluation of the young boys’ sexual violation demonstrates how Penn State officials were more disgusted at the perceived gay element than the horror of the crimes themselves.</w:t>
      </w:r>
      <w:r>
        <w:rPr>
          <w:rStyle w:val="FootnoteReference"/>
          <w:rFonts w:ascii="Times New Roman" w:hAnsi="Times New Roman" w:cs="Times New Roman"/>
        </w:rPr>
        <w:footnoteReference w:id="75"/>
      </w:r>
      <w:r>
        <w:rPr>
          <w:rFonts w:ascii="Times New Roman" w:hAnsi="Times New Roman" w:cs="Times New Roman"/>
        </w:rPr>
        <w:t xml:space="preserve"> The child sexual abuse demonstrates how male rapists held power over the children by manipulating them and over other adults by shaming them of the possibility of exposing homosexual relationships. Charles Blow, a victim of childhood sexual abuse has come to terms with what he experienced as a child. He conveys that stating he was a victim of abuse to the world helped begin the reparation of the damage it had done and allowed him to see that the majority of damage had been caused by trying to keep the </w:t>
      </w:r>
      <w:r>
        <w:rPr>
          <w:rFonts w:ascii="Times New Roman" w:hAnsi="Times New Roman" w:cs="Times New Roman"/>
        </w:rPr>
        <w:lastRenderedPageBreak/>
        <w:t>offense in the dark.</w:t>
      </w:r>
      <w:r>
        <w:rPr>
          <w:rStyle w:val="FootnoteReference"/>
          <w:rFonts w:ascii="Times New Roman" w:hAnsi="Times New Roman" w:cs="Times New Roman"/>
        </w:rPr>
        <w:footnoteReference w:id="76"/>
      </w:r>
      <w:r>
        <w:rPr>
          <w:rFonts w:ascii="Times New Roman" w:hAnsi="Times New Roman" w:cs="Times New Roman"/>
        </w:rPr>
        <w:t xml:space="preserve"> Blow’s truth allowed him to reclaim his life and his bodily autonomy that had been violated when he was a child. Blow’s strength and perseverance demonstrate how he was able to distinctly separate his sexual identity as a bisexual man from his sexual abuse.</w:t>
      </w:r>
      <w:r>
        <w:rPr>
          <w:rStyle w:val="FootnoteReference"/>
          <w:rFonts w:ascii="Times New Roman" w:hAnsi="Times New Roman" w:cs="Times New Roman"/>
        </w:rPr>
        <w:footnoteReference w:id="77"/>
      </w:r>
      <w:r>
        <w:rPr>
          <w:rFonts w:ascii="Times New Roman" w:hAnsi="Times New Roman" w:cs="Times New Roman"/>
        </w:rPr>
        <w:t xml:space="preserve"> Although, Charles Blow sets an example that it is possible for victims to overcome their abuse, it is still difficult because of the male discourses that continue to dominate conversations and the normalization that rape still has in society.</w:t>
      </w:r>
    </w:p>
    <w:p w14:paraId="298639B4" w14:textId="6D23E5A1" w:rsidR="00BE7447" w:rsidRDefault="00BE7447" w:rsidP="00BE7447">
      <w:pPr>
        <w:spacing w:line="480" w:lineRule="auto"/>
        <w:ind w:firstLine="720"/>
        <w:rPr>
          <w:rFonts w:ascii="Times New Roman" w:hAnsi="Times New Roman" w:cs="Times New Roman"/>
        </w:rPr>
      </w:pPr>
      <w:r>
        <w:rPr>
          <w:rFonts w:ascii="Times New Roman" w:hAnsi="Times New Roman" w:cs="Times New Roman"/>
        </w:rPr>
        <w:t>Second wave feminism contributed to changing status for</w:t>
      </w:r>
      <w:r w:rsidR="00965D04">
        <w:rPr>
          <w:rFonts w:ascii="Times New Roman" w:hAnsi="Times New Roman" w:cs="Times New Roman"/>
        </w:rPr>
        <w:t xml:space="preserve"> all </w:t>
      </w:r>
      <w:r>
        <w:rPr>
          <w:rFonts w:ascii="Times New Roman" w:hAnsi="Times New Roman" w:cs="Times New Roman"/>
        </w:rPr>
        <w:t>women and African American</w:t>
      </w:r>
      <w:r w:rsidR="00965D04">
        <w:rPr>
          <w:rFonts w:ascii="Times New Roman" w:hAnsi="Times New Roman" w:cs="Times New Roman"/>
        </w:rPr>
        <w:t xml:space="preserve"> men</w:t>
      </w:r>
      <w:r>
        <w:rPr>
          <w:rFonts w:ascii="Times New Roman" w:hAnsi="Times New Roman" w:cs="Times New Roman"/>
        </w:rPr>
        <w:t xml:space="preserve"> </w:t>
      </w:r>
      <w:r w:rsidR="00E36753">
        <w:rPr>
          <w:rFonts w:ascii="Times New Roman" w:hAnsi="Times New Roman" w:cs="Times New Roman"/>
        </w:rPr>
        <w:t xml:space="preserve">however they </w:t>
      </w:r>
      <w:r>
        <w:rPr>
          <w:rFonts w:ascii="Times New Roman" w:hAnsi="Times New Roman" w:cs="Times New Roman"/>
        </w:rPr>
        <w:t xml:space="preserve">were unable to change the balance of power. Everything in American culture continues to promote male knowledge as superior to female knowledge. Women are now aware of the white male rapist from learning from each other’s shared experiences. Many individuals realized that the racialized discourse of black men as the sole perpetrators of white women’s bodies was a lie. Women’s new understanding that rape was a weapon used by men to exert control over them encouraged organizing and fighting against the naturalized behaviors of the sexual aggression of men. Although second wave feminism was met with backlash by female critics, it did not substantially damage the progress that feminists had made in the movement. However, the issue of rape has not changed because there are still victims including men, women, and children. Women have to continue to keep pushing to change the male discourse and the value of their knowledge to men. The feminist scholarship that comes out of second wave feminism redefines rape once again. The redefinition of rape now includes rape as a political and social issue. The politicization and socialization of rape is focused on un-normalizing rape behaviors and rape culture that has been created by men. To </w:t>
      </w:r>
      <w:r>
        <w:rPr>
          <w:rFonts w:ascii="Times New Roman" w:hAnsi="Times New Roman" w:cs="Times New Roman"/>
        </w:rPr>
        <w:lastRenderedPageBreak/>
        <w:t>push back against rape, change can be reached through discourses that rethink the meaning of sexual violence and enforce the importance of bodily integrity.</w:t>
      </w:r>
    </w:p>
    <w:p w14:paraId="7DE17B0D" w14:textId="77777777" w:rsidR="00AD6787" w:rsidRDefault="00AD6787" w:rsidP="00AD6787">
      <w:pPr>
        <w:spacing w:line="480" w:lineRule="auto"/>
        <w:ind w:firstLine="720"/>
        <w:rPr>
          <w:rFonts w:ascii="Times New Roman" w:hAnsi="Times New Roman" w:cs="Times New Roman"/>
        </w:rPr>
      </w:pPr>
    </w:p>
    <w:p w14:paraId="4E3AA9DE" w14:textId="77777777" w:rsidR="00AD6787" w:rsidRDefault="00AD6787" w:rsidP="00AD6787">
      <w:pPr>
        <w:spacing w:line="480" w:lineRule="auto"/>
        <w:ind w:firstLine="720"/>
        <w:rPr>
          <w:rFonts w:ascii="Times New Roman" w:hAnsi="Times New Roman" w:cs="Times New Roman"/>
        </w:rPr>
      </w:pPr>
    </w:p>
    <w:p w14:paraId="3B938523" w14:textId="77777777" w:rsidR="00AD6787" w:rsidRDefault="00AD6787" w:rsidP="00AD6787">
      <w:pPr>
        <w:spacing w:line="480" w:lineRule="auto"/>
        <w:ind w:firstLine="720"/>
        <w:rPr>
          <w:rFonts w:ascii="Times New Roman" w:hAnsi="Times New Roman" w:cs="Times New Roman"/>
        </w:rPr>
      </w:pPr>
    </w:p>
    <w:p w14:paraId="2567613D" w14:textId="77777777" w:rsidR="00AD6787" w:rsidRDefault="00AD6787" w:rsidP="00AD6787">
      <w:pPr>
        <w:spacing w:line="480" w:lineRule="auto"/>
        <w:ind w:firstLine="720"/>
        <w:rPr>
          <w:rFonts w:ascii="Times New Roman" w:hAnsi="Times New Roman" w:cs="Times New Roman"/>
        </w:rPr>
      </w:pPr>
    </w:p>
    <w:p w14:paraId="0A0A2C9E" w14:textId="77777777" w:rsidR="00AD6787" w:rsidRDefault="00AD6787" w:rsidP="00AD6787">
      <w:pPr>
        <w:spacing w:line="480" w:lineRule="auto"/>
        <w:ind w:firstLine="720"/>
        <w:rPr>
          <w:rFonts w:ascii="Times New Roman" w:hAnsi="Times New Roman" w:cs="Times New Roman"/>
        </w:rPr>
      </w:pPr>
    </w:p>
    <w:p w14:paraId="78C53858" w14:textId="31488E0B" w:rsidR="000663CE" w:rsidRDefault="009D3ACB"/>
    <w:p w14:paraId="477E1B74" w14:textId="4BF01AB7" w:rsidR="008C558C" w:rsidRDefault="008C558C"/>
    <w:p w14:paraId="553DB5B2" w14:textId="3B7057FD" w:rsidR="008C558C" w:rsidRDefault="008C558C"/>
    <w:p w14:paraId="5FEC5515" w14:textId="0888EE1C" w:rsidR="008C558C" w:rsidRDefault="008C558C"/>
    <w:p w14:paraId="082355BB" w14:textId="4E9CAB31" w:rsidR="008C558C" w:rsidRDefault="008C558C"/>
    <w:p w14:paraId="6B6062D8" w14:textId="6BBCF5D2" w:rsidR="008C558C" w:rsidRDefault="008C558C"/>
    <w:p w14:paraId="4B2F7525" w14:textId="76ADF005" w:rsidR="008C558C" w:rsidRDefault="008C558C"/>
    <w:p w14:paraId="09DDD905" w14:textId="1EDB4932" w:rsidR="008C558C" w:rsidRDefault="008C558C"/>
    <w:p w14:paraId="5D93B55D" w14:textId="06A1A574" w:rsidR="008C558C" w:rsidRDefault="008C558C"/>
    <w:p w14:paraId="0254FF81" w14:textId="11DA995C" w:rsidR="008C558C" w:rsidRDefault="008C558C"/>
    <w:p w14:paraId="0A3A1952" w14:textId="71EA206C" w:rsidR="008C558C" w:rsidRDefault="008C558C"/>
    <w:p w14:paraId="3DEAD3EF" w14:textId="74D145AC" w:rsidR="008C558C" w:rsidRDefault="008C558C"/>
    <w:p w14:paraId="1B6ACD20" w14:textId="6B4BFEFE" w:rsidR="008C558C" w:rsidRDefault="008C558C"/>
    <w:p w14:paraId="5D824338" w14:textId="69599960" w:rsidR="008C558C" w:rsidRDefault="008C558C"/>
    <w:p w14:paraId="128B433F" w14:textId="1CC4F40D" w:rsidR="008C558C" w:rsidRDefault="008C558C"/>
    <w:p w14:paraId="4AD35BE2" w14:textId="6FE05DB0" w:rsidR="00422EEB" w:rsidRDefault="00422EEB"/>
    <w:p w14:paraId="0D771729" w14:textId="2CC03ADD" w:rsidR="00322423" w:rsidRDefault="00322423"/>
    <w:p w14:paraId="659F0840" w14:textId="210C6288" w:rsidR="00322423" w:rsidRDefault="00322423"/>
    <w:p w14:paraId="732CC8BB" w14:textId="181D9929" w:rsidR="00322423" w:rsidRDefault="00322423"/>
    <w:p w14:paraId="42896AAC" w14:textId="2CCE2BD7" w:rsidR="00322423" w:rsidRDefault="00322423"/>
    <w:p w14:paraId="7C74AB65" w14:textId="22E04F28" w:rsidR="00322423" w:rsidRDefault="00322423"/>
    <w:p w14:paraId="124988FA" w14:textId="2A189153" w:rsidR="00322423" w:rsidRDefault="00322423"/>
    <w:p w14:paraId="0B8BE0F7" w14:textId="104225F8" w:rsidR="00322423" w:rsidRDefault="00322423"/>
    <w:p w14:paraId="54B76473" w14:textId="1A9562F3" w:rsidR="00322423" w:rsidRDefault="00322423"/>
    <w:p w14:paraId="7001CF94" w14:textId="10854FAA" w:rsidR="00322423" w:rsidRDefault="00322423"/>
    <w:p w14:paraId="654DD9A3" w14:textId="76A33AD9" w:rsidR="00322423" w:rsidRDefault="00322423"/>
    <w:p w14:paraId="6F15819A" w14:textId="2719EB01" w:rsidR="00322423" w:rsidRDefault="00322423"/>
    <w:p w14:paraId="28595B28" w14:textId="070AE68D" w:rsidR="00322423" w:rsidRDefault="00322423"/>
    <w:p w14:paraId="483B5A9B" w14:textId="280FCCAB" w:rsidR="00322423" w:rsidRDefault="00322423"/>
    <w:p w14:paraId="012B863B" w14:textId="77777777" w:rsidR="00322423" w:rsidRDefault="00322423"/>
    <w:p w14:paraId="21B1BA6A" w14:textId="3A493A31" w:rsidR="008C558C" w:rsidRDefault="008C558C"/>
    <w:p w14:paraId="264A40CB" w14:textId="753B7EFD" w:rsidR="008C558C" w:rsidRDefault="008C558C" w:rsidP="00301D2C">
      <w:pPr>
        <w:spacing w:line="480" w:lineRule="auto"/>
        <w:jc w:val="center"/>
        <w:rPr>
          <w:rFonts w:ascii="Times New Roman" w:hAnsi="Times New Roman" w:cs="Times New Roman"/>
        </w:rPr>
      </w:pPr>
      <w:r w:rsidRPr="008C558C">
        <w:rPr>
          <w:rFonts w:ascii="Times New Roman" w:hAnsi="Times New Roman" w:cs="Times New Roman"/>
        </w:rPr>
        <w:lastRenderedPageBreak/>
        <w:t>Bibliography</w:t>
      </w:r>
    </w:p>
    <w:p w14:paraId="5B8F2307" w14:textId="77777777" w:rsidR="008B137F" w:rsidRDefault="008B137F" w:rsidP="008B137F">
      <w:pPr>
        <w:spacing w:line="480" w:lineRule="auto"/>
        <w:ind w:left="720" w:hanging="720"/>
        <w:rPr>
          <w:rFonts w:ascii="Times New Roman" w:hAnsi="Times New Roman" w:cs="Times New Roman"/>
        </w:rPr>
      </w:pPr>
      <w:r w:rsidRPr="002F2CAF">
        <w:rPr>
          <w:rFonts w:ascii="Times New Roman" w:hAnsi="Times New Roman" w:cs="Times New Roman"/>
        </w:rPr>
        <w:t>Blow,</w:t>
      </w:r>
      <w:r>
        <w:rPr>
          <w:rFonts w:ascii="Times New Roman" w:hAnsi="Times New Roman" w:cs="Times New Roman"/>
        </w:rPr>
        <w:t xml:space="preserve"> Charles M.</w:t>
      </w:r>
      <w:r w:rsidRPr="002F2CAF">
        <w:rPr>
          <w:rFonts w:ascii="Times New Roman" w:hAnsi="Times New Roman" w:cs="Times New Roman"/>
        </w:rPr>
        <w:t xml:space="preserve"> “It Got Better. That’s My Testimony.” The New York Times, </w:t>
      </w:r>
      <w:r w:rsidRPr="002F2CAF">
        <w:rPr>
          <w:rFonts w:ascii="Times New Roman" w:hAnsi="Times New Roman" w:cs="Times New Roman"/>
          <w:i/>
        </w:rPr>
        <w:t>The New York Times</w:t>
      </w:r>
      <w:r w:rsidRPr="002F2CAF">
        <w:rPr>
          <w:rFonts w:ascii="Times New Roman" w:hAnsi="Times New Roman" w:cs="Times New Roman"/>
        </w:rPr>
        <w:t>, June 16, 2019.</w:t>
      </w:r>
      <w:r>
        <w:rPr>
          <w:rFonts w:ascii="Times New Roman" w:hAnsi="Times New Roman" w:cs="Times New Roman"/>
        </w:rPr>
        <w:t xml:space="preserve"> </w:t>
      </w:r>
      <w:r w:rsidRPr="004A753D">
        <w:rPr>
          <w:rFonts w:ascii="Times New Roman" w:hAnsi="Times New Roman" w:cs="Times New Roman"/>
        </w:rPr>
        <w:t>https://www.nytimes.com/2019/06/16/opinion/pride-it-gets-better.html</w:t>
      </w:r>
    </w:p>
    <w:p w14:paraId="1D3F997D" w14:textId="77777777" w:rsidR="008B137F" w:rsidRPr="004A753D" w:rsidRDefault="008B137F" w:rsidP="008B137F">
      <w:pPr>
        <w:spacing w:line="480" w:lineRule="auto"/>
        <w:ind w:left="720" w:hanging="720"/>
        <w:rPr>
          <w:rFonts w:ascii="Times New Roman" w:hAnsi="Times New Roman" w:cs="Times New Roman"/>
        </w:rPr>
      </w:pPr>
      <w:r>
        <w:rPr>
          <w:rFonts w:ascii="Times New Roman" w:hAnsi="Times New Roman" w:cs="Times New Roman"/>
        </w:rPr>
        <w:t>“</w:t>
      </w:r>
      <w:r w:rsidRPr="004A753D">
        <w:rPr>
          <w:rFonts w:ascii="Times New Roman" w:hAnsi="Times New Roman" w:cs="Times New Roman"/>
        </w:rPr>
        <w:t>Born in Flames.</w:t>
      </w:r>
      <w:r>
        <w:rPr>
          <w:rFonts w:ascii="Times New Roman" w:hAnsi="Times New Roman" w:cs="Times New Roman"/>
        </w:rPr>
        <w:t>”</w:t>
      </w:r>
      <w:r w:rsidRPr="004A753D">
        <w:rPr>
          <w:rFonts w:ascii="Times New Roman" w:hAnsi="Times New Roman" w:cs="Times New Roman"/>
        </w:rPr>
        <w:t xml:space="preserve"> Directed by Lizzie Borden. Produced by Lizzie Borden. [New York, NY] First Run Features, 1983. Accessed December 8, 2019. https://video-alexanderstreet-com.proxy.lib.utk.edu/watch/born-in-flames.</w:t>
      </w:r>
    </w:p>
    <w:p w14:paraId="06839FDB" w14:textId="129BFECA" w:rsidR="007709CC" w:rsidRDefault="008B137F" w:rsidP="008B137F">
      <w:pPr>
        <w:pStyle w:val="FootnoteText"/>
        <w:spacing w:line="480" w:lineRule="auto"/>
        <w:ind w:left="720" w:hanging="720"/>
        <w:rPr>
          <w:rFonts w:ascii="Times New Roman" w:hAnsi="Times New Roman" w:cs="Times New Roman"/>
        </w:rPr>
      </w:pPr>
      <w:proofErr w:type="spellStart"/>
      <w:r w:rsidRPr="002E6831">
        <w:rPr>
          <w:rFonts w:ascii="Times New Roman" w:hAnsi="Times New Roman" w:cs="Times New Roman"/>
        </w:rPr>
        <w:t>Brownmiller</w:t>
      </w:r>
      <w:proofErr w:type="spellEnd"/>
      <w:r w:rsidRPr="002E6831">
        <w:rPr>
          <w:rFonts w:ascii="Times New Roman" w:hAnsi="Times New Roman" w:cs="Times New Roman"/>
        </w:rPr>
        <w:t>,</w:t>
      </w:r>
      <w:r>
        <w:rPr>
          <w:rFonts w:ascii="Times New Roman" w:hAnsi="Times New Roman" w:cs="Times New Roman"/>
        </w:rPr>
        <w:t xml:space="preserve"> </w:t>
      </w:r>
      <w:r w:rsidRPr="002E6831">
        <w:rPr>
          <w:rFonts w:ascii="Times New Roman" w:hAnsi="Times New Roman" w:cs="Times New Roman"/>
        </w:rPr>
        <w:t>Susan</w:t>
      </w:r>
      <w:r>
        <w:rPr>
          <w:rFonts w:ascii="Times New Roman" w:hAnsi="Times New Roman" w:cs="Times New Roman"/>
        </w:rPr>
        <w:t xml:space="preserve">. </w:t>
      </w:r>
      <w:r>
        <w:rPr>
          <w:rFonts w:ascii="Times New Roman" w:hAnsi="Times New Roman" w:cs="Times New Roman"/>
          <w:i/>
        </w:rPr>
        <w:t>Against Our Will: Men, Women and Rape</w:t>
      </w:r>
      <w:r>
        <w:rPr>
          <w:rFonts w:ascii="Times New Roman" w:hAnsi="Times New Roman" w:cs="Times New Roman"/>
        </w:rPr>
        <w:t>. The Random House Publishing Group, 1975.</w:t>
      </w:r>
      <w:r w:rsidRPr="002E6831">
        <w:rPr>
          <w:rFonts w:ascii="Times New Roman" w:hAnsi="Times New Roman" w:cs="Times New Roman"/>
        </w:rPr>
        <w:t xml:space="preserve"> </w:t>
      </w:r>
    </w:p>
    <w:p w14:paraId="220AC192" w14:textId="77777777" w:rsidR="008B137F" w:rsidRPr="000254BC" w:rsidRDefault="008B137F" w:rsidP="008B137F">
      <w:pPr>
        <w:spacing w:line="480" w:lineRule="auto"/>
        <w:ind w:left="720" w:hanging="720"/>
        <w:rPr>
          <w:rFonts w:ascii="Times New Roman" w:hAnsi="Times New Roman" w:cs="Times New Roman"/>
          <w:color w:val="000000" w:themeColor="text1"/>
        </w:rPr>
      </w:pPr>
      <w:r w:rsidRPr="000254BC">
        <w:rPr>
          <w:rFonts w:ascii="Times New Roman" w:hAnsi="Times New Roman" w:cs="Times New Roman"/>
          <w:color w:val="000000" w:themeColor="text1"/>
        </w:rPr>
        <w:t>Clement, Elizabeth Alice., and ProQuest. </w:t>
      </w:r>
      <w:r w:rsidRPr="000254BC">
        <w:rPr>
          <w:rFonts w:ascii="Times New Roman" w:hAnsi="Times New Roman" w:cs="Times New Roman"/>
          <w:i/>
          <w:iCs/>
          <w:color w:val="000000" w:themeColor="text1"/>
        </w:rPr>
        <w:t>Love for Sale: Courting, Treating, and Prostitution in New York City, 1900-1945</w:t>
      </w:r>
      <w:r w:rsidRPr="000254BC">
        <w:rPr>
          <w:rFonts w:ascii="Times New Roman" w:hAnsi="Times New Roman" w:cs="Times New Roman"/>
          <w:color w:val="000000" w:themeColor="text1"/>
        </w:rPr>
        <w:t>. Gender &amp; American Culture. Chapel Hill: University of North Carolina Press, 2006.</w:t>
      </w:r>
    </w:p>
    <w:p w14:paraId="7E70698E" w14:textId="77777777" w:rsidR="00393CD3" w:rsidRDefault="00393CD3" w:rsidP="00393CD3">
      <w:pPr>
        <w:pStyle w:val="FootnoteText"/>
        <w:spacing w:line="480" w:lineRule="auto"/>
        <w:ind w:left="720" w:hanging="720"/>
        <w:rPr>
          <w:rFonts w:ascii="Times New Roman" w:hAnsi="Times New Roman" w:cs="Times New Roman"/>
        </w:rPr>
      </w:pPr>
      <w:r w:rsidRPr="00D73817">
        <w:rPr>
          <w:rFonts w:ascii="Times New Roman" w:hAnsi="Times New Roman" w:cs="Times New Roman"/>
        </w:rPr>
        <w:t>Cooper</w:t>
      </w:r>
      <w:r>
        <w:rPr>
          <w:rFonts w:ascii="Times New Roman" w:hAnsi="Times New Roman" w:cs="Times New Roman"/>
        </w:rPr>
        <w:t xml:space="preserve">, </w:t>
      </w:r>
      <w:r w:rsidRPr="00D73817">
        <w:rPr>
          <w:rFonts w:ascii="Times New Roman" w:hAnsi="Times New Roman" w:cs="Times New Roman"/>
        </w:rPr>
        <w:t>Helene</w:t>
      </w:r>
      <w:r>
        <w:rPr>
          <w:rFonts w:ascii="Times New Roman" w:hAnsi="Times New Roman" w:cs="Times New Roman"/>
        </w:rPr>
        <w:t xml:space="preserve">, and Philipps, Dave and </w:t>
      </w:r>
      <w:proofErr w:type="spellStart"/>
      <w:r>
        <w:rPr>
          <w:rFonts w:ascii="Times New Roman" w:hAnsi="Times New Roman" w:cs="Times New Roman"/>
        </w:rPr>
        <w:t>Oppel</w:t>
      </w:r>
      <w:proofErr w:type="spellEnd"/>
      <w:r>
        <w:rPr>
          <w:rFonts w:ascii="Times New Roman" w:hAnsi="Times New Roman" w:cs="Times New Roman"/>
        </w:rPr>
        <w:t>, Richard.</w:t>
      </w:r>
      <w:r w:rsidRPr="00D73817">
        <w:rPr>
          <w:rFonts w:ascii="Times New Roman" w:hAnsi="Times New Roman" w:cs="Times New Roman"/>
        </w:rPr>
        <w:t xml:space="preserve"> “‘I, Too Was a Survivor’: Senator McSally Ends Years of Silence.” The New York Times, </w:t>
      </w:r>
      <w:r w:rsidRPr="00D73817">
        <w:rPr>
          <w:rFonts w:ascii="Times New Roman" w:hAnsi="Times New Roman" w:cs="Times New Roman"/>
          <w:i/>
        </w:rPr>
        <w:t>The New York Times</w:t>
      </w:r>
      <w:r w:rsidRPr="00D73817">
        <w:rPr>
          <w:rFonts w:ascii="Times New Roman" w:hAnsi="Times New Roman" w:cs="Times New Roman"/>
        </w:rPr>
        <w:t>, March 26, 2019.</w:t>
      </w:r>
      <w:r>
        <w:rPr>
          <w:rFonts w:ascii="Times New Roman" w:hAnsi="Times New Roman" w:cs="Times New Roman"/>
        </w:rPr>
        <w:t xml:space="preserve"> </w:t>
      </w:r>
      <w:r w:rsidRPr="008A1DF7">
        <w:rPr>
          <w:rFonts w:ascii="Times New Roman" w:hAnsi="Times New Roman" w:cs="Times New Roman"/>
        </w:rPr>
        <w:t>https://www.nytimes.com/2019/03/26/us/senator-martha-mcsally-rape-assault.html</w:t>
      </w:r>
    </w:p>
    <w:p w14:paraId="60B5D4F2" w14:textId="2100CD5E" w:rsidR="000F4C5B" w:rsidRPr="000F4C5B" w:rsidRDefault="000F4C5B" w:rsidP="000E057A">
      <w:pPr>
        <w:spacing w:line="480" w:lineRule="auto"/>
        <w:ind w:left="720" w:hanging="720"/>
        <w:rPr>
          <w:rFonts w:ascii="Times New Roman" w:hAnsi="Times New Roman" w:cs="Times New Roman"/>
        </w:rPr>
      </w:pPr>
      <w:r w:rsidRPr="00B83AB0">
        <w:rPr>
          <w:rFonts w:ascii="Times New Roman" w:hAnsi="Times New Roman" w:cs="Times New Roman"/>
        </w:rPr>
        <w:t>Deutsch, Sarah</w:t>
      </w:r>
      <w:r>
        <w:rPr>
          <w:rFonts w:ascii="Times New Roman" w:hAnsi="Times New Roman" w:cs="Times New Roman"/>
        </w:rPr>
        <w:t>.</w:t>
      </w:r>
      <w:r w:rsidRPr="00B83AB0">
        <w:rPr>
          <w:rFonts w:ascii="Times New Roman" w:hAnsi="Times New Roman" w:cs="Times New Roman"/>
        </w:rPr>
        <w:t xml:space="preserve"> “Women and the city: gender, space, and power in Boston, 1870-1940.” New York: Oxford University Press 2000.</w:t>
      </w:r>
    </w:p>
    <w:p w14:paraId="2812D194" w14:textId="004E8E4D" w:rsidR="00393CD3" w:rsidRPr="000254BC" w:rsidRDefault="00393CD3" w:rsidP="00393CD3">
      <w:pPr>
        <w:spacing w:line="480" w:lineRule="auto"/>
        <w:ind w:left="720" w:hanging="720"/>
        <w:rPr>
          <w:rFonts w:ascii="Times New Roman" w:hAnsi="Times New Roman" w:cs="Times New Roman"/>
          <w:color w:val="000000" w:themeColor="text1"/>
        </w:rPr>
      </w:pPr>
      <w:r w:rsidRPr="000254BC">
        <w:rPr>
          <w:rFonts w:ascii="Times New Roman" w:hAnsi="Times New Roman" w:cs="Times New Roman"/>
          <w:color w:val="000000" w:themeColor="text1"/>
        </w:rPr>
        <w:t>Dorr, Lisa Lindquist. “The Perils of the Back Seat: Date Rape, Race and Gender in 1950s America.” </w:t>
      </w:r>
      <w:r w:rsidRPr="000254BC">
        <w:rPr>
          <w:rFonts w:ascii="Times New Roman" w:hAnsi="Times New Roman" w:cs="Times New Roman"/>
          <w:i/>
          <w:iCs/>
          <w:color w:val="000000" w:themeColor="text1"/>
        </w:rPr>
        <w:t>Gender &amp; History</w:t>
      </w:r>
      <w:r w:rsidRPr="000254BC">
        <w:rPr>
          <w:rFonts w:ascii="Times New Roman" w:hAnsi="Times New Roman" w:cs="Times New Roman"/>
          <w:color w:val="000000" w:themeColor="text1"/>
        </w:rPr>
        <w:t> 20, no. 1 (April 2008): 27–47. doi:10.1111/j.1468-0424.2007.</w:t>
      </w:r>
      <w:proofErr w:type="gramStart"/>
      <w:r w:rsidRPr="000254BC">
        <w:rPr>
          <w:rFonts w:ascii="Times New Roman" w:hAnsi="Times New Roman" w:cs="Times New Roman"/>
          <w:color w:val="000000" w:themeColor="text1"/>
        </w:rPr>
        <w:t>00506.x.</w:t>
      </w:r>
      <w:proofErr w:type="gramEnd"/>
    </w:p>
    <w:p w14:paraId="058A3473" w14:textId="661972F8" w:rsidR="008B137F" w:rsidRPr="000F4C5B" w:rsidRDefault="00393CD3" w:rsidP="000F4C5B">
      <w:pPr>
        <w:spacing w:line="480" w:lineRule="auto"/>
        <w:rPr>
          <w:rFonts w:ascii="Times New Roman" w:hAnsi="Times New Roman" w:cs="Times New Roman"/>
          <w:color w:val="000000" w:themeColor="text1"/>
        </w:rPr>
      </w:pPr>
      <w:r w:rsidRPr="000254BC">
        <w:rPr>
          <w:rFonts w:ascii="Times New Roman" w:hAnsi="Times New Roman" w:cs="Times New Roman"/>
          <w:color w:val="000000" w:themeColor="text1"/>
        </w:rPr>
        <w:t>Equal Justice Initiative, “Lynching in America.” 2017.</w:t>
      </w:r>
    </w:p>
    <w:p w14:paraId="706A1131" w14:textId="77777777" w:rsidR="00431660" w:rsidRDefault="00431660" w:rsidP="00431660">
      <w:pPr>
        <w:spacing w:line="480" w:lineRule="auto"/>
        <w:ind w:left="720" w:hanging="720"/>
        <w:rPr>
          <w:rFonts w:ascii="Times New Roman" w:hAnsi="Times New Roman" w:cs="Times New Roman"/>
        </w:rPr>
      </w:pPr>
      <w:r w:rsidRPr="00FE39E2">
        <w:rPr>
          <w:rFonts w:ascii="Times New Roman" w:hAnsi="Times New Roman" w:cs="Times New Roman"/>
        </w:rPr>
        <w:t>Faludi,</w:t>
      </w:r>
      <w:r>
        <w:rPr>
          <w:rFonts w:ascii="Times New Roman" w:hAnsi="Times New Roman" w:cs="Times New Roman"/>
        </w:rPr>
        <w:t xml:space="preserve"> </w:t>
      </w:r>
      <w:r w:rsidRPr="00FE39E2">
        <w:rPr>
          <w:rFonts w:ascii="Times New Roman" w:hAnsi="Times New Roman" w:cs="Times New Roman"/>
        </w:rPr>
        <w:t>Susan</w:t>
      </w:r>
      <w:r>
        <w:rPr>
          <w:rFonts w:ascii="Times New Roman" w:hAnsi="Times New Roman" w:cs="Times New Roman"/>
        </w:rPr>
        <w:t>.</w:t>
      </w:r>
      <w:r w:rsidRPr="00FE39E2">
        <w:rPr>
          <w:rFonts w:ascii="Times New Roman" w:hAnsi="Times New Roman" w:cs="Times New Roman"/>
        </w:rPr>
        <w:t xml:space="preserve"> “Introduction: Blame it on Feminism” in Backlash, 1991.</w:t>
      </w:r>
      <w:r>
        <w:rPr>
          <w:rFonts w:ascii="Times New Roman" w:hAnsi="Times New Roman" w:cs="Times New Roman"/>
        </w:rPr>
        <w:t xml:space="preserve"> </w:t>
      </w:r>
      <w:r w:rsidRPr="00F8295E">
        <w:rPr>
          <w:rFonts w:ascii="Times New Roman" w:hAnsi="Times New Roman" w:cs="Times New Roman"/>
        </w:rPr>
        <w:t>http://susanfaludi.com/backlash-chapter.html</w:t>
      </w:r>
    </w:p>
    <w:p w14:paraId="42AD4110" w14:textId="740EEFD9" w:rsidR="000F4C5B" w:rsidRDefault="000F4C5B" w:rsidP="000F4C5B">
      <w:pPr>
        <w:pStyle w:val="FootnoteText"/>
        <w:spacing w:line="480" w:lineRule="auto"/>
        <w:ind w:left="720" w:hanging="720"/>
        <w:rPr>
          <w:rFonts w:ascii="Times New Roman" w:hAnsi="Times New Roman" w:cs="Times New Roman"/>
        </w:rPr>
      </w:pPr>
      <w:proofErr w:type="spellStart"/>
      <w:r w:rsidRPr="006C65A8">
        <w:rPr>
          <w:rFonts w:ascii="Times New Roman" w:hAnsi="Times New Roman" w:cs="Times New Roman"/>
        </w:rPr>
        <w:lastRenderedPageBreak/>
        <w:t>Feimster</w:t>
      </w:r>
      <w:proofErr w:type="spellEnd"/>
      <w:r w:rsidRPr="006C65A8">
        <w:rPr>
          <w:rFonts w:ascii="Times New Roman" w:hAnsi="Times New Roman" w:cs="Times New Roman"/>
        </w:rPr>
        <w:t>,</w:t>
      </w:r>
      <w:r>
        <w:rPr>
          <w:rFonts w:ascii="Times New Roman" w:hAnsi="Times New Roman" w:cs="Times New Roman"/>
        </w:rPr>
        <w:t xml:space="preserve"> </w:t>
      </w:r>
      <w:r w:rsidRPr="006C65A8">
        <w:rPr>
          <w:rFonts w:ascii="Times New Roman" w:hAnsi="Times New Roman" w:cs="Times New Roman"/>
        </w:rPr>
        <w:t>Crystal N.  “Ida B. Wells and the Lynching of Black Women</w:t>
      </w:r>
      <w:r>
        <w:rPr>
          <w:rFonts w:ascii="Times New Roman" w:hAnsi="Times New Roman" w:cs="Times New Roman"/>
        </w:rPr>
        <w:t>.</w:t>
      </w:r>
      <w:r w:rsidRPr="006C65A8">
        <w:rPr>
          <w:rFonts w:ascii="Times New Roman" w:hAnsi="Times New Roman" w:cs="Times New Roman"/>
        </w:rPr>
        <w:t xml:space="preserve">” New York Times, </w:t>
      </w:r>
      <w:r w:rsidRPr="006C65A8">
        <w:rPr>
          <w:rFonts w:ascii="Times New Roman" w:hAnsi="Times New Roman" w:cs="Times New Roman"/>
          <w:i/>
        </w:rPr>
        <w:t>New York Times</w:t>
      </w:r>
      <w:r w:rsidRPr="006C65A8">
        <w:rPr>
          <w:rFonts w:ascii="Times New Roman" w:hAnsi="Times New Roman" w:cs="Times New Roman"/>
        </w:rPr>
        <w:t>, April 28, 2018</w:t>
      </w:r>
      <w:r>
        <w:rPr>
          <w:rFonts w:ascii="Times New Roman" w:hAnsi="Times New Roman" w:cs="Times New Roman"/>
        </w:rPr>
        <w:t>.</w:t>
      </w:r>
    </w:p>
    <w:p w14:paraId="506D96B2" w14:textId="77777777" w:rsidR="00982A4D" w:rsidRDefault="00982A4D" w:rsidP="00982A4D">
      <w:pPr>
        <w:spacing w:line="480" w:lineRule="auto"/>
        <w:ind w:left="720" w:hanging="720"/>
        <w:rPr>
          <w:rFonts w:ascii="Times New Roman" w:hAnsi="Times New Roman" w:cs="Times New Roman"/>
        </w:rPr>
      </w:pPr>
      <w:r w:rsidRPr="008934CF">
        <w:rPr>
          <w:rFonts w:ascii="Times New Roman" w:hAnsi="Times New Roman" w:cs="Times New Roman"/>
        </w:rPr>
        <w:t xml:space="preserve">Freedman, Estelle B. </w:t>
      </w:r>
      <w:r w:rsidRPr="008934CF">
        <w:rPr>
          <w:rFonts w:ascii="Times New Roman" w:hAnsi="Times New Roman" w:cs="Times New Roman"/>
          <w:i/>
        </w:rPr>
        <w:t xml:space="preserve">Redefining Rape: Sexual Violence in the Era of Suffrage and Segregation. </w:t>
      </w:r>
      <w:r w:rsidRPr="008934CF">
        <w:rPr>
          <w:rFonts w:ascii="Times New Roman" w:hAnsi="Times New Roman" w:cs="Times New Roman"/>
        </w:rPr>
        <w:t>Cambridge: Harvard University Press, 2013.</w:t>
      </w:r>
    </w:p>
    <w:p w14:paraId="173B0628" w14:textId="77777777" w:rsidR="00982A4D" w:rsidRDefault="00982A4D" w:rsidP="00982A4D">
      <w:pPr>
        <w:pStyle w:val="FootnoteText"/>
        <w:spacing w:line="480" w:lineRule="auto"/>
        <w:ind w:left="720" w:hanging="720"/>
        <w:rPr>
          <w:rFonts w:ascii="Times New Roman" w:hAnsi="Times New Roman" w:cs="Times New Roman"/>
        </w:rPr>
      </w:pPr>
      <w:r w:rsidRPr="007E593C">
        <w:rPr>
          <w:rFonts w:ascii="Times New Roman" w:hAnsi="Times New Roman" w:cs="Times New Roman"/>
        </w:rPr>
        <w:t>Gates, Eleanor</w:t>
      </w:r>
      <w:r>
        <w:rPr>
          <w:rFonts w:ascii="Times New Roman" w:hAnsi="Times New Roman" w:cs="Times New Roman"/>
        </w:rPr>
        <w:t xml:space="preserve">. </w:t>
      </w:r>
      <w:r w:rsidRPr="007E593C">
        <w:rPr>
          <w:rFonts w:ascii="Times New Roman" w:hAnsi="Times New Roman" w:cs="Times New Roman"/>
        </w:rPr>
        <w:t>“Girl Who Travels Alone,” Cosmopolitan XLII, 1906</w:t>
      </w:r>
    </w:p>
    <w:p w14:paraId="4E67D7B0" w14:textId="518766E3" w:rsidR="00982A4D" w:rsidRDefault="00982A4D" w:rsidP="00431660">
      <w:pPr>
        <w:pStyle w:val="FootnoteText"/>
        <w:spacing w:line="480" w:lineRule="auto"/>
        <w:ind w:left="720" w:hanging="720"/>
        <w:rPr>
          <w:rFonts w:ascii="Times New Roman" w:hAnsi="Times New Roman" w:cs="Times New Roman"/>
        </w:rPr>
      </w:pPr>
      <w:r w:rsidRPr="00ED6D63">
        <w:rPr>
          <w:rFonts w:ascii="Times New Roman" w:hAnsi="Times New Roman" w:cs="Times New Roman"/>
        </w:rPr>
        <w:t>Griffith, D. W., and Thomas Dixon AND Griffith Film Corporation. “The Birth of a Nation.” 1915.</w:t>
      </w:r>
    </w:p>
    <w:p w14:paraId="5282FECF" w14:textId="2BC89A92" w:rsidR="000F4C5B" w:rsidRDefault="000F4C5B" w:rsidP="000F4C5B">
      <w:pPr>
        <w:pStyle w:val="FootnoteText"/>
        <w:spacing w:line="480" w:lineRule="auto"/>
        <w:ind w:left="720" w:hanging="720"/>
        <w:rPr>
          <w:rFonts w:ascii="Times New Roman" w:hAnsi="Times New Roman" w:cs="Times New Roman"/>
        </w:rPr>
      </w:pPr>
      <w:r w:rsidRPr="009207DE">
        <w:rPr>
          <w:rFonts w:ascii="Times New Roman" w:hAnsi="Times New Roman" w:cs="Times New Roman"/>
        </w:rPr>
        <w:t>Hauser</w:t>
      </w:r>
      <w:r>
        <w:rPr>
          <w:rFonts w:ascii="Times New Roman" w:hAnsi="Times New Roman" w:cs="Times New Roman"/>
        </w:rPr>
        <w:t>, Christine</w:t>
      </w:r>
      <w:r w:rsidRPr="009207DE">
        <w:rPr>
          <w:rFonts w:ascii="Times New Roman" w:hAnsi="Times New Roman" w:cs="Times New Roman"/>
        </w:rPr>
        <w:t xml:space="preserve"> and </w:t>
      </w:r>
      <w:r>
        <w:rPr>
          <w:rFonts w:ascii="Times New Roman" w:hAnsi="Times New Roman" w:cs="Times New Roman"/>
        </w:rPr>
        <w:t xml:space="preserve">Astor, Maggie. </w:t>
      </w:r>
      <w:r w:rsidRPr="009207DE">
        <w:rPr>
          <w:rFonts w:ascii="Times New Roman" w:hAnsi="Times New Roman" w:cs="Times New Roman"/>
        </w:rPr>
        <w:t xml:space="preserve">“The Larry Nassar Case: What Happened and How the Fallout Is Spreading.” The New York Times, </w:t>
      </w:r>
      <w:r w:rsidRPr="009207DE">
        <w:rPr>
          <w:rFonts w:ascii="Times New Roman" w:hAnsi="Times New Roman" w:cs="Times New Roman"/>
          <w:i/>
        </w:rPr>
        <w:t>The New York Times</w:t>
      </w:r>
      <w:r w:rsidRPr="009207DE">
        <w:rPr>
          <w:rFonts w:ascii="Times New Roman" w:hAnsi="Times New Roman" w:cs="Times New Roman"/>
        </w:rPr>
        <w:t>, January 25, 2018.</w:t>
      </w:r>
      <w:r>
        <w:rPr>
          <w:rFonts w:ascii="Times New Roman" w:hAnsi="Times New Roman" w:cs="Times New Roman"/>
        </w:rPr>
        <w:t xml:space="preserve"> </w:t>
      </w:r>
      <w:r w:rsidRPr="00F8295E">
        <w:rPr>
          <w:rFonts w:ascii="Times New Roman" w:hAnsi="Times New Roman" w:cs="Times New Roman"/>
        </w:rPr>
        <w:t>https://www.nytimes.com/2018/01/25/sports/larry-nassar-gymnastics-abuse.html?login=email&amp;auth=login-email&amp;register=email&amp;auth=register-email</w:t>
      </w:r>
    </w:p>
    <w:p w14:paraId="3386B36A" w14:textId="2ADAD056" w:rsidR="000F4C5B" w:rsidRPr="000F4C5B" w:rsidRDefault="000F4C5B" w:rsidP="000F4C5B">
      <w:pPr>
        <w:pStyle w:val="FootnoteText"/>
        <w:spacing w:line="480" w:lineRule="auto"/>
        <w:rPr>
          <w:rFonts w:ascii="Times New Roman" w:hAnsi="Times New Roman" w:cs="Times New Roman"/>
        </w:rPr>
      </w:pPr>
      <w:r w:rsidRPr="007377A0">
        <w:rPr>
          <w:rFonts w:ascii="Times New Roman" w:hAnsi="Times New Roman" w:cs="Times New Roman"/>
        </w:rPr>
        <w:t>Hodes,</w:t>
      </w:r>
      <w:r>
        <w:rPr>
          <w:rFonts w:ascii="Times New Roman" w:hAnsi="Times New Roman" w:cs="Times New Roman"/>
        </w:rPr>
        <w:t xml:space="preserve"> </w:t>
      </w:r>
      <w:r w:rsidRPr="007377A0">
        <w:rPr>
          <w:rFonts w:ascii="Times New Roman" w:hAnsi="Times New Roman" w:cs="Times New Roman"/>
        </w:rPr>
        <w:t>Martha</w:t>
      </w:r>
      <w:r>
        <w:rPr>
          <w:rFonts w:ascii="Times New Roman" w:hAnsi="Times New Roman" w:cs="Times New Roman"/>
        </w:rPr>
        <w:t>.</w:t>
      </w:r>
      <w:r w:rsidRPr="007377A0">
        <w:rPr>
          <w:rFonts w:ascii="Times New Roman" w:hAnsi="Times New Roman" w:cs="Times New Roman"/>
        </w:rPr>
        <w:t xml:space="preserve"> </w:t>
      </w:r>
      <w:r>
        <w:rPr>
          <w:rFonts w:ascii="Times New Roman" w:hAnsi="Times New Roman" w:cs="Times New Roman"/>
          <w:i/>
        </w:rPr>
        <w:t>White Women, Black Men</w:t>
      </w:r>
      <w:r>
        <w:rPr>
          <w:rFonts w:ascii="Times New Roman" w:hAnsi="Times New Roman" w:cs="Times New Roman"/>
        </w:rPr>
        <w:t xml:space="preserve"> (Yale University Press, 1997).</w:t>
      </w:r>
    </w:p>
    <w:p w14:paraId="6ACE7D36" w14:textId="6E61A869" w:rsidR="000F4C5B" w:rsidRPr="000254BC" w:rsidRDefault="000F4C5B" w:rsidP="000F4C5B">
      <w:pPr>
        <w:spacing w:line="480" w:lineRule="auto"/>
        <w:rPr>
          <w:rFonts w:ascii="Times New Roman" w:hAnsi="Times New Roman" w:cs="Times New Roman"/>
          <w:color w:val="000000" w:themeColor="text1"/>
        </w:rPr>
      </w:pPr>
      <w:r w:rsidRPr="000254BC">
        <w:rPr>
          <w:rFonts w:ascii="Times New Roman" w:hAnsi="Times New Roman" w:cs="Times New Roman"/>
          <w:color w:val="000000" w:themeColor="text1"/>
        </w:rPr>
        <w:t>Lakin, Matthew. “A Dark Night.” J. East TN History, 2000.</w:t>
      </w:r>
    </w:p>
    <w:p w14:paraId="0EA6676C" w14:textId="731A82D2" w:rsidR="000F4C5B" w:rsidRDefault="000F4C5B" w:rsidP="000F4C5B">
      <w:pPr>
        <w:spacing w:line="480" w:lineRule="auto"/>
        <w:ind w:left="720" w:hanging="720"/>
        <w:rPr>
          <w:rFonts w:ascii="Times New Roman" w:hAnsi="Times New Roman" w:cs="Times New Roman"/>
          <w:color w:val="000000" w:themeColor="text1"/>
        </w:rPr>
      </w:pPr>
      <w:r w:rsidRPr="000254BC">
        <w:rPr>
          <w:rFonts w:ascii="Times New Roman" w:hAnsi="Times New Roman" w:cs="Times New Roman"/>
          <w:color w:val="000000" w:themeColor="text1"/>
        </w:rPr>
        <w:t xml:space="preserve">Levin, Henry and Wells, George. “Where the Boys Are.” </w:t>
      </w:r>
      <w:proofErr w:type="spellStart"/>
      <w:r w:rsidRPr="000254BC">
        <w:rPr>
          <w:rFonts w:ascii="Times New Roman" w:hAnsi="Times New Roman" w:cs="Times New Roman"/>
          <w:color w:val="000000" w:themeColor="text1"/>
        </w:rPr>
        <w:t>Metrocolor</w:t>
      </w:r>
      <w:proofErr w:type="spellEnd"/>
      <w:r w:rsidRPr="000254BC">
        <w:rPr>
          <w:rFonts w:ascii="Times New Roman" w:hAnsi="Times New Roman" w:cs="Times New Roman"/>
          <w:color w:val="000000" w:themeColor="text1"/>
        </w:rPr>
        <w:t>, 1960. Video. https://www.youtube.com/watch?v=8SPWfetuc5s&amp;feature=youtu.be</w:t>
      </w:r>
    </w:p>
    <w:p w14:paraId="232E4263" w14:textId="77777777" w:rsidR="000F4C5B" w:rsidRPr="000254BC" w:rsidRDefault="000F4C5B" w:rsidP="000F4C5B">
      <w:pPr>
        <w:spacing w:line="480" w:lineRule="auto"/>
        <w:ind w:left="720" w:hanging="720"/>
        <w:rPr>
          <w:rFonts w:ascii="Times New Roman" w:hAnsi="Times New Roman" w:cs="Times New Roman"/>
          <w:color w:val="000000" w:themeColor="text1"/>
        </w:rPr>
      </w:pPr>
      <w:r w:rsidRPr="000254BC">
        <w:rPr>
          <w:rFonts w:ascii="Times New Roman" w:hAnsi="Times New Roman" w:cs="Times New Roman"/>
          <w:color w:val="000000" w:themeColor="text1"/>
        </w:rPr>
        <w:t>McGuire, Danielle L. </w:t>
      </w:r>
      <w:r w:rsidRPr="000254BC">
        <w:rPr>
          <w:rFonts w:ascii="Times New Roman" w:hAnsi="Times New Roman" w:cs="Times New Roman"/>
          <w:i/>
          <w:iCs/>
          <w:color w:val="000000" w:themeColor="text1"/>
        </w:rPr>
        <w:t xml:space="preserve">At the Dark End of the Street: Black Women, Rape, and Resistance--A New History of the Civil Rights Movement </w:t>
      </w:r>
      <w:proofErr w:type="gramStart"/>
      <w:r w:rsidRPr="000254BC">
        <w:rPr>
          <w:rFonts w:ascii="Times New Roman" w:hAnsi="Times New Roman" w:cs="Times New Roman"/>
          <w:i/>
          <w:iCs/>
          <w:color w:val="000000" w:themeColor="text1"/>
        </w:rPr>
        <w:t>From</w:t>
      </w:r>
      <w:proofErr w:type="gramEnd"/>
      <w:r w:rsidRPr="000254BC">
        <w:rPr>
          <w:rFonts w:ascii="Times New Roman" w:hAnsi="Times New Roman" w:cs="Times New Roman"/>
          <w:i/>
          <w:iCs/>
          <w:color w:val="000000" w:themeColor="text1"/>
        </w:rPr>
        <w:t xml:space="preserve"> Rosa Parks to the Rise of Black Power</w:t>
      </w:r>
      <w:r w:rsidRPr="000254BC">
        <w:rPr>
          <w:rFonts w:ascii="Times New Roman" w:hAnsi="Times New Roman" w:cs="Times New Roman"/>
          <w:color w:val="000000" w:themeColor="text1"/>
        </w:rPr>
        <w:t>. Vol. 1st ed. New York: Vintage, 2010. http://search.ebscohost.com.proxy.lib.utk.edu:90/login.aspx?direct=true&amp;db=nlebk&amp;AN=721813&amp;scope=site.</w:t>
      </w:r>
    </w:p>
    <w:p w14:paraId="255FF2FF" w14:textId="77777777" w:rsidR="000F4C5B" w:rsidRDefault="000F4C5B" w:rsidP="000F4C5B">
      <w:pPr>
        <w:pStyle w:val="FootnoteText"/>
        <w:spacing w:line="480" w:lineRule="auto"/>
        <w:ind w:left="720" w:hanging="720"/>
        <w:rPr>
          <w:rFonts w:ascii="Times New Roman" w:hAnsi="Times New Roman" w:cs="Times New Roman"/>
        </w:rPr>
      </w:pPr>
      <w:proofErr w:type="spellStart"/>
      <w:r w:rsidRPr="00977C9D">
        <w:rPr>
          <w:rFonts w:ascii="Times New Roman" w:hAnsi="Times New Roman" w:cs="Times New Roman"/>
        </w:rPr>
        <w:t>Mendelshon</w:t>
      </w:r>
      <w:proofErr w:type="spellEnd"/>
      <w:r w:rsidRPr="00977C9D">
        <w:rPr>
          <w:rFonts w:ascii="Times New Roman" w:hAnsi="Times New Roman" w:cs="Times New Roman"/>
        </w:rPr>
        <w:t>, Daniel</w:t>
      </w:r>
      <w:r>
        <w:rPr>
          <w:rFonts w:ascii="Times New Roman" w:hAnsi="Times New Roman" w:cs="Times New Roman"/>
        </w:rPr>
        <w:t xml:space="preserve">. </w:t>
      </w:r>
      <w:r w:rsidRPr="00977C9D">
        <w:rPr>
          <w:rFonts w:ascii="Times New Roman" w:hAnsi="Times New Roman" w:cs="Times New Roman"/>
        </w:rPr>
        <w:t xml:space="preserve">“Secret Dread at Penn State.” The New York Times, </w:t>
      </w:r>
      <w:r w:rsidRPr="00977C9D">
        <w:rPr>
          <w:rFonts w:ascii="Times New Roman" w:hAnsi="Times New Roman" w:cs="Times New Roman"/>
          <w:i/>
        </w:rPr>
        <w:t>The New York Times</w:t>
      </w:r>
      <w:r w:rsidRPr="00977C9D">
        <w:rPr>
          <w:rFonts w:ascii="Times New Roman" w:hAnsi="Times New Roman" w:cs="Times New Roman"/>
        </w:rPr>
        <w:t>, November 19, 2011.</w:t>
      </w:r>
      <w:r>
        <w:rPr>
          <w:rFonts w:ascii="Times New Roman" w:hAnsi="Times New Roman" w:cs="Times New Roman"/>
        </w:rPr>
        <w:t xml:space="preserve"> </w:t>
      </w:r>
      <w:r w:rsidRPr="009C6885">
        <w:rPr>
          <w:rFonts w:ascii="Times New Roman" w:hAnsi="Times New Roman" w:cs="Times New Roman"/>
        </w:rPr>
        <w:t>https://www.nytimes.com/2011/11/20/opinion/sunday/secret-dread-at-penn-state.html?smid=pl-share</w:t>
      </w:r>
    </w:p>
    <w:p w14:paraId="49DEAE3A" w14:textId="08AC387E" w:rsidR="000F4C5B" w:rsidRPr="000F4C5B" w:rsidRDefault="000F4C5B" w:rsidP="000F4C5B">
      <w:pPr>
        <w:pStyle w:val="FootnoteText"/>
        <w:spacing w:line="480" w:lineRule="auto"/>
        <w:ind w:left="720" w:hanging="720"/>
        <w:rPr>
          <w:rFonts w:ascii="Times New Roman" w:hAnsi="Times New Roman" w:cs="Times New Roman"/>
        </w:rPr>
      </w:pPr>
      <w:proofErr w:type="spellStart"/>
      <w:r w:rsidRPr="00D73817">
        <w:rPr>
          <w:rFonts w:ascii="Times New Roman" w:hAnsi="Times New Roman" w:cs="Times New Roman"/>
        </w:rPr>
        <w:lastRenderedPageBreak/>
        <w:t>Nordheimer</w:t>
      </w:r>
      <w:proofErr w:type="spellEnd"/>
      <w:r w:rsidRPr="00D73817">
        <w:rPr>
          <w:rFonts w:ascii="Times New Roman" w:hAnsi="Times New Roman" w:cs="Times New Roman"/>
        </w:rPr>
        <w:t>,</w:t>
      </w:r>
      <w:r>
        <w:rPr>
          <w:rFonts w:ascii="Times New Roman" w:hAnsi="Times New Roman" w:cs="Times New Roman"/>
        </w:rPr>
        <w:t xml:space="preserve"> </w:t>
      </w:r>
      <w:r w:rsidRPr="00D73817">
        <w:rPr>
          <w:rFonts w:ascii="Times New Roman" w:hAnsi="Times New Roman" w:cs="Times New Roman"/>
        </w:rPr>
        <w:t>Jon</w:t>
      </w:r>
      <w:r>
        <w:rPr>
          <w:rFonts w:ascii="Times New Roman" w:hAnsi="Times New Roman" w:cs="Times New Roman"/>
        </w:rPr>
        <w:t>.</w:t>
      </w:r>
      <w:r w:rsidRPr="00D73817">
        <w:rPr>
          <w:rFonts w:ascii="Times New Roman" w:hAnsi="Times New Roman" w:cs="Times New Roman"/>
        </w:rPr>
        <w:t xml:space="preserve"> “All-American Boy on Trial.” The New York Times, </w:t>
      </w:r>
      <w:r w:rsidRPr="00D73817">
        <w:rPr>
          <w:rFonts w:ascii="Times New Roman" w:hAnsi="Times New Roman" w:cs="Times New Roman"/>
          <w:i/>
        </w:rPr>
        <w:t>The New York Times</w:t>
      </w:r>
      <w:r w:rsidRPr="00D73817">
        <w:rPr>
          <w:rFonts w:ascii="Times New Roman" w:hAnsi="Times New Roman" w:cs="Times New Roman"/>
        </w:rPr>
        <w:t>, December 10, 1978.</w:t>
      </w:r>
      <w:r>
        <w:rPr>
          <w:rFonts w:ascii="Times New Roman" w:hAnsi="Times New Roman" w:cs="Times New Roman"/>
        </w:rPr>
        <w:t xml:space="preserve"> </w:t>
      </w:r>
      <w:r w:rsidRPr="009C6885">
        <w:rPr>
          <w:rFonts w:ascii="Times New Roman" w:hAnsi="Times New Roman" w:cs="Times New Roman"/>
        </w:rPr>
        <w:t>https://www.nytimes.com/1978/12/10/archives/allamerican-boy-on-trial-ted-bundy.html?smid=pl-share</w:t>
      </w:r>
    </w:p>
    <w:p w14:paraId="00CA6CC2" w14:textId="77777777" w:rsidR="00982A4D" w:rsidRPr="0055099C" w:rsidRDefault="00982A4D" w:rsidP="00982A4D">
      <w:pPr>
        <w:spacing w:line="480" w:lineRule="auto"/>
        <w:ind w:left="720" w:hanging="720"/>
        <w:rPr>
          <w:rFonts w:ascii="Times New Roman" w:hAnsi="Times New Roman" w:cs="Times New Roman"/>
        </w:rPr>
      </w:pPr>
      <w:proofErr w:type="spellStart"/>
      <w:r w:rsidRPr="0022577B">
        <w:rPr>
          <w:rFonts w:ascii="Times New Roman" w:hAnsi="Times New Roman" w:cs="Times New Roman"/>
        </w:rPr>
        <w:t>Preer</w:t>
      </w:r>
      <w:proofErr w:type="spellEnd"/>
      <w:r w:rsidRPr="0022577B">
        <w:rPr>
          <w:rFonts w:ascii="Times New Roman" w:hAnsi="Times New Roman" w:cs="Times New Roman"/>
        </w:rPr>
        <w:t>, Evelyn, Oscar Micheaux, and Micheaux Film Corporation. </w:t>
      </w:r>
      <w:r>
        <w:rPr>
          <w:rFonts w:ascii="Times New Roman" w:hAnsi="Times New Roman" w:cs="Times New Roman"/>
        </w:rPr>
        <w:t>“</w:t>
      </w:r>
      <w:r w:rsidRPr="0022577B">
        <w:rPr>
          <w:rFonts w:ascii="Times New Roman" w:hAnsi="Times New Roman" w:cs="Times New Roman"/>
          <w:iCs/>
        </w:rPr>
        <w:t>Within Our Gates</w:t>
      </w:r>
      <w:r w:rsidRPr="0022577B">
        <w:rPr>
          <w:rFonts w:ascii="Times New Roman" w:hAnsi="Times New Roman" w:cs="Times New Roman"/>
        </w:rPr>
        <w:t>.</w:t>
      </w:r>
      <w:r>
        <w:rPr>
          <w:rFonts w:ascii="Times New Roman" w:hAnsi="Times New Roman" w:cs="Times New Roman"/>
        </w:rPr>
        <w:t>”</w:t>
      </w:r>
      <w:r w:rsidRPr="0022577B">
        <w:rPr>
          <w:rFonts w:ascii="Times New Roman" w:hAnsi="Times New Roman" w:cs="Times New Roman"/>
        </w:rPr>
        <w:t xml:space="preserve"> 1919. Video. </w:t>
      </w:r>
      <w:r w:rsidRPr="0055099C">
        <w:rPr>
          <w:rFonts w:ascii="Times New Roman" w:hAnsi="Times New Roman" w:cs="Times New Roman"/>
        </w:rPr>
        <w:t>https://www.loc.gov/item/mbrs00046435/.</w:t>
      </w:r>
    </w:p>
    <w:p w14:paraId="1269CB84" w14:textId="51FFEFDF" w:rsidR="00982A4D" w:rsidRPr="000F4C5B" w:rsidRDefault="00982A4D" w:rsidP="000F4C5B">
      <w:pPr>
        <w:spacing w:line="480" w:lineRule="auto"/>
        <w:ind w:left="720" w:hanging="720"/>
        <w:rPr>
          <w:rFonts w:ascii="Times New Roman" w:eastAsia="Times New Roman" w:hAnsi="Times New Roman" w:cs="Times New Roman"/>
          <w:color w:val="000000" w:themeColor="text1"/>
        </w:rPr>
      </w:pPr>
      <w:r w:rsidRPr="000254BC">
        <w:rPr>
          <w:rFonts w:ascii="Times New Roman" w:eastAsia="Times New Roman" w:hAnsi="Times New Roman" w:cs="Times New Roman"/>
          <w:color w:val="000000" w:themeColor="text1"/>
          <w:shd w:val="clear" w:color="auto" w:fill="FFFFFF"/>
        </w:rPr>
        <w:t>Roberts, Mary Louise. </w:t>
      </w:r>
      <w:r w:rsidRPr="000254BC">
        <w:rPr>
          <w:rFonts w:ascii="Times New Roman" w:eastAsia="Times New Roman" w:hAnsi="Times New Roman" w:cs="Times New Roman"/>
          <w:i/>
          <w:iCs/>
          <w:color w:val="000000" w:themeColor="text1"/>
        </w:rPr>
        <w:t>What Soldiers Do: Sex and the American GI in World War II France</w:t>
      </w:r>
      <w:r w:rsidRPr="000254BC">
        <w:rPr>
          <w:rFonts w:ascii="Times New Roman" w:eastAsia="Times New Roman" w:hAnsi="Times New Roman" w:cs="Times New Roman"/>
          <w:color w:val="000000" w:themeColor="text1"/>
          <w:shd w:val="clear" w:color="auto" w:fill="FFFFFF"/>
        </w:rPr>
        <w:t>. 2013.</w:t>
      </w:r>
    </w:p>
    <w:p w14:paraId="15FB5D6D" w14:textId="77777777" w:rsidR="00982A4D" w:rsidRDefault="00982A4D" w:rsidP="00982A4D">
      <w:pPr>
        <w:pStyle w:val="FootnoteText"/>
        <w:spacing w:line="480" w:lineRule="auto"/>
        <w:ind w:left="720" w:hanging="720"/>
        <w:rPr>
          <w:rFonts w:ascii="Times New Roman" w:hAnsi="Times New Roman" w:cs="Times New Roman"/>
        </w:rPr>
      </w:pPr>
      <w:r w:rsidRPr="00D73817">
        <w:rPr>
          <w:rFonts w:ascii="Times New Roman" w:hAnsi="Times New Roman" w:cs="Times New Roman"/>
        </w:rPr>
        <w:t>Roiphe, Katie</w:t>
      </w:r>
      <w:r>
        <w:rPr>
          <w:rFonts w:ascii="Times New Roman" w:hAnsi="Times New Roman" w:cs="Times New Roman"/>
        </w:rPr>
        <w:t xml:space="preserve">. </w:t>
      </w:r>
      <w:r w:rsidRPr="00D73817">
        <w:rPr>
          <w:rFonts w:ascii="Times New Roman" w:hAnsi="Times New Roman" w:cs="Times New Roman"/>
        </w:rPr>
        <w:t xml:space="preserve">“Date Rape’s Other Victim.” The New York Times, </w:t>
      </w:r>
      <w:r w:rsidRPr="00D73817">
        <w:rPr>
          <w:rFonts w:ascii="Times New Roman" w:hAnsi="Times New Roman" w:cs="Times New Roman"/>
          <w:i/>
        </w:rPr>
        <w:t>The New York Times</w:t>
      </w:r>
      <w:r w:rsidRPr="00D73817">
        <w:rPr>
          <w:rFonts w:ascii="Times New Roman" w:hAnsi="Times New Roman" w:cs="Times New Roman"/>
        </w:rPr>
        <w:t>, June 13, 1993.</w:t>
      </w:r>
      <w:r>
        <w:rPr>
          <w:rFonts w:ascii="Times New Roman" w:hAnsi="Times New Roman" w:cs="Times New Roman"/>
        </w:rPr>
        <w:t xml:space="preserve"> </w:t>
      </w:r>
      <w:r w:rsidRPr="009C6885">
        <w:rPr>
          <w:rFonts w:ascii="Times New Roman" w:hAnsi="Times New Roman" w:cs="Times New Roman"/>
        </w:rPr>
        <w:t>https://www.nytimes.com/1993/06/13/magazine/date-rape-s-other-victim.html?smid=pl-share</w:t>
      </w:r>
    </w:p>
    <w:p w14:paraId="673BE5ED" w14:textId="77777777" w:rsidR="00982A4D" w:rsidRPr="00225066" w:rsidRDefault="00982A4D" w:rsidP="00982A4D">
      <w:pPr>
        <w:pStyle w:val="FootnoteText"/>
        <w:spacing w:line="480" w:lineRule="auto"/>
        <w:ind w:left="720" w:hanging="720"/>
        <w:rPr>
          <w:rFonts w:ascii="Times New Roman" w:hAnsi="Times New Roman" w:cs="Times New Roman"/>
        </w:rPr>
      </w:pPr>
      <w:r w:rsidRPr="00225066">
        <w:rPr>
          <w:rFonts w:ascii="Times New Roman" w:hAnsi="Times New Roman" w:cs="Times New Roman"/>
        </w:rPr>
        <w:t>Sheehy,</w:t>
      </w:r>
      <w:r>
        <w:rPr>
          <w:rFonts w:ascii="Times New Roman" w:hAnsi="Times New Roman" w:cs="Times New Roman"/>
        </w:rPr>
        <w:t xml:space="preserve"> </w:t>
      </w:r>
      <w:r w:rsidRPr="00225066">
        <w:rPr>
          <w:rFonts w:ascii="Times New Roman" w:hAnsi="Times New Roman" w:cs="Times New Roman"/>
        </w:rPr>
        <w:t>Gail</w:t>
      </w:r>
      <w:r>
        <w:rPr>
          <w:rFonts w:ascii="Times New Roman" w:hAnsi="Times New Roman" w:cs="Times New Roman"/>
        </w:rPr>
        <w:t>.</w:t>
      </w:r>
      <w:r w:rsidRPr="00225066">
        <w:rPr>
          <w:rFonts w:ascii="Times New Roman" w:hAnsi="Times New Roman" w:cs="Times New Roman"/>
        </w:rPr>
        <w:t xml:space="preserve"> “Nice Girls Don’</w:t>
      </w:r>
      <w:r>
        <w:rPr>
          <w:rFonts w:ascii="Times New Roman" w:hAnsi="Times New Roman" w:cs="Times New Roman"/>
        </w:rPr>
        <w:t xml:space="preserve">t Get </w:t>
      </w:r>
      <w:proofErr w:type="gramStart"/>
      <w:r>
        <w:rPr>
          <w:rFonts w:ascii="Times New Roman" w:hAnsi="Times New Roman" w:cs="Times New Roman"/>
        </w:rPr>
        <w:t>Into</w:t>
      </w:r>
      <w:proofErr w:type="gramEnd"/>
      <w:r>
        <w:rPr>
          <w:rFonts w:ascii="Times New Roman" w:hAnsi="Times New Roman" w:cs="Times New Roman"/>
        </w:rPr>
        <w:t xml:space="preserve"> </w:t>
      </w:r>
      <w:r w:rsidRPr="00225066">
        <w:rPr>
          <w:rFonts w:ascii="Times New Roman" w:hAnsi="Times New Roman" w:cs="Times New Roman"/>
        </w:rPr>
        <w:t xml:space="preserve">Trouble.” New York Magazine, </w:t>
      </w:r>
      <w:r w:rsidRPr="00225066">
        <w:rPr>
          <w:rFonts w:ascii="Times New Roman" w:hAnsi="Times New Roman" w:cs="Times New Roman"/>
          <w:i/>
        </w:rPr>
        <w:t>New York Magazine</w:t>
      </w:r>
      <w:r w:rsidRPr="00225066">
        <w:rPr>
          <w:rFonts w:ascii="Times New Roman" w:hAnsi="Times New Roman" w:cs="Times New Roman"/>
        </w:rPr>
        <w:t xml:space="preserve">, </w:t>
      </w:r>
      <w:r>
        <w:rPr>
          <w:rFonts w:ascii="Times New Roman" w:hAnsi="Times New Roman" w:cs="Times New Roman"/>
        </w:rPr>
        <w:t xml:space="preserve">February 15, 1971. </w:t>
      </w:r>
      <w:r w:rsidRPr="009C6885">
        <w:rPr>
          <w:rFonts w:ascii="Times New Roman" w:hAnsi="Times New Roman" w:cs="Times New Roman"/>
        </w:rPr>
        <w:t>https://books.google.com/books?id=B-MCAAAAMBAJ&amp;pg=PA26&amp;dq=gail+sheehy+rape+speakout&amp;hl=en&amp;sa=X&amp;ved=2ahUKEwj84ebX4qvmAhUuTt8KHbaEBVcQ6AEwAHoECAAQAg#v=onepage&amp;q=gail%20sheehy%20rape%20speakout&amp;f=false</w:t>
      </w:r>
      <w:r>
        <w:rPr>
          <w:rFonts w:ascii="Times New Roman" w:hAnsi="Times New Roman" w:cs="Times New Roman"/>
        </w:rPr>
        <w:t xml:space="preserve"> </w:t>
      </w:r>
    </w:p>
    <w:p w14:paraId="2348992B" w14:textId="77777777" w:rsidR="000F4C5B" w:rsidRDefault="000F4C5B" w:rsidP="000F4C5B">
      <w:pPr>
        <w:pStyle w:val="FootnoteText"/>
        <w:spacing w:line="480" w:lineRule="auto"/>
        <w:ind w:left="720" w:hanging="720"/>
        <w:rPr>
          <w:rFonts w:ascii="Times New Roman" w:hAnsi="Times New Roman" w:cs="Times New Roman"/>
        </w:rPr>
      </w:pPr>
      <w:r w:rsidRPr="008047BD">
        <w:rPr>
          <w:rFonts w:ascii="Times New Roman" w:hAnsi="Times New Roman" w:cs="Times New Roman"/>
        </w:rPr>
        <w:t>Sommerville</w:t>
      </w:r>
      <w:r>
        <w:rPr>
          <w:rFonts w:ascii="Times New Roman" w:hAnsi="Times New Roman" w:cs="Times New Roman"/>
        </w:rPr>
        <w:t xml:space="preserve">, </w:t>
      </w:r>
      <w:r w:rsidRPr="008047BD">
        <w:rPr>
          <w:rFonts w:ascii="Times New Roman" w:hAnsi="Times New Roman" w:cs="Times New Roman"/>
        </w:rPr>
        <w:t xml:space="preserve">Diane Miller. </w:t>
      </w:r>
      <w:r w:rsidRPr="008047BD">
        <w:rPr>
          <w:rFonts w:ascii="Times New Roman" w:hAnsi="Times New Roman" w:cs="Times New Roman"/>
          <w:i/>
        </w:rPr>
        <w:t xml:space="preserve">Rape and Race in the </w:t>
      </w:r>
      <w:proofErr w:type="gramStart"/>
      <w:r w:rsidRPr="008047BD">
        <w:rPr>
          <w:rFonts w:ascii="Times New Roman" w:hAnsi="Times New Roman" w:cs="Times New Roman"/>
          <w:i/>
        </w:rPr>
        <w:t>Nineteenth-Century South</w:t>
      </w:r>
      <w:proofErr w:type="gramEnd"/>
      <w:r w:rsidRPr="008047BD">
        <w:rPr>
          <w:rFonts w:ascii="Times New Roman" w:hAnsi="Times New Roman" w:cs="Times New Roman"/>
        </w:rPr>
        <w:t xml:space="preserve">. </w:t>
      </w:r>
      <w:r>
        <w:rPr>
          <w:rFonts w:ascii="Times New Roman" w:hAnsi="Times New Roman" w:cs="Times New Roman"/>
        </w:rPr>
        <w:t>(</w:t>
      </w:r>
      <w:r w:rsidRPr="008047BD">
        <w:rPr>
          <w:rFonts w:ascii="Times New Roman" w:hAnsi="Times New Roman" w:cs="Times New Roman"/>
        </w:rPr>
        <w:t>Chapel Hill: The University of North Carolina Press</w:t>
      </w:r>
      <w:r>
        <w:rPr>
          <w:rFonts w:ascii="Times New Roman" w:hAnsi="Times New Roman" w:cs="Times New Roman"/>
        </w:rPr>
        <w:t>, 2004)</w:t>
      </w:r>
      <w:r w:rsidRPr="008047BD">
        <w:rPr>
          <w:rFonts w:ascii="Times New Roman" w:hAnsi="Times New Roman" w:cs="Times New Roman"/>
        </w:rPr>
        <w:t xml:space="preserve">. Accessed September 16, 2019. ProQuest </w:t>
      </w:r>
      <w:proofErr w:type="spellStart"/>
      <w:r w:rsidRPr="008047BD">
        <w:rPr>
          <w:rFonts w:ascii="Times New Roman" w:hAnsi="Times New Roman" w:cs="Times New Roman"/>
        </w:rPr>
        <w:t>Ebook</w:t>
      </w:r>
      <w:proofErr w:type="spellEnd"/>
      <w:r w:rsidRPr="008047BD">
        <w:rPr>
          <w:rFonts w:ascii="Times New Roman" w:hAnsi="Times New Roman" w:cs="Times New Roman"/>
        </w:rPr>
        <w:t xml:space="preserve"> Central.</w:t>
      </w:r>
      <w:r>
        <w:rPr>
          <w:rFonts w:ascii="Times New Roman" w:hAnsi="Times New Roman" w:cs="Times New Roman"/>
        </w:rPr>
        <w:t xml:space="preserve"> 70.</w:t>
      </w:r>
    </w:p>
    <w:p w14:paraId="7FF0B24D" w14:textId="1FA359B2" w:rsidR="00982A4D" w:rsidRDefault="000F4C5B" w:rsidP="00982A4D">
      <w:pPr>
        <w:spacing w:line="480" w:lineRule="auto"/>
        <w:rPr>
          <w:rFonts w:ascii="Times New Roman" w:hAnsi="Times New Roman" w:cs="Times New Roman"/>
        </w:rPr>
      </w:pPr>
      <w:r w:rsidRPr="00BF5DEE">
        <w:rPr>
          <w:rFonts w:ascii="Times New Roman" w:hAnsi="Times New Roman" w:cs="Times New Roman"/>
          <w:color w:val="000000" w:themeColor="text1"/>
        </w:rPr>
        <w:t>Wells,</w:t>
      </w:r>
      <w:r>
        <w:rPr>
          <w:rFonts w:ascii="Times New Roman" w:hAnsi="Times New Roman" w:cs="Times New Roman"/>
          <w:color w:val="000000" w:themeColor="text1"/>
        </w:rPr>
        <w:t xml:space="preserve"> </w:t>
      </w:r>
      <w:r w:rsidRPr="00BF5DEE">
        <w:rPr>
          <w:rFonts w:ascii="Times New Roman" w:hAnsi="Times New Roman" w:cs="Times New Roman"/>
          <w:color w:val="000000" w:themeColor="text1"/>
        </w:rPr>
        <w:t xml:space="preserve">Ida B. </w:t>
      </w:r>
      <w:r w:rsidRPr="00BF5DEE">
        <w:rPr>
          <w:rFonts w:ascii="Times New Roman" w:hAnsi="Times New Roman" w:cs="Times New Roman"/>
          <w:i/>
          <w:color w:val="000000" w:themeColor="text1"/>
        </w:rPr>
        <w:t>Southern Horrors: Lynch Law in All Its Phases</w:t>
      </w:r>
      <w:r w:rsidRPr="00BF5DEE">
        <w:rPr>
          <w:rFonts w:ascii="Times New Roman" w:hAnsi="Times New Roman" w:cs="Times New Roman"/>
          <w:color w:val="000000" w:themeColor="text1"/>
        </w:rPr>
        <w:t xml:space="preserve"> </w:t>
      </w:r>
      <w:r w:rsidRPr="00BF5DEE">
        <w:rPr>
          <w:rFonts w:ascii="Times New Roman" w:hAnsi="Times New Roman" w:cs="Times New Roman"/>
          <w:i/>
          <w:color w:val="000000" w:themeColor="text1"/>
        </w:rPr>
        <w:t>(1892) </w:t>
      </w:r>
      <w:r w:rsidRPr="00BF5DEE">
        <w:rPr>
          <w:rFonts w:ascii="Times New Roman" w:hAnsi="Times New Roman" w:cs="Times New Roman"/>
          <w:color w:val="000000" w:themeColor="text1"/>
        </w:rPr>
        <w:t>(</w:t>
      </w:r>
      <w:r w:rsidRPr="000914D4">
        <w:rPr>
          <w:rFonts w:ascii="Times New Roman" w:eastAsia="Times New Roman" w:hAnsi="Times New Roman" w:cs="Times New Roman"/>
          <w:color w:val="000000" w:themeColor="text1"/>
        </w:rPr>
        <w:t>Digital History</w:t>
      </w:r>
      <w:r w:rsidRPr="00BF5DEE">
        <w:rPr>
          <w:rFonts w:ascii="Times New Roman" w:eastAsia="Times New Roman" w:hAnsi="Times New Roman" w:cs="Times New Roman"/>
          <w:color w:val="000000" w:themeColor="text1"/>
        </w:rPr>
        <w:t>, 2019).</w:t>
      </w:r>
    </w:p>
    <w:p w14:paraId="59747624" w14:textId="77777777" w:rsidR="00982A4D" w:rsidRDefault="00982A4D" w:rsidP="00982A4D">
      <w:pPr>
        <w:spacing w:line="480" w:lineRule="auto"/>
        <w:rPr>
          <w:rFonts w:ascii="Times New Roman" w:hAnsi="Times New Roman" w:cs="Times New Roman"/>
        </w:rPr>
      </w:pPr>
    </w:p>
    <w:p w14:paraId="70BAFE94" w14:textId="77777777" w:rsidR="00982A4D" w:rsidRPr="00A57C2B" w:rsidRDefault="00982A4D" w:rsidP="00982A4D">
      <w:pPr>
        <w:spacing w:line="480" w:lineRule="auto"/>
        <w:ind w:left="720" w:hanging="720"/>
        <w:rPr>
          <w:rFonts w:ascii="Times New Roman" w:hAnsi="Times New Roman" w:cs="Times New Roman"/>
        </w:rPr>
      </w:pPr>
    </w:p>
    <w:p w14:paraId="6E94DFDB" w14:textId="77777777" w:rsidR="00301D2C" w:rsidRPr="00651B0C" w:rsidRDefault="00301D2C" w:rsidP="00301D2C">
      <w:pPr>
        <w:pStyle w:val="FootnoteText"/>
        <w:rPr>
          <w:rFonts w:ascii="Times New Roman" w:hAnsi="Times New Roman" w:cs="Times New Roman"/>
        </w:rPr>
      </w:pPr>
    </w:p>
    <w:p w14:paraId="605CD941" w14:textId="77777777" w:rsidR="00301D2C" w:rsidRDefault="00301D2C" w:rsidP="00301D2C">
      <w:pPr>
        <w:pStyle w:val="FootnoteText"/>
        <w:spacing w:line="480" w:lineRule="auto"/>
        <w:rPr>
          <w:rFonts w:ascii="Times New Roman" w:hAnsi="Times New Roman" w:cs="Times New Roman"/>
        </w:rPr>
      </w:pPr>
    </w:p>
    <w:p w14:paraId="16E22BBA" w14:textId="77777777" w:rsidR="00ED4184" w:rsidRPr="008C558C" w:rsidRDefault="00ED4184" w:rsidP="004C3EB7">
      <w:pPr>
        <w:spacing w:line="480" w:lineRule="auto"/>
        <w:rPr>
          <w:rFonts w:ascii="Times New Roman" w:hAnsi="Times New Roman" w:cs="Times New Roman"/>
        </w:rPr>
      </w:pPr>
    </w:p>
    <w:sectPr w:rsidR="00ED4184" w:rsidRPr="008C558C" w:rsidSect="00D524A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E1D5B" w14:textId="77777777" w:rsidR="009D3ACB" w:rsidRDefault="009D3ACB" w:rsidP="00AD6787">
      <w:r>
        <w:separator/>
      </w:r>
    </w:p>
  </w:endnote>
  <w:endnote w:type="continuationSeparator" w:id="0">
    <w:p w14:paraId="40B1BCE3" w14:textId="77777777" w:rsidR="009D3ACB" w:rsidRDefault="009D3ACB" w:rsidP="00AD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54620096"/>
      <w:docPartObj>
        <w:docPartGallery w:val="Page Numbers (Bottom of Page)"/>
        <w:docPartUnique/>
      </w:docPartObj>
    </w:sdtPr>
    <w:sdtContent>
      <w:p w14:paraId="7F779323" w14:textId="2D9C4F12" w:rsidR="005363E8" w:rsidRDefault="005363E8" w:rsidP="00F059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18EE37" w14:textId="77777777" w:rsidR="005363E8" w:rsidRDefault="00536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202777256"/>
      <w:docPartObj>
        <w:docPartGallery w:val="Page Numbers (Bottom of Page)"/>
        <w:docPartUnique/>
      </w:docPartObj>
    </w:sdtPr>
    <w:sdtContent>
      <w:p w14:paraId="5841D627" w14:textId="7DEE3B56" w:rsidR="005363E8" w:rsidRPr="005363E8" w:rsidRDefault="005363E8" w:rsidP="00F0592C">
        <w:pPr>
          <w:pStyle w:val="Footer"/>
          <w:framePr w:wrap="none" w:vAnchor="text" w:hAnchor="margin" w:xAlign="center" w:y="1"/>
          <w:rPr>
            <w:rStyle w:val="PageNumber"/>
            <w:rFonts w:ascii="Times New Roman" w:hAnsi="Times New Roman" w:cs="Times New Roman"/>
          </w:rPr>
        </w:pPr>
        <w:r w:rsidRPr="005363E8">
          <w:rPr>
            <w:rStyle w:val="PageNumber"/>
            <w:rFonts w:ascii="Times New Roman" w:hAnsi="Times New Roman" w:cs="Times New Roman"/>
          </w:rPr>
          <w:fldChar w:fldCharType="begin"/>
        </w:r>
        <w:r w:rsidRPr="005363E8">
          <w:rPr>
            <w:rStyle w:val="PageNumber"/>
            <w:rFonts w:ascii="Times New Roman" w:hAnsi="Times New Roman" w:cs="Times New Roman"/>
          </w:rPr>
          <w:instrText xml:space="preserve"> PAGE </w:instrText>
        </w:r>
        <w:r w:rsidRPr="005363E8">
          <w:rPr>
            <w:rStyle w:val="PageNumber"/>
            <w:rFonts w:ascii="Times New Roman" w:hAnsi="Times New Roman" w:cs="Times New Roman"/>
          </w:rPr>
          <w:fldChar w:fldCharType="separate"/>
        </w:r>
        <w:r w:rsidRPr="005363E8">
          <w:rPr>
            <w:rStyle w:val="PageNumber"/>
            <w:rFonts w:ascii="Times New Roman" w:hAnsi="Times New Roman" w:cs="Times New Roman"/>
            <w:noProof/>
          </w:rPr>
          <w:t>1</w:t>
        </w:r>
        <w:r w:rsidRPr="005363E8">
          <w:rPr>
            <w:rStyle w:val="PageNumber"/>
            <w:rFonts w:ascii="Times New Roman" w:hAnsi="Times New Roman" w:cs="Times New Roman"/>
          </w:rPr>
          <w:fldChar w:fldCharType="end"/>
        </w:r>
      </w:p>
    </w:sdtContent>
  </w:sdt>
  <w:p w14:paraId="7136A416" w14:textId="77777777" w:rsidR="005363E8" w:rsidRDefault="00536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0A92D" w14:textId="77777777" w:rsidR="009D3ACB" w:rsidRDefault="009D3ACB" w:rsidP="00AD6787">
      <w:r>
        <w:separator/>
      </w:r>
    </w:p>
  </w:footnote>
  <w:footnote w:type="continuationSeparator" w:id="0">
    <w:p w14:paraId="232C2206" w14:textId="77777777" w:rsidR="009D3ACB" w:rsidRDefault="009D3ACB" w:rsidP="00AD6787">
      <w:r>
        <w:continuationSeparator/>
      </w:r>
    </w:p>
  </w:footnote>
  <w:footnote w:id="1">
    <w:p w14:paraId="3F5BF654" w14:textId="77777777" w:rsidR="00AD6787" w:rsidRPr="00725A96" w:rsidRDefault="00AD6787" w:rsidP="00AD6787">
      <w:pPr>
        <w:pStyle w:val="FootnoteText"/>
        <w:rPr>
          <w:rFonts w:ascii="Times New Roman" w:hAnsi="Times New Roman" w:cs="Times New Roman"/>
        </w:rPr>
      </w:pPr>
      <w:r w:rsidRPr="00725A96">
        <w:rPr>
          <w:rStyle w:val="FootnoteReference"/>
          <w:rFonts w:ascii="Times New Roman" w:hAnsi="Times New Roman" w:cs="Times New Roman"/>
        </w:rPr>
        <w:footnoteRef/>
      </w:r>
      <w:r w:rsidRPr="00725A96">
        <w:rPr>
          <w:rFonts w:ascii="Times New Roman" w:hAnsi="Times New Roman" w:cs="Times New Roman"/>
        </w:rPr>
        <w:t xml:space="preserve"> Estelle B. Freedman, </w:t>
      </w:r>
      <w:r w:rsidRPr="00725A96">
        <w:rPr>
          <w:rFonts w:ascii="Times New Roman" w:hAnsi="Times New Roman" w:cs="Times New Roman"/>
          <w:i/>
        </w:rPr>
        <w:t xml:space="preserve">Redefining Rape: Sexual Violence in the Era of Suffrage and Segregation </w:t>
      </w:r>
      <w:r w:rsidRPr="00725A96">
        <w:rPr>
          <w:rFonts w:ascii="Times New Roman" w:hAnsi="Times New Roman" w:cs="Times New Roman"/>
        </w:rPr>
        <w:t>(Estelle B. Freedman, 2013), 21.</w:t>
      </w:r>
    </w:p>
  </w:footnote>
  <w:footnote w:id="2">
    <w:p w14:paraId="4605D373" w14:textId="77777777" w:rsidR="00AD6787" w:rsidRPr="000914D4" w:rsidRDefault="00AD6787" w:rsidP="00AD6787">
      <w:pPr>
        <w:pStyle w:val="NormalWeb"/>
        <w:rPr>
          <w:color w:val="000000" w:themeColor="text1"/>
        </w:rPr>
      </w:pPr>
      <w:r w:rsidRPr="000914D4">
        <w:rPr>
          <w:rStyle w:val="FootnoteReference"/>
          <w:color w:val="000000" w:themeColor="text1"/>
        </w:rPr>
        <w:footnoteRef/>
      </w:r>
      <w:r w:rsidRPr="000914D4">
        <w:rPr>
          <w:color w:val="000000" w:themeColor="text1"/>
        </w:rPr>
        <w:t xml:space="preserve"> Ida B. Wells, </w:t>
      </w:r>
      <w:r w:rsidRPr="000914D4">
        <w:rPr>
          <w:i/>
          <w:color w:val="000000" w:themeColor="text1"/>
        </w:rPr>
        <w:t>Southern Horrors: Lynch Law in All Its Phases</w:t>
      </w:r>
      <w:r w:rsidRPr="000914D4">
        <w:rPr>
          <w:color w:val="000000" w:themeColor="text1"/>
        </w:rPr>
        <w:t xml:space="preserve"> </w:t>
      </w:r>
      <w:r w:rsidRPr="000914D4">
        <w:rPr>
          <w:i/>
          <w:color w:val="000000" w:themeColor="text1"/>
        </w:rPr>
        <w:t>(1892) </w:t>
      </w:r>
      <w:r>
        <w:rPr>
          <w:color w:val="000000" w:themeColor="text1"/>
        </w:rPr>
        <w:t>(</w:t>
      </w:r>
      <w:r w:rsidRPr="000914D4">
        <w:rPr>
          <w:rFonts w:eastAsia="Times New Roman"/>
          <w:color w:val="000000" w:themeColor="text1"/>
        </w:rPr>
        <w:t>Digital History</w:t>
      </w:r>
      <w:r>
        <w:rPr>
          <w:rFonts w:eastAsia="Times New Roman"/>
          <w:color w:val="000000" w:themeColor="text1"/>
        </w:rPr>
        <w:t>, 2019), 4.</w:t>
      </w:r>
    </w:p>
    <w:p w14:paraId="688DC1EF" w14:textId="77777777" w:rsidR="00AD6787" w:rsidRDefault="00AD6787" w:rsidP="00AD6787">
      <w:pPr>
        <w:pStyle w:val="FootnoteText"/>
      </w:pPr>
    </w:p>
  </w:footnote>
  <w:footnote w:id="3">
    <w:p w14:paraId="2155E1E4" w14:textId="77777777" w:rsidR="00AD6787" w:rsidRDefault="00AD6787" w:rsidP="00AD6787">
      <w:pPr>
        <w:pStyle w:val="FootnoteText"/>
      </w:pPr>
      <w:r w:rsidRPr="00B63207">
        <w:rPr>
          <w:rStyle w:val="FootnoteReference"/>
          <w:rFonts w:ascii="Times New Roman" w:hAnsi="Times New Roman" w:cs="Times New Roman"/>
        </w:rPr>
        <w:footnoteRef/>
      </w:r>
      <w:r>
        <w:t xml:space="preserve"> </w:t>
      </w:r>
      <w:r w:rsidRPr="00725A96">
        <w:rPr>
          <w:rFonts w:ascii="Times New Roman" w:hAnsi="Times New Roman" w:cs="Times New Roman"/>
        </w:rPr>
        <w:t xml:space="preserve">Estelle B. Freedman, </w:t>
      </w:r>
      <w:r w:rsidRPr="00725A96">
        <w:rPr>
          <w:rFonts w:ascii="Times New Roman" w:hAnsi="Times New Roman" w:cs="Times New Roman"/>
          <w:i/>
        </w:rPr>
        <w:t xml:space="preserve">Redefining Rape: Sexual Violence in the Era of Suffrage and Segregation </w:t>
      </w:r>
      <w:r w:rsidRPr="00725A96">
        <w:rPr>
          <w:rFonts w:ascii="Times New Roman" w:hAnsi="Times New Roman" w:cs="Times New Roman"/>
        </w:rPr>
        <w:t>(Estelle B. Freedman, 2013), 21.</w:t>
      </w:r>
    </w:p>
  </w:footnote>
  <w:footnote w:id="4">
    <w:p w14:paraId="76C7A92A" w14:textId="77777777" w:rsidR="00AD6787" w:rsidRDefault="00AD6787" w:rsidP="00AD6787">
      <w:pPr>
        <w:pStyle w:val="FootnoteText"/>
      </w:pPr>
      <w:r w:rsidRPr="00725A96">
        <w:rPr>
          <w:rStyle w:val="FootnoteReference"/>
          <w:rFonts w:ascii="Times New Roman" w:hAnsi="Times New Roman" w:cs="Times New Roman"/>
        </w:rPr>
        <w:footnoteRef/>
      </w:r>
      <w:r w:rsidRPr="00725A96">
        <w:rPr>
          <w:rFonts w:ascii="Times New Roman" w:hAnsi="Times New Roman" w:cs="Times New Roman"/>
        </w:rPr>
        <w:t xml:space="preserve"> Freedman, </w:t>
      </w:r>
      <w:r w:rsidRPr="00725A96">
        <w:rPr>
          <w:rFonts w:ascii="Times New Roman" w:hAnsi="Times New Roman" w:cs="Times New Roman"/>
          <w:i/>
        </w:rPr>
        <w:t>Redefining Rape: Sexual Violence in the Era of Suffrage and Segregation</w:t>
      </w:r>
      <w:r>
        <w:rPr>
          <w:rFonts w:ascii="Times New Roman" w:hAnsi="Times New Roman" w:cs="Times New Roman"/>
        </w:rPr>
        <w:t>, 20</w:t>
      </w:r>
      <w:r w:rsidRPr="00725A96">
        <w:rPr>
          <w:rFonts w:ascii="Times New Roman" w:hAnsi="Times New Roman" w:cs="Times New Roman"/>
        </w:rPr>
        <w:t>.</w:t>
      </w:r>
    </w:p>
  </w:footnote>
  <w:footnote w:id="5">
    <w:p w14:paraId="64B19915" w14:textId="77777777" w:rsidR="00AD6787" w:rsidRPr="007377A0" w:rsidRDefault="00AD6787" w:rsidP="00AD6787">
      <w:pPr>
        <w:pStyle w:val="FootnoteText"/>
        <w:rPr>
          <w:rFonts w:ascii="Times New Roman" w:hAnsi="Times New Roman" w:cs="Times New Roman"/>
        </w:rPr>
      </w:pPr>
      <w:r w:rsidRPr="007377A0">
        <w:rPr>
          <w:rStyle w:val="FootnoteReference"/>
          <w:rFonts w:ascii="Times New Roman" w:hAnsi="Times New Roman" w:cs="Times New Roman"/>
        </w:rPr>
        <w:footnoteRef/>
      </w:r>
      <w:r w:rsidRPr="007377A0">
        <w:rPr>
          <w:rFonts w:ascii="Times New Roman" w:hAnsi="Times New Roman" w:cs="Times New Roman"/>
        </w:rPr>
        <w:t xml:space="preserve"> Martha Hodes, </w:t>
      </w:r>
      <w:r>
        <w:rPr>
          <w:rFonts w:ascii="Times New Roman" w:hAnsi="Times New Roman" w:cs="Times New Roman"/>
          <w:i/>
        </w:rPr>
        <w:t>White Women, Black Men</w:t>
      </w:r>
      <w:r>
        <w:rPr>
          <w:rFonts w:ascii="Times New Roman" w:hAnsi="Times New Roman" w:cs="Times New Roman"/>
        </w:rPr>
        <w:t xml:space="preserve"> (Yale University Press, 1997), 39.</w:t>
      </w:r>
    </w:p>
  </w:footnote>
  <w:footnote w:id="6">
    <w:p w14:paraId="0C4A98F8" w14:textId="77777777" w:rsidR="00AD6787" w:rsidRPr="00A27B7C" w:rsidRDefault="00AD6787" w:rsidP="00AD6787">
      <w:pPr>
        <w:pStyle w:val="FootnoteText"/>
        <w:rPr>
          <w:rFonts w:ascii="Times New Roman" w:hAnsi="Times New Roman" w:cs="Times New Roman"/>
        </w:rPr>
      </w:pPr>
      <w:r w:rsidRPr="00A27B7C">
        <w:rPr>
          <w:rStyle w:val="FootnoteReference"/>
          <w:rFonts w:ascii="Times New Roman" w:hAnsi="Times New Roman" w:cs="Times New Roman"/>
        </w:rPr>
        <w:footnoteRef/>
      </w:r>
      <w:r w:rsidRPr="00A27B7C">
        <w:rPr>
          <w:rFonts w:ascii="Times New Roman" w:hAnsi="Times New Roman" w:cs="Times New Roman"/>
        </w:rPr>
        <w:t xml:space="preserve"> Hodes, </w:t>
      </w:r>
      <w:r w:rsidRPr="00A27B7C">
        <w:rPr>
          <w:rFonts w:ascii="Times New Roman" w:hAnsi="Times New Roman" w:cs="Times New Roman"/>
          <w:i/>
        </w:rPr>
        <w:t>White Women, Black Men</w:t>
      </w:r>
      <w:r w:rsidRPr="00A27B7C">
        <w:rPr>
          <w:rFonts w:ascii="Times New Roman" w:hAnsi="Times New Roman" w:cs="Times New Roman"/>
        </w:rPr>
        <w:t>, 41.</w:t>
      </w:r>
    </w:p>
  </w:footnote>
  <w:footnote w:id="7">
    <w:p w14:paraId="24DB0982" w14:textId="77777777" w:rsidR="00AD6787" w:rsidRPr="008D1E86" w:rsidRDefault="00AD6787" w:rsidP="00AD6787">
      <w:pPr>
        <w:pStyle w:val="FootnoteText"/>
        <w:rPr>
          <w:rFonts w:ascii="Times New Roman" w:hAnsi="Times New Roman" w:cs="Times New Roman"/>
        </w:rPr>
      </w:pPr>
      <w:r w:rsidRPr="008D1E86">
        <w:rPr>
          <w:rStyle w:val="FootnoteReference"/>
          <w:rFonts w:ascii="Times New Roman" w:hAnsi="Times New Roman" w:cs="Times New Roman"/>
        </w:rPr>
        <w:footnoteRef/>
      </w:r>
      <w:r w:rsidRPr="008D1E86">
        <w:rPr>
          <w:rFonts w:ascii="Times New Roman" w:hAnsi="Times New Roman" w:cs="Times New Roman"/>
        </w:rPr>
        <w:t xml:space="preserve"> Hodes, </w:t>
      </w:r>
      <w:r w:rsidRPr="008D1E86">
        <w:rPr>
          <w:rFonts w:ascii="Times New Roman" w:hAnsi="Times New Roman" w:cs="Times New Roman"/>
          <w:i/>
        </w:rPr>
        <w:t>White Women, Black Men</w:t>
      </w:r>
      <w:r w:rsidRPr="008D1E86">
        <w:rPr>
          <w:rFonts w:ascii="Times New Roman" w:hAnsi="Times New Roman" w:cs="Times New Roman"/>
        </w:rPr>
        <w:t>, 45-46.</w:t>
      </w:r>
    </w:p>
  </w:footnote>
  <w:footnote w:id="8">
    <w:p w14:paraId="02088889" w14:textId="77777777" w:rsidR="00AD6787" w:rsidRPr="00D2126D" w:rsidRDefault="00AD6787" w:rsidP="00AD6787">
      <w:pPr>
        <w:pStyle w:val="NormalWeb"/>
        <w:spacing w:before="10" w:beforeAutospacing="0"/>
        <w:rPr>
          <w:color w:val="000000" w:themeColor="text1"/>
        </w:rPr>
      </w:pPr>
      <w:r w:rsidRPr="000914D4">
        <w:rPr>
          <w:rStyle w:val="FootnoteReference"/>
          <w:color w:val="000000" w:themeColor="text1"/>
        </w:rPr>
        <w:footnoteRef/>
      </w:r>
      <w:r w:rsidRPr="000914D4">
        <w:rPr>
          <w:color w:val="000000" w:themeColor="text1"/>
        </w:rPr>
        <w:t xml:space="preserve"> Wells, </w:t>
      </w:r>
      <w:r w:rsidRPr="000914D4">
        <w:rPr>
          <w:i/>
          <w:color w:val="000000" w:themeColor="text1"/>
        </w:rPr>
        <w:t>Southern Horrors: Lynch Law in All Its Phases</w:t>
      </w:r>
      <w:r w:rsidRPr="000914D4">
        <w:rPr>
          <w:color w:val="000000" w:themeColor="text1"/>
        </w:rPr>
        <w:t xml:space="preserve"> </w:t>
      </w:r>
      <w:r>
        <w:rPr>
          <w:i/>
          <w:color w:val="000000" w:themeColor="text1"/>
        </w:rPr>
        <w:t>(1892)</w:t>
      </w:r>
      <w:r>
        <w:rPr>
          <w:rFonts w:eastAsia="Times New Roman"/>
          <w:color w:val="000000" w:themeColor="text1"/>
        </w:rPr>
        <w:t>, 2.</w:t>
      </w:r>
    </w:p>
  </w:footnote>
  <w:footnote w:id="9">
    <w:p w14:paraId="1C6AAE1D" w14:textId="77777777" w:rsidR="00AD6787" w:rsidRPr="00651B0C" w:rsidRDefault="00AD6787" w:rsidP="00AD6787">
      <w:pPr>
        <w:pStyle w:val="FootnoteText"/>
        <w:spacing w:before="10"/>
        <w:rPr>
          <w:rFonts w:ascii="Times New Roman" w:hAnsi="Times New Roman" w:cs="Times New Roman"/>
        </w:rPr>
      </w:pPr>
      <w:r w:rsidRPr="00651B0C">
        <w:rPr>
          <w:rStyle w:val="FootnoteReference"/>
          <w:rFonts w:ascii="Times New Roman" w:hAnsi="Times New Roman" w:cs="Times New Roman"/>
        </w:rPr>
        <w:footnoteRef/>
      </w:r>
      <w:r w:rsidRPr="00651B0C">
        <w:rPr>
          <w:rFonts w:ascii="Times New Roman" w:hAnsi="Times New Roman" w:cs="Times New Roman"/>
        </w:rPr>
        <w:t xml:space="preserve"> Freedman, </w:t>
      </w:r>
      <w:r w:rsidRPr="00651B0C">
        <w:rPr>
          <w:rFonts w:ascii="Times New Roman" w:hAnsi="Times New Roman" w:cs="Times New Roman"/>
          <w:i/>
        </w:rPr>
        <w:t>Redefining Rape: Sexual Violence in the Era of Suffrage and Segregation</w:t>
      </w:r>
      <w:r w:rsidRPr="00651B0C">
        <w:rPr>
          <w:rFonts w:ascii="Times New Roman" w:hAnsi="Times New Roman" w:cs="Times New Roman"/>
        </w:rPr>
        <w:t>, 82.</w:t>
      </w:r>
    </w:p>
  </w:footnote>
  <w:footnote w:id="10">
    <w:p w14:paraId="43A646CF" w14:textId="77777777" w:rsidR="00AD6787" w:rsidRPr="008047BD" w:rsidRDefault="00AD6787" w:rsidP="00AD6787">
      <w:pPr>
        <w:pStyle w:val="FootnoteText"/>
      </w:pPr>
      <w:r>
        <w:rPr>
          <w:rStyle w:val="FootnoteReference"/>
        </w:rPr>
        <w:footnoteRef/>
      </w:r>
      <w:r>
        <w:rPr>
          <w:rFonts w:ascii="Times New Roman" w:hAnsi="Times New Roman" w:cs="Times New Roman"/>
        </w:rPr>
        <w:t xml:space="preserve"> </w:t>
      </w:r>
      <w:r w:rsidRPr="008047BD">
        <w:rPr>
          <w:rFonts w:ascii="Times New Roman" w:hAnsi="Times New Roman" w:cs="Times New Roman"/>
        </w:rPr>
        <w:t>Diane Miller</w:t>
      </w:r>
      <w:r>
        <w:rPr>
          <w:rFonts w:ascii="Times New Roman" w:hAnsi="Times New Roman" w:cs="Times New Roman"/>
        </w:rPr>
        <w:t xml:space="preserve">, </w:t>
      </w:r>
      <w:r w:rsidRPr="008047BD">
        <w:rPr>
          <w:rFonts w:ascii="Times New Roman" w:hAnsi="Times New Roman" w:cs="Times New Roman"/>
        </w:rPr>
        <w:t xml:space="preserve">Sommerville. </w:t>
      </w:r>
      <w:r w:rsidRPr="008047BD">
        <w:rPr>
          <w:rFonts w:ascii="Times New Roman" w:hAnsi="Times New Roman" w:cs="Times New Roman"/>
          <w:i/>
        </w:rPr>
        <w:t xml:space="preserve">Rape and Race in the </w:t>
      </w:r>
      <w:proofErr w:type="gramStart"/>
      <w:r w:rsidRPr="008047BD">
        <w:rPr>
          <w:rFonts w:ascii="Times New Roman" w:hAnsi="Times New Roman" w:cs="Times New Roman"/>
          <w:i/>
        </w:rPr>
        <w:t>Nineteenth-Century South</w:t>
      </w:r>
      <w:proofErr w:type="gramEnd"/>
      <w:r w:rsidRPr="008047BD">
        <w:rPr>
          <w:rFonts w:ascii="Times New Roman" w:hAnsi="Times New Roman" w:cs="Times New Roman"/>
        </w:rPr>
        <w:t xml:space="preserve">. </w:t>
      </w:r>
      <w:r>
        <w:rPr>
          <w:rFonts w:ascii="Times New Roman" w:hAnsi="Times New Roman" w:cs="Times New Roman"/>
        </w:rPr>
        <w:t>(</w:t>
      </w:r>
      <w:r w:rsidRPr="008047BD">
        <w:rPr>
          <w:rFonts w:ascii="Times New Roman" w:hAnsi="Times New Roman" w:cs="Times New Roman"/>
        </w:rPr>
        <w:t>Chapel Hill: The University of North Carolina Press</w:t>
      </w:r>
      <w:r>
        <w:rPr>
          <w:rFonts w:ascii="Times New Roman" w:hAnsi="Times New Roman" w:cs="Times New Roman"/>
        </w:rPr>
        <w:t>, 2004)</w:t>
      </w:r>
      <w:r w:rsidRPr="008047BD">
        <w:rPr>
          <w:rFonts w:ascii="Times New Roman" w:hAnsi="Times New Roman" w:cs="Times New Roman"/>
        </w:rPr>
        <w:t xml:space="preserve">. Accessed September 16, 2019. ProQuest </w:t>
      </w:r>
      <w:proofErr w:type="spellStart"/>
      <w:r w:rsidRPr="008047BD">
        <w:rPr>
          <w:rFonts w:ascii="Times New Roman" w:hAnsi="Times New Roman" w:cs="Times New Roman"/>
        </w:rPr>
        <w:t>Ebook</w:t>
      </w:r>
      <w:proofErr w:type="spellEnd"/>
      <w:r w:rsidRPr="008047BD">
        <w:rPr>
          <w:rFonts w:ascii="Times New Roman" w:hAnsi="Times New Roman" w:cs="Times New Roman"/>
        </w:rPr>
        <w:t xml:space="preserve"> Central.</w:t>
      </w:r>
      <w:r>
        <w:rPr>
          <w:rFonts w:ascii="Times New Roman" w:hAnsi="Times New Roman" w:cs="Times New Roman"/>
        </w:rPr>
        <w:t xml:space="preserve"> 70.</w:t>
      </w:r>
    </w:p>
    <w:p w14:paraId="5CF74D7D" w14:textId="77777777" w:rsidR="00AD6787" w:rsidRPr="00651B0C" w:rsidRDefault="00AD6787" w:rsidP="00AD6787">
      <w:pPr>
        <w:pStyle w:val="FootnoteText"/>
        <w:rPr>
          <w:rFonts w:ascii="Times New Roman" w:hAnsi="Times New Roman" w:cs="Times New Roman"/>
        </w:rPr>
      </w:pPr>
    </w:p>
  </w:footnote>
  <w:footnote w:id="11">
    <w:p w14:paraId="16648988" w14:textId="77777777" w:rsidR="00AD6787" w:rsidRPr="000B392A" w:rsidRDefault="00AD6787" w:rsidP="00AD6787">
      <w:pPr>
        <w:pStyle w:val="FootnoteText"/>
        <w:spacing w:before="10"/>
        <w:rPr>
          <w:rFonts w:ascii="Times New Roman" w:hAnsi="Times New Roman" w:cs="Times New Roman"/>
        </w:rPr>
      </w:pPr>
      <w:r w:rsidRPr="003742E5">
        <w:rPr>
          <w:rStyle w:val="FootnoteReference"/>
          <w:rFonts w:ascii="Times New Roman" w:hAnsi="Times New Roman" w:cs="Times New Roman"/>
        </w:rPr>
        <w:footnoteRef/>
      </w:r>
      <w:r w:rsidRPr="003742E5">
        <w:rPr>
          <w:rFonts w:ascii="Times New Roman" w:hAnsi="Times New Roman" w:cs="Times New Roman"/>
        </w:rPr>
        <w:t xml:space="preserve"> Freedman, </w:t>
      </w:r>
      <w:r w:rsidRPr="003742E5">
        <w:rPr>
          <w:rFonts w:ascii="Times New Roman" w:hAnsi="Times New Roman" w:cs="Times New Roman"/>
          <w:i/>
        </w:rPr>
        <w:t>Redefining Rape: Sexual Violence in the Era of Suffrage and Segregation</w:t>
      </w:r>
      <w:r>
        <w:rPr>
          <w:rFonts w:ascii="Times New Roman" w:hAnsi="Times New Roman" w:cs="Times New Roman"/>
        </w:rPr>
        <w:t>, 83</w:t>
      </w:r>
      <w:r w:rsidRPr="003742E5">
        <w:rPr>
          <w:rFonts w:ascii="Times New Roman" w:hAnsi="Times New Roman" w:cs="Times New Roman"/>
        </w:rPr>
        <w:t>.</w:t>
      </w:r>
    </w:p>
  </w:footnote>
  <w:footnote w:id="12">
    <w:p w14:paraId="29FCE712" w14:textId="77777777" w:rsidR="00AD6787" w:rsidRPr="000B392A" w:rsidRDefault="00AD6787" w:rsidP="00AD6787">
      <w:pPr>
        <w:pStyle w:val="FootnoteText"/>
        <w:rPr>
          <w:rFonts w:ascii="Times New Roman" w:hAnsi="Times New Roman" w:cs="Times New Roman"/>
        </w:rPr>
      </w:pPr>
      <w:r w:rsidRPr="000B392A">
        <w:rPr>
          <w:rStyle w:val="FootnoteReference"/>
          <w:rFonts w:ascii="Times New Roman" w:hAnsi="Times New Roman" w:cs="Times New Roman"/>
        </w:rPr>
        <w:footnoteRef/>
      </w:r>
      <w:r w:rsidRPr="000B392A">
        <w:rPr>
          <w:rFonts w:ascii="Times New Roman" w:hAnsi="Times New Roman" w:cs="Times New Roman"/>
        </w:rPr>
        <w:t xml:space="preserve"> Freedman, </w:t>
      </w:r>
      <w:r w:rsidRPr="000B392A">
        <w:rPr>
          <w:rFonts w:ascii="Times New Roman" w:hAnsi="Times New Roman" w:cs="Times New Roman"/>
          <w:i/>
        </w:rPr>
        <w:t>Redefining Rape: Sexual Violence in the Era of Suffrage and Segregation</w:t>
      </w:r>
      <w:r w:rsidRPr="000B392A">
        <w:rPr>
          <w:rFonts w:ascii="Times New Roman" w:hAnsi="Times New Roman" w:cs="Times New Roman"/>
        </w:rPr>
        <w:t>, 90.</w:t>
      </w:r>
    </w:p>
  </w:footnote>
  <w:footnote w:id="13">
    <w:p w14:paraId="66396E03" w14:textId="77777777" w:rsidR="00AD6787" w:rsidRDefault="00AD6787" w:rsidP="00AD6787">
      <w:pPr>
        <w:pStyle w:val="FootnoteText"/>
      </w:pPr>
      <w:r w:rsidRPr="000B392A">
        <w:rPr>
          <w:rStyle w:val="FootnoteReference"/>
          <w:rFonts w:ascii="Times New Roman" w:hAnsi="Times New Roman" w:cs="Times New Roman"/>
        </w:rPr>
        <w:footnoteRef/>
      </w:r>
      <w:r w:rsidRPr="000B392A">
        <w:rPr>
          <w:rFonts w:ascii="Times New Roman" w:hAnsi="Times New Roman" w:cs="Times New Roman"/>
        </w:rPr>
        <w:t xml:space="preserve"> Freedman,</w:t>
      </w:r>
      <w:r w:rsidRPr="003742E5">
        <w:rPr>
          <w:rFonts w:ascii="Times New Roman" w:hAnsi="Times New Roman" w:cs="Times New Roman"/>
        </w:rPr>
        <w:t xml:space="preserve"> </w:t>
      </w:r>
      <w:r w:rsidRPr="003742E5">
        <w:rPr>
          <w:rFonts w:ascii="Times New Roman" w:hAnsi="Times New Roman" w:cs="Times New Roman"/>
          <w:i/>
        </w:rPr>
        <w:t>Redefining Rape: Sexual Violence in the Era of Suffrage and Segregation</w:t>
      </w:r>
      <w:r>
        <w:rPr>
          <w:rFonts w:ascii="Times New Roman" w:hAnsi="Times New Roman" w:cs="Times New Roman"/>
        </w:rPr>
        <w:t>, 91</w:t>
      </w:r>
      <w:r w:rsidRPr="003742E5">
        <w:rPr>
          <w:rFonts w:ascii="Times New Roman" w:hAnsi="Times New Roman" w:cs="Times New Roman"/>
        </w:rPr>
        <w:t>.</w:t>
      </w:r>
    </w:p>
  </w:footnote>
  <w:footnote w:id="14">
    <w:p w14:paraId="443E4613" w14:textId="77777777" w:rsidR="00AD6787" w:rsidRPr="000B392A" w:rsidRDefault="00AD6787" w:rsidP="00AD6787">
      <w:pPr>
        <w:pStyle w:val="FootnoteText"/>
        <w:rPr>
          <w:rFonts w:ascii="Times New Roman" w:hAnsi="Times New Roman" w:cs="Times New Roman"/>
        </w:rPr>
      </w:pPr>
      <w:r w:rsidRPr="000B392A">
        <w:rPr>
          <w:rStyle w:val="FootnoteReference"/>
          <w:rFonts w:ascii="Times New Roman" w:hAnsi="Times New Roman" w:cs="Times New Roman"/>
        </w:rPr>
        <w:footnoteRef/>
      </w:r>
      <w:r w:rsidRPr="000B392A">
        <w:rPr>
          <w:rFonts w:ascii="Times New Roman" w:hAnsi="Times New Roman" w:cs="Times New Roman"/>
        </w:rPr>
        <w:t xml:space="preserve"> </w:t>
      </w:r>
      <w:r w:rsidRPr="003742E5">
        <w:rPr>
          <w:rFonts w:ascii="Times New Roman" w:hAnsi="Times New Roman" w:cs="Times New Roman"/>
        </w:rPr>
        <w:t xml:space="preserve">Freedman, </w:t>
      </w:r>
      <w:r w:rsidRPr="003742E5">
        <w:rPr>
          <w:rFonts w:ascii="Times New Roman" w:hAnsi="Times New Roman" w:cs="Times New Roman"/>
          <w:i/>
        </w:rPr>
        <w:t>Redefining Rape: Sexual Violence in the Era of Suffrage and Segregation</w:t>
      </w:r>
      <w:r>
        <w:rPr>
          <w:rFonts w:ascii="Times New Roman" w:hAnsi="Times New Roman" w:cs="Times New Roman"/>
        </w:rPr>
        <w:t>, 111</w:t>
      </w:r>
      <w:r w:rsidRPr="003742E5">
        <w:rPr>
          <w:rFonts w:ascii="Times New Roman" w:hAnsi="Times New Roman" w:cs="Times New Roman"/>
        </w:rPr>
        <w:t>.</w:t>
      </w:r>
    </w:p>
  </w:footnote>
  <w:footnote w:id="15">
    <w:p w14:paraId="241330B4" w14:textId="77777777" w:rsidR="00AD6787" w:rsidRPr="000F1B1A" w:rsidRDefault="00AD6787" w:rsidP="00AD6787">
      <w:pPr>
        <w:pStyle w:val="FootnoteText"/>
        <w:rPr>
          <w:rFonts w:ascii="Times New Roman" w:hAnsi="Times New Roman" w:cs="Times New Roman"/>
        </w:rPr>
      </w:pPr>
      <w:r w:rsidRPr="000F1B1A">
        <w:rPr>
          <w:rStyle w:val="FootnoteReference"/>
          <w:rFonts w:ascii="Times New Roman" w:hAnsi="Times New Roman" w:cs="Times New Roman"/>
        </w:rPr>
        <w:footnoteRef/>
      </w:r>
      <w:r w:rsidRPr="000F1B1A">
        <w:rPr>
          <w:rFonts w:ascii="Times New Roman" w:hAnsi="Times New Roman" w:cs="Times New Roman"/>
        </w:rPr>
        <w:t xml:space="preserve"> </w:t>
      </w:r>
      <w:r w:rsidRPr="000F1B1A">
        <w:rPr>
          <w:rFonts w:ascii="Times New Roman" w:hAnsi="Times New Roman" w:cs="Times New Roman"/>
          <w:color w:val="000000" w:themeColor="text1"/>
        </w:rPr>
        <w:t xml:space="preserve">Wells, </w:t>
      </w:r>
      <w:r w:rsidRPr="000F1B1A">
        <w:rPr>
          <w:rFonts w:ascii="Times New Roman" w:hAnsi="Times New Roman" w:cs="Times New Roman"/>
          <w:i/>
          <w:color w:val="000000" w:themeColor="text1"/>
        </w:rPr>
        <w:t>Southern Horrors: Lynch Law in All Its Phases</w:t>
      </w:r>
      <w:r w:rsidRPr="000F1B1A">
        <w:rPr>
          <w:rFonts w:ascii="Times New Roman" w:hAnsi="Times New Roman" w:cs="Times New Roman"/>
          <w:color w:val="000000" w:themeColor="text1"/>
        </w:rPr>
        <w:t xml:space="preserve"> </w:t>
      </w:r>
      <w:r w:rsidRPr="000F1B1A">
        <w:rPr>
          <w:rFonts w:ascii="Times New Roman" w:hAnsi="Times New Roman" w:cs="Times New Roman"/>
          <w:i/>
          <w:color w:val="000000" w:themeColor="text1"/>
        </w:rPr>
        <w:t>(1892)</w:t>
      </w:r>
      <w:r w:rsidRPr="000F1B1A">
        <w:rPr>
          <w:rFonts w:ascii="Times New Roman" w:eastAsia="Times New Roman" w:hAnsi="Times New Roman" w:cs="Times New Roman"/>
          <w:color w:val="000000" w:themeColor="text1"/>
        </w:rPr>
        <w:t>, 5.</w:t>
      </w:r>
    </w:p>
  </w:footnote>
  <w:footnote w:id="16">
    <w:p w14:paraId="159C74DF" w14:textId="77777777" w:rsidR="00AD6787" w:rsidRPr="00391507" w:rsidRDefault="00AD6787" w:rsidP="00AD6787">
      <w:pPr>
        <w:pStyle w:val="FootnoteText"/>
        <w:rPr>
          <w:rFonts w:ascii="Times New Roman" w:hAnsi="Times New Roman" w:cs="Times New Roman"/>
        </w:rPr>
      </w:pPr>
      <w:r w:rsidRPr="00391507">
        <w:rPr>
          <w:rStyle w:val="FootnoteReference"/>
          <w:rFonts w:ascii="Times New Roman" w:hAnsi="Times New Roman" w:cs="Times New Roman"/>
        </w:rPr>
        <w:footnoteRef/>
      </w:r>
      <w:r w:rsidRPr="00391507">
        <w:rPr>
          <w:rFonts w:ascii="Times New Roman" w:hAnsi="Times New Roman" w:cs="Times New Roman"/>
        </w:rPr>
        <w:t xml:space="preserve"> </w:t>
      </w:r>
      <w:r>
        <w:rPr>
          <w:rFonts w:ascii="Times New Roman" w:hAnsi="Times New Roman" w:cs="Times New Roman"/>
        </w:rPr>
        <w:t>I</w:t>
      </w:r>
      <w:r w:rsidRPr="00391507">
        <w:rPr>
          <w:rFonts w:ascii="Times New Roman" w:hAnsi="Times New Roman" w:cs="Times New Roman"/>
        </w:rPr>
        <w:t>bid.</w:t>
      </w:r>
    </w:p>
  </w:footnote>
  <w:footnote w:id="17">
    <w:p w14:paraId="2E3C3BAC" w14:textId="77777777" w:rsidR="00AD6787" w:rsidRPr="001E36A3" w:rsidRDefault="00AD6787" w:rsidP="00AD6787">
      <w:pPr>
        <w:pStyle w:val="FootnoteText"/>
        <w:rPr>
          <w:rFonts w:ascii="Times New Roman" w:hAnsi="Times New Roman" w:cs="Times New Roman"/>
        </w:rPr>
      </w:pPr>
      <w:r w:rsidRPr="001E36A3">
        <w:rPr>
          <w:rStyle w:val="FootnoteReference"/>
          <w:rFonts w:ascii="Times New Roman" w:hAnsi="Times New Roman" w:cs="Times New Roman"/>
        </w:rPr>
        <w:footnoteRef/>
      </w:r>
      <w:r w:rsidRPr="001E36A3">
        <w:rPr>
          <w:rFonts w:ascii="Times New Roman" w:hAnsi="Times New Roman" w:cs="Times New Roman"/>
        </w:rPr>
        <w:t xml:space="preserve"> </w:t>
      </w:r>
      <w:r>
        <w:rPr>
          <w:rFonts w:ascii="Times New Roman" w:hAnsi="Times New Roman" w:cs="Times New Roman"/>
        </w:rPr>
        <w:t>I</w:t>
      </w:r>
      <w:r w:rsidRPr="001E36A3">
        <w:rPr>
          <w:rFonts w:ascii="Times New Roman" w:hAnsi="Times New Roman" w:cs="Times New Roman"/>
        </w:rPr>
        <w:t>bid.</w:t>
      </w:r>
    </w:p>
  </w:footnote>
  <w:footnote w:id="18">
    <w:p w14:paraId="57C9F2D9" w14:textId="77777777" w:rsidR="00AD6787" w:rsidRPr="00DC6175" w:rsidRDefault="00AD6787" w:rsidP="00AD6787">
      <w:pPr>
        <w:pStyle w:val="FootnoteText"/>
        <w:rPr>
          <w:rFonts w:ascii="Times New Roman" w:hAnsi="Times New Roman" w:cs="Times New Roman"/>
        </w:rPr>
      </w:pPr>
      <w:r w:rsidRPr="00DC6175">
        <w:rPr>
          <w:rStyle w:val="FootnoteReference"/>
          <w:rFonts w:ascii="Times New Roman" w:hAnsi="Times New Roman" w:cs="Times New Roman"/>
        </w:rPr>
        <w:footnoteRef/>
      </w:r>
      <w:r w:rsidRPr="00DC6175">
        <w:rPr>
          <w:rFonts w:ascii="Times New Roman" w:hAnsi="Times New Roman" w:cs="Times New Roman"/>
        </w:rPr>
        <w:t xml:space="preserve"> </w:t>
      </w:r>
      <w:r w:rsidRPr="0022577B">
        <w:rPr>
          <w:rFonts w:ascii="Times New Roman" w:hAnsi="Times New Roman" w:cs="Times New Roman"/>
        </w:rPr>
        <w:t>Evelyn</w:t>
      </w:r>
      <w:r>
        <w:rPr>
          <w:rFonts w:ascii="Times New Roman" w:hAnsi="Times New Roman" w:cs="Times New Roman"/>
        </w:rPr>
        <w:t xml:space="preserve"> </w:t>
      </w:r>
      <w:proofErr w:type="spellStart"/>
      <w:r>
        <w:rPr>
          <w:rFonts w:ascii="Times New Roman" w:hAnsi="Times New Roman" w:cs="Times New Roman"/>
        </w:rPr>
        <w:t>Preer</w:t>
      </w:r>
      <w:proofErr w:type="spellEnd"/>
      <w:r w:rsidRPr="0022577B">
        <w:rPr>
          <w:rFonts w:ascii="Times New Roman" w:hAnsi="Times New Roman" w:cs="Times New Roman"/>
        </w:rPr>
        <w:t>, Oscar Micheaux, and Micheaux Film Corporation. </w:t>
      </w:r>
      <w:r>
        <w:rPr>
          <w:rFonts w:ascii="Times New Roman" w:hAnsi="Times New Roman" w:cs="Times New Roman"/>
        </w:rPr>
        <w:t>“</w:t>
      </w:r>
      <w:r w:rsidRPr="0022577B">
        <w:rPr>
          <w:rFonts w:ascii="Times New Roman" w:hAnsi="Times New Roman" w:cs="Times New Roman"/>
          <w:iCs/>
        </w:rPr>
        <w:t>Within Our Gates</w:t>
      </w:r>
      <w:r w:rsidRPr="0022577B">
        <w:rPr>
          <w:rFonts w:ascii="Times New Roman" w:hAnsi="Times New Roman" w:cs="Times New Roman"/>
        </w:rPr>
        <w:t>.</w:t>
      </w:r>
      <w:r>
        <w:rPr>
          <w:rFonts w:ascii="Times New Roman" w:hAnsi="Times New Roman" w:cs="Times New Roman"/>
        </w:rPr>
        <w:t>”</w:t>
      </w:r>
      <w:r w:rsidRPr="0022577B">
        <w:rPr>
          <w:rFonts w:ascii="Times New Roman" w:hAnsi="Times New Roman" w:cs="Times New Roman"/>
        </w:rPr>
        <w:t xml:space="preserve"> 1919. Video. </w:t>
      </w:r>
    </w:p>
  </w:footnote>
  <w:footnote w:id="19">
    <w:p w14:paraId="797665F7" w14:textId="77777777" w:rsidR="00AD6787" w:rsidRDefault="00AD6787" w:rsidP="00AD6787">
      <w:pPr>
        <w:pStyle w:val="FootnoteText"/>
      </w:pPr>
      <w:r>
        <w:rPr>
          <w:rStyle w:val="FootnoteReference"/>
        </w:rPr>
        <w:footnoteRef/>
      </w:r>
      <w:r>
        <w:t xml:space="preserve"> </w:t>
      </w:r>
      <w:r>
        <w:rPr>
          <w:rFonts w:ascii="Times New Roman" w:hAnsi="Times New Roman" w:cs="Times New Roman"/>
        </w:rPr>
        <w:t xml:space="preserve">D. W. </w:t>
      </w:r>
      <w:r w:rsidRPr="00ED6D63">
        <w:rPr>
          <w:rFonts w:ascii="Times New Roman" w:hAnsi="Times New Roman" w:cs="Times New Roman"/>
        </w:rPr>
        <w:t>Griffith, and Thomas Dixon AND Griffith Film Corporation. “The Birth of a Nation.” 1915.</w:t>
      </w:r>
    </w:p>
  </w:footnote>
  <w:footnote w:id="20">
    <w:p w14:paraId="4E32AD97" w14:textId="77777777" w:rsidR="00AD6787" w:rsidRPr="00EF6D4B" w:rsidRDefault="00AD6787" w:rsidP="00AD6787">
      <w:pPr>
        <w:pStyle w:val="FootnoteText"/>
        <w:rPr>
          <w:rFonts w:ascii="Times New Roman" w:hAnsi="Times New Roman" w:cs="Times New Roman"/>
        </w:rPr>
      </w:pPr>
      <w:r w:rsidRPr="00EF6D4B">
        <w:rPr>
          <w:rStyle w:val="FootnoteReference"/>
          <w:rFonts w:ascii="Times New Roman" w:hAnsi="Times New Roman" w:cs="Times New Roman"/>
        </w:rPr>
        <w:footnoteRef/>
      </w:r>
      <w:r w:rsidRPr="00EF6D4B">
        <w:rPr>
          <w:rFonts w:ascii="Times New Roman" w:hAnsi="Times New Roman" w:cs="Times New Roman"/>
        </w:rPr>
        <w:t xml:space="preserve"> </w:t>
      </w:r>
      <w:r>
        <w:rPr>
          <w:rFonts w:ascii="Times New Roman" w:hAnsi="Times New Roman" w:cs="Times New Roman"/>
        </w:rPr>
        <w:t>I</w:t>
      </w:r>
      <w:r w:rsidRPr="00EF6D4B">
        <w:rPr>
          <w:rFonts w:ascii="Times New Roman" w:hAnsi="Times New Roman" w:cs="Times New Roman"/>
        </w:rPr>
        <w:t>bid., p. 235.</w:t>
      </w:r>
    </w:p>
  </w:footnote>
  <w:footnote w:id="21">
    <w:p w14:paraId="093A5340" w14:textId="77777777" w:rsidR="00AD6787" w:rsidRPr="006C65A8" w:rsidRDefault="00AD6787" w:rsidP="00AD6787">
      <w:pPr>
        <w:pStyle w:val="FootnoteText"/>
        <w:rPr>
          <w:rFonts w:ascii="Times New Roman" w:hAnsi="Times New Roman" w:cs="Times New Roman"/>
        </w:rPr>
      </w:pPr>
      <w:r w:rsidRPr="006C65A8">
        <w:rPr>
          <w:rStyle w:val="FootnoteReference"/>
          <w:rFonts w:ascii="Times New Roman" w:hAnsi="Times New Roman" w:cs="Times New Roman"/>
        </w:rPr>
        <w:footnoteRef/>
      </w:r>
      <w:r w:rsidRPr="006C65A8">
        <w:rPr>
          <w:rFonts w:ascii="Times New Roman" w:hAnsi="Times New Roman" w:cs="Times New Roman"/>
        </w:rPr>
        <w:t xml:space="preserve"> Crystal N. </w:t>
      </w:r>
      <w:proofErr w:type="spellStart"/>
      <w:r w:rsidRPr="006C65A8">
        <w:rPr>
          <w:rFonts w:ascii="Times New Roman" w:hAnsi="Times New Roman" w:cs="Times New Roman"/>
        </w:rPr>
        <w:t>Feimster</w:t>
      </w:r>
      <w:proofErr w:type="spellEnd"/>
      <w:r w:rsidRPr="006C65A8">
        <w:rPr>
          <w:rFonts w:ascii="Times New Roman" w:hAnsi="Times New Roman" w:cs="Times New Roman"/>
        </w:rPr>
        <w:t>, “Ida B. Wells and the Lynching of Black Women</w:t>
      </w:r>
      <w:r>
        <w:rPr>
          <w:rFonts w:ascii="Times New Roman" w:hAnsi="Times New Roman" w:cs="Times New Roman"/>
        </w:rPr>
        <w:t>.</w:t>
      </w:r>
      <w:r w:rsidRPr="006C65A8">
        <w:rPr>
          <w:rFonts w:ascii="Times New Roman" w:hAnsi="Times New Roman" w:cs="Times New Roman"/>
        </w:rPr>
        <w:t xml:space="preserve">” New York Times, </w:t>
      </w:r>
      <w:r w:rsidRPr="006C65A8">
        <w:rPr>
          <w:rFonts w:ascii="Times New Roman" w:hAnsi="Times New Roman" w:cs="Times New Roman"/>
          <w:i/>
        </w:rPr>
        <w:t>New York Times</w:t>
      </w:r>
      <w:r w:rsidRPr="006C65A8">
        <w:rPr>
          <w:rFonts w:ascii="Times New Roman" w:hAnsi="Times New Roman" w:cs="Times New Roman"/>
        </w:rPr>
        <w:t>, April 28, 2018</w:t>
      </w:r>
      <w:r>
        <w:rPr>
          <w:rFonts w:ascii="Times New Roman" w:hAnsi="Times New Roman" w:cs="Times New Roman"/>
        </w:rPr>
        <w:t>.</w:t>
      </w:r>
    </w:p>
  </w:footnote>
  <w:footnote w:id="22">
    <w:p w14:paraId="1D98661D" w14:textId="77777777" w:rsidR="00AD6787" w:rsidRPr="00B83AB0" w:rsidRDefault="00AD6787" w:rsidP="00AD6787">
      <w:pPr>
        <w:pStyle w:val="FootnoteText"/>
        <w:rPr>
          <w:rFonts w:ascii="Times New Roman" w:hAnsi="Times New Roman" w:cs="Times New Roman"/>
        </w:rPr>
      </w:pPr>
      <w:r w:rsidRPr="00B83AB0">
        <w:rPr>
          <w:rStyle w:val="FootnoteReference"/>
          <w:rFonts w:ascii="Times New Roman" w:hAnsi="Times New Roman" w:cs="Times New Roman"/>
        </w:rPr>
        <w:footnoteRef/>
      </w:r>
      <w:r w:rsidRPr="00B83AB0">
        <w:rPr>
          <w:rFonts w:ascii="Times New Roman" w:hAnsi="Times New Roman" w:cs="Times New Roman"/>
        </w:rPr>
        <w:t xml:space="preserve"> Ibid.</w:t>
      </w:r>
    </w:p>
  </w:footnote>
  <w:footnote w:id="23">
    <w:p w14:paraId="7A923249" w14:textId="77777777" w:rsidR="00AD6787" w:rsidRPr="00DE74B1" w:rsidRDefault="00AD6787" w:rsidP="00AD6787">
      <w:pPr>
        <w:pStyle w:val="FootnoteText"/>
        <w:rPr>
          <w:rFonts w:ascii="Times New Roman" w:hAnsi="Times New Roman" w:cs="Times New Roman"/>
        </w:rPr>
      </w:pPr>
      <w:r w:rsidRPr="00DE74B1">
        <w:rPr>
          <w:rStyle w:val="FootnoteReference"/>
          <w:rFonts w:ascii="Times New Roman" w:hAnsi="Times New Roman" w:cs="Times New Roman"/>
        </w:rPr>
        <w:footnoteRef/>
      </w:r>
      <w:r w:rsidRPr="00DE74B1">
        <w:rPr>
          <w:rFonts w:ascii="Times New Roman" w:hAnsi="Times New Roman" w:cs="Times New Roman"/>
        </w:rPr>
        <w:t xml:space="preserve"> Ibid.</w:t>
      </w:r>
    </w:p>
  </w:footnote>
  <w:footnote w:id="24">
    <w:p w14:paraId="55A00CDC" w14:textId="77777777" w:rsidR="00AD6787" w:rsidRPr="00B83AB0" w:rsidRDefault="00AD6787" w:rsidP="00AD6787">
      <w:pPr>
        <w:pStyle w:val="FootnoteText"/>
        <w:rPr>
          <w:rFonts w:ascii="Times New Roman" w:hAnsi="Times New Roman" w:cs="Times New Roman"/>
        </w:rPr>
      </w:pPr>
      <w:r w:rsidRPr="00B83AB0">
        <w:rPr>
          <w:rStyle w:val="FootnoteReference"/>
          <w:rFonts w:ascii="Times New Roman" w:hAnsi="Times New Roman" w:cs="Times New Roman"/>
        </w:rPr>
        <w:footnoteRef/>
      </w:r>
      <w:r w:rsidRPr="00B83AB0">
        <w:rPr>
          <w:rFonts w:ascii="Times New Roman" w:hAnsi="Times New Roman" w:cs="Times New Roman"/>
        </w:rPr>
        <w:t xml:space="preserve"> Sarah Deutsch, “Women and the city: gender, space, and power in Boston, 1870-1940.” New York: Oxford University Press 2000, 54.</w:t>
      </w:r>
    </w:p>
  </w:footnote>
  <w:footnote w:id="25">
    <w:p w14:paraId="781A34F3" w14:textId="77777777" w:rsidR="00AD6787" w:rsidRPr="00B83AB0" w:rsidRDefault="00AD6787" w:rsidP="00AD6787">
      <w:pPr>
        <w:pStyle w:val="FootnoteText"/>
        <w:rPr>
          <w:rFonts w:ascii="Times New Roman" w:hAnsi="Times New Roman" w:cs="Times New Roman"/>
        </w:rPr>
      </w:pPr>
      <w:r w:rsidRPr="00B83AB0">
        <w:rPr>
          <w:rStyle w:val="FootnoteReference"/>
          <w:rFonts w:ascii="Times New Roman" w:hAnsi="Times New Roman" w:cs="Times New Roman"/>
        </w:rPr>
        <w:footnoteRef/>
      </w:r>
      <w:r w:rsidRPr="00B83AB0">
        <w:rPr>
          <w:rFonts w:ascii="Times New Roman" w:hAnsi="Times New Roman" w:cs="Times New Roman"/>
        </w:rPr>
        <w:t xml:space="preserve"> Ibid, p. 58</w:t>
      </w:r>
    </w:p>
  </w:footnote>
  <w:footnote w:id="26">
    <w:p w14:paraId="206E5719" w14:textId="77777777" w:rsidR="00AD6787" w:rsidRPr="00B83AB0" w:rsidRDefault="00AD6787" w:rsidP="00AD6787">
      <w:pPr>
        <w:pStyle w:val="FootnoteText"/>
        <w:rPr>
          <w:rFonts w:ascii="Times New Roman" w:hAnsi="Times New Roman" w:cs="Times New Roman"/>
        </w:rPr>
      </w:pPr>
      <w:r w:rsidRPr="00B83AB0">
        <w:rPr>
          <w:rStyle w:val="FootnoteReference"/>
          <w:rFonts w:ascii="Times New Roman" w:hAnsi="Times New Roman" w:cs="Times New Roman"/>
        </w:rPr>
        <w:footnoteRef/>
      </w:r>
      <w:r w:rsidRPr="00B83AB0">
        <w:rPr>
          <w:rFonts w:ascii="Times New Roman" w:hAnsi="Times New Roman" w:cs="Times New Roman"/>
        </w:rPr>
        <w:t xml:space="preserve"> Ibid, p. 60</w:t>
      </w:r>
    </w:p>
  </w:footnote>
  <w:footnote w:id="27">
    <w:p w14:paraId="441027A2" w14:textId="77777777" w:rsidR="00AD6787" w:rsidRDefault="00AD6787" w:rsidP="00AD6787">
      <w:pPr>
        <w:pStyle w:val="FootnoteText"/>
      </w:pPr>
      <w:r w:rsidRPr="00B83AB0">
        <w:rPr>
          <w:rStyle w:val="FootnoteReference"/>
          <w:rFonts w:ascii="Times New Roman" w:hAnsi="Times New Roman" w:cs="Times New Roman"/>
        </w:rPr>
        <w:footnoteRef/>
      </w:r>
      <w:r w:rsidRPr="00B83AB0">
        <w:rPr>
          <w:rFonts w:ascii="Times New Roman" w:hAnsi="Times New Roman" w:cs="Times New Roman"/>
        </w:rPr>
        <w:t xml:space="preserve"> Ibid, p. 55.</w:t>
      </w:r>
    </w:p>
  </w:footnote>
  <w:footnote w:id="28">
    <w:p w14:paraId="3ACD4B9E" w14:textId="77777777" w:rsidR="00AD6787" w:rsidRPr="00D92AB3" w:rsidRDefault="00AD6787" w:rsidP="00AD6787">
      <w:pPr>
        <w:pStyle w:val="FootnoteText"/>
        <w:rPr>
          <w:rFonts w:ascii="Times New Roman" w:hAnsi="Times New Roman" w:cs="Times New Roman"/>
        </w:rPr>
      </w:pPr>
      <w:r w:rsidRPr="00D92AB3">
        <w:rPr>
          <w:rStyle w:val="FootnoteReference"/>
          <w:rFonts w:ascii="Times New Roman" w:hAnsi="Times New Roman" w:cs="Times New Roman"/>
        </w:rPr>
        <w:footnoteRef/>
      </w:r>
      <w:r w:rsidRPr="00D92AB3">
        <w:rPr>
          <w:rFonts w:ascii="Times New Roman" w:hAnsi="Times New Roman" w:cs="Times New Roman"/>
        </w:rPr>
        <w:t xml:space="preserve"> Estelle Freedman, “Smashing the Masher” in </w:t>
      </w:r>
      <w:r w:rsidRPr="00D92AB3">
        <w:rPr>
          <w:rFonts w:ascii="Times New Roman" w:hAnsi="Times New Roman" w:cs="Times New Roman"/>
          <w:i/>
        </w:rPr>
        <w:t>Redefining Rape</w:t>
      </w:r>
      <w:r w:rsidRPr="00D92AB3">
        <w:rPr>
          <w:rFonts w:ascii="Times New Roman" w:hAnsi="Times New Roman" w:cs="Times New Roman"/>
        </w:rPr>
        <w:t>, 2013, 199.</w:t>
      </w:r>
    </w:p>
  </w:footnote>
  <w:footnote w:id="29">
    <w:p w14:paraId="70DAB719" w14:textId="77777777" w:rsidR="00AD6787" w:rsidRPr="00D92AB3" w:rsidRDefault="00AD6787" w:rsidP="00AD6787">
      <w:pPr>
        <w:pStyle w:val="FootnoteText"/>
        <w:rPr>
          <w:rFonts w:ascii="Times New Roman" w:hAnsi="Times New Roman" w:cs="Times New Roman"/>
        </w:rPr>
      </w:pPr>
      <w:r w:rsidRPr="00D92AB3">
        <w:rPr>
          <w:rStyle w:val="FootnoteReference"/>
          <w:rFonts w:ascii="Times New Roman" w:hAnsi="Times New Roman" w:cs="Times New Roman"/>
        </w:rPr>
        <w:footnoteRef/>
      </w:r>
      <w:r>
        <w:rPr>
          <w:rFonts w:ascii="Times New Roman" w:hAnsi="Times New Roman" w:cs="Times New Roman"/>
        </w:rPr>
        <w:t xml:space="preserve"> Ibid</w:t>
      </w:r>
      <w:r w:rsidRPr="00D92AB3">
        <w:rPr>
          <w:rFonts w:ascii="Times New Roman" w:hAnsi="Times New Roman" w:cs="Times New Roman"/>
        </w:rPr>
        <w:t>, 192.</w:t>
      </w:r>
    </w:p>
  </w:footnote>
  <w:footnote w:id="30">
    <w:p w14:paraId="11AF3DF5" w14:textId="77777777" w:rsidR="00AD6787" w:rsidRDefault="00AD6787" w:rsidP="00AD6787">
      <w:pPr>
        <w:pStyle w:val="FootnoteText"/>
      </w:pPr>
      <w:r w:rsidRPr="00D92AB3">
        <w:rPr>
          <w:rStyle w:val="FootnoteReference"/>
          <w:rFonts w:ascii="Times New Roman" w:hAnsi="Times New Roman" w:cs="Times New Roman"/>
        </w:rPr>
        <w:footnoteRef/>
      </w:r>
      <w:r w:rsidRPr="00D92AB3">
        <w:rPr>
          <w:rFonts w:ascii="Times New Roman" w:hAnsi="Times New Roman" w:cs="Times New Roman"/>
        </w:rPr>
        <w:t xml:space="preserve"> </w:t>
      </w:r>
      <w:r>
        <w:rPr>
          <w:rFonts w:ascii="Times New Roman" w:hAnsi="Times New Roman" w:cs="Times New Roman"/>
        </w:rPr>
        <w:t>Ibid.</w:t>
      </w:r>
      <w:r w:rsidRPr="00D92AB3">
        <w:rPr>
          <w:rFonts w:ascii="Times New Roman" w:hAnsi="Times New Roman" w:cs="Times New Roman"/>
        </w:rPr>
        <w:t>, 206</w:t>
      </w:r>
      <w:r w:rsidRPr="00773784">
        <w:rPr>
          <w:rFonts w:ascii="Times New Roman" w:hAnsi="Times New Roman" w:cs="Times New Roman"/>
        </w:rPr>
        <w:t>.</w:t>
      </w:r>
    </w:p>
  </w:footnote>
  <w:footnote w:id="31">
    <w:p w14:paraId="0AE8ADDC" w14:textId="77777777" w:rsidR="00AD6787" w:rsidRPr="007E593C" w:rsidRDefault="00AD6787" w:rsidP="00AD6787">
      <w:pPr>
        <w:pStyle w:val="FootnoteText"/>
        <w:rPr>
          <w:rFonts w:ascii="Times New Roman" w:hAnsi="Times New Roman" w:cs="Times New Roman"/>
        </w:rPr>
      </w:pPr>
      <w:r w:rsidRPr="007E593C">
        <w:rPr>
          <w:rStyle w:val="FootnoteReference"/>
          <w:rFonts w:ascii="Times New Roman" w:hAnsi="Times New Roman" w:cs="Times New Roman"/>
        </w:rPr>
        <w:footnoteRef/>
      </w:r>
      <w:r w:rsidRPr="007E593C">
        <w:rPr>
          <w:rFonts w:ascii="Times New Roman" w:hAnsi="Times New Roman" w:cs="Times New Roman"/>
        </w:rPr>
        <w:t xml:space="preserve"> Eleanor Gates, “Girl Who Travels Alone,” Cosmopolitan XLII, 1906</w:t>
      </w:r>
      <w:r>
        <w:rPr>
          <w:rFonts w:ascii="Times New Roman" w:hAnsi="Times New Roman" w:cs="Times New Roman"/>
        </w:rPr>
        <w:t>, 170</w:t>
      </w:r>
      <w:r w:rsidRPr="007E593C">
        <w:rPr>
          <w:rFonts w:ascii="Times New Roman" w:hAnsi="Times New Roman" w:cs="Times New Roman"/>
        </w:rPr>
        <w:t>.</w:t>
      </w:r>
    </w:p>
  </w:footnote>
  <w:footnote w:id="32">
    <w:p w14:paraId="1B6279D6" w14:textId="77777777" w:rsidR="00AD6787" w:rsidRPr="005A038F" w:rsidRDefault="00AD6787" w:rsidP="00AD6787">
      <w:pPr>
        <w:pStyle w:val="FootnoteText"/>
        <w:rPr>
          <w:rFonts w:ascii="Times New Roman" w:hAnsi="Times New Roman" w:cs="Times New Roman"/>
        </w:rPr>
      </w:pPr>
      <w:r w:rsidRPr="005A038F">
        <w:rPr>
          <w:rStyle w:val="FootnoteReference"/>
          <w:rFonts w:ascii="Times New Roman" w:hAnsi="Times New Roman" w:cs="Times New Roman"/>
        </w:rPr>
        <w:footnoteRef/>
      </w:r>
      <w:r w:rsidRPr="005A038F">
        <w:rPr>
          <w:rFonts w:ascii="Times New Roman" w:hAnsi="Times New Roman" w:cs="Times New Roman"/>
        </w:rPr>
        <w:t xml:space="preserve"> Ibid., 169.</w:t>
      </w:r>
    </w:p>
  </w:footnote>
  <w:footnote w:id="33">
    <w:p w14:paraId="2BE8C0F7" w14:textId="77777777" w:rsidR="00AD6787" w:rsidRDefault="00AD6787" w:rsidP="00AD6787">
      <w:pPr>
        <w:pStyle w:val="FootnoteText"/>
      </w:pPr>
      <w:r w:rsidRPr="005A038F">
        <w:rPr>
          <w:rStyle w:val="FootnoteReference"/>
          <w:rFonts w:ascii="Times New Roman" w:hAnsi="Times New Roman" w:cs="Times New Roman"/>
        </w:rPr>
        <w:footnoteRef/>
      </w:r>
      <w:r w:rsidRPr="005A038F">
        <w:rPr>
          <w:rFonts w:ascii="Times New Roman" w:hAnsi="Times New Roman" w:cs="Times New Roman"/>
        </w:rPr>
        <w:t xml:space="preserve"> Ibid.</w:t>
      </w:r>
    </w:p>
  </w:footnote>
  <w:footnote w:id="34">
    <w:p w14:paraId="1B3F7C61" w14:textId="77777777" w:rsidR="00AD6787" w:rsidRPr="000020BD" w:rsidRDefault="00AD6787" w:rsidP="00AD6787">
      <w:pPr>
        <w:pStyle w:val="FootnoteText"/>
        <w:rPr>
          <w:rFonts w:ascii="Times New Roman" w:hAnsi="Times New Roman" w:cs="Times New Roman"/>
        </w:rPr>
      </w:pPr>
      <w:r w:rsidRPr="000020BD">
        <w:rPr>
          <w:rStyle w:val="FootnoteReference"/>
          <w:rFonts w:ascii="Times New Roman" w:hAnsi="Times New Roman" w:cs="Times New Roman"/>
        </w:rPr>
        <w:footnoteRef/>
      </w:r>
      <w:r w:rsidRPr="000020BD">
        <w:rPr>
          <w:rFonts w:ascii="Times New Roman" w:hAnsi="Times New Roman" w:cs="Times New Roman"/>
        </w:rPr>
        <w:t xml:space="preserve"> Estelle Freedman, “Smashing the Masher” in </w:t>
      </w:r>
      <w:r w:rsidRPr="000020BD">
        <w:rPr>
          <w:rFonts w:ascii="Times New Roman" w:hAnsi="Times New Roman" w:cs="Times New Roman"/>
          <w:i/>
        </w:rPr>
        <w:t>Redefining Rape</w:t>
      </w:r>
      <w:r w:rsidRPr="000020BD">
        <w:rPr>
          <w:rFonts w:ascii="Times New Roman" w:hAnsi="Times New Roman" w:cs="Times New Roman"/>
        </w:rPr>
        <w:t>, 2013, 209.</w:t>
      </w:r>
    </w:p>
  </w:footnote>
  <w:footnote w:id="35">
    <w:p w14:paraId="2A6C0964" w14:textId="77777777" w:rsidR="00175230" w:rsidRPr="004C46E8" w:rsidRDefault="00175230" w:rsidP="00175230">
      <w:pPr>
        <w:pStyle w:val="FootnoteText"/>
        <w:rPr>
          <w:rFonts w:ascii="Times New Roman" w:hAnsi="Times New Roman" w:cs="Times New Roman"/>
        </w:rPr>
      </w:pPr>
      <w:r w:rsidRPr="004C46E8">
        <w:rPr>
          <w:rStyle w:val="FootnoteReference"/>
          <w:rFonts w:ascii="Times New Roman" w:hAnsi="Times New Roman" w:cs="Times New Roman"/>
        </w:rPr>
        <w:footnoteRef/>
      </w:r>
      <w:r w:rsidRPr="004C46E8">
        <w:rPr>
          <w:rFonts w:ascii="Times New Roman" w:hAnsi="Times New Roman" w:cs="Times New Roman"/>
        </w:rPr>
        <w:t xml:space="preserve">  </w:t>
      </w:r>
      <w:r>
        <w:rPr>
          <w:rFonts w:ascii="Times New Roman" w:hAnsi="Times New Roman" w:cs="Times New Roman"/>
        </w:rPr>
        <w:t>Matthew Lakin, “A Dark Night.</w:t>
      </w:r>
      <w:r w:rsidRPr="004C46E8">
        <w:rPr>
          <w:rFonts w:ascii="Times New Roman" w:hAnsi="Times New Roman" w:cs="Times New Roman"/>
        </w:rPr>
        <w:t>” J. East TN History 2000, 9.</w:t>
      </w:r>
    </w:p>
    <w:p w14:paraId="0DB1146E" w14:textId="77777777" w:rsidR="00175230" w:rsidRDefault="00175230" w:rsidP="00175230">
      <w:pPr>
        <w:pStyle w:val="FootnoteText"/>
      </w:pPr>
    </w:p>
  </w:footnote>
  <w:footnote w:id="36">
    <w:p w14:paraId="5D696C51" w14:textId="77777777" w:rsidR="00175230" w:rsidRPr="000254BC" w:rsidRDefault="00175230" w:rsidP="00175230">
      <w:pPr>
        <w:pStyle w:val="FootnoteText"/>
        <w:rPr>
          <w:rFonts w:ascii="Times New Roman" w:hAnsi="Times New Roman" w:cs="Times New Roman"/>
        </w:rPr>
      </w:pPr>
      <w:r w:rsidRPr="000254BC">
        <w:rPr>
          <w:rStyle w:val="FootnoteReference"/>
          <w:rFonts w:ascii="Times New Roman" w:hAnsi="Times New Roman" w:cs="Times New Roman"/>
        </w:rPr>
        <w:footnoteRef/>
      </w:r>
      <w:r w:rsidRPr="000254BC">
        <w:rPr>
          <w:rFonts w:ascii="Times New Roman" w:hAnsi="Times New Roman" w:cs="Times New Roman"/>
        </w:rPr>
        <w:t xml:space="preserve"> Ibid., p. 10</w:t>
      </w:r>
    </w:p>
  </w:footnote>
  <w:footnote w:id="37">
    <w:p w14:paraId="306D4DA6" w14:textId="77777777" w:rsidR="00175230" w:rsidRPr="000254BC" w:rsidRDefault="00175230" w:rsidP="00175230">
      <w:pPr>
        <w:pStyle w:val="FootnoteText"/>
        <w:rPr>
          <w:rFonts w:ascii="Times New Roman" w:hAnsi="Times New Roman" w:cs="Times New Roman"/>
        </w:rPr>
      </w:pPr>
      <w:r w:rsidRPr="000254BC">
        <w:rPr>
          <w:rStyle w:val="FootnoteReference"/>
          <w:rFonts w:ascii="Times New Roman" w:hAnsi="Times New Roman" w:cs="Times New Roman"/>
        </w:rPr>
        <w:footnoteRef/>
      </w:r>
      <w:r w:rsidRPr="000254BC">
        <w:rPr>
          <w:rFonts w:ascii="Times New Roman" w:hAnsi="Times New Roman" w:cs="Times New Roman"/>
        </w:rPr>
        <w:t xml:space="preserve"> Equal Justice Initiative, “Lynching in America.” 2017.</w:t>
      </w:r>
    </w:p>
  </w:footnote>
  <w:footnote w:id="38">
    <w:p w14:paraId="6C489432" w14:textId="77777777" w:rsidR="00175230" w:rsidRPr="000254BC" w:rsidRDefault="00175230" w:rsidP="00175230">
      <w:pPr>
        <w:pStyle w:val="FootnoteText"/>
        <w:rPr>
          <w:rFonts w:ascii="Times New Roman" w:hAnsi="Times New Roman" w:cs="Times New Roman"/>
        </w:rPr>
      </w:pPr>
      <w:r w:rsidRPr="000254BC">
        <w:rPr>
          <w:rStyle w:val="FootnoteReference"/>
          <w:rFonts w:ascii="Times New Roman" w:hAnsi="Times New Roman" w:cs="Times New Roman"/>
        </w:rPr>
        <w:footnoteRef/>
      </w:r>
      <w:r w:rsidRPr="000254BC">
        <w:rPr>
          <w:rFonts w:ascii="Times New Roman" w:hAnsi="Times New Roman" w:cs="Times New Roman"/>
        </w:rPr>
        <w:t xml:space="preserve"> Elizabeth Alice Clement, and ProQuest. “</w:t>
      </w:r>
      <w:r w:rsidRPr="000254BC">
        <w:rPr>
          <w:rFonts w:ascii="Times New Roman" w:hAnsi="Times New Roman" w:cs="Times New Roman"/>
          <w:iCs/>
        </w:rPr>
        <w:t>Love for Sale: Courting, Treating, and Prostitution in New York City, 1900-1945</w:t>
      </w:r>
      <w:r w:rsidRPr="000254BC">
        <w:rPr>
          <w:rFonts w:ascii="Times New Roman" w:hAnsi="Times New Roman" w:cs="Times New Roman"/>
        </w:rPr>
        <w:t>.” Gender &amp; American Culture. Chapel Hill: University of North Carolina Press, 2006, 145.</w:t>
      </w:r>
    </w:p>
    <w:p w14:paraId="376A3987" w14:textId="77777777" w:rsidR="00175230" w:rsidRPr="000254BC" w:rsidRDefault="00175230" w:rsidP="00175230">
      <w:pPr>
        <w:pStyle w:val="FootnoteText"/>
        <w:rPr>
          <w:rFonts w:ascii="Times New Roman" w:hAnsi="Times New Roman" w:cs="Times New Roman"/>
        </w:rPr>
      </w:pPr>
    </w:p>
  </w:footnote>
  <w:footnote w:id="39">
    <w:p w14:paraId="012DB129" w14:textId="77777777" w:rsidR="00175230" w:rsidRPr="007117F1" w:rsidRDefault="00175230" w:rsidP="00175230">
      <w:pPr>
        <w:pStyle w:val="FootnoteText"/>
        <w:rPr>
          <w:rFonts w:ascii="Times New Roman" w:hAnsi="Times New Roman" w:cs="Times New Roman"/>
        </w:rPr>
      </w:pPr>
      <w:r w:rsidRPr="00DA64EA">
        <w:rPr>
          <w:rStyle w:val="FootnoteReference"/>
          <w:rFonts w:ascii="Times New Roman" w:hAnsi="Times New Roman" w:cs="Times New Roman"/>
        </w:rPr>
        <w:footnoteRef/>
      </w:r>
      <w:r w:rsidRPr="00DA64EA">
        <w:rPr>
          <w:rFonts w:ascii="Times New Roman" w:hAnsi="Times New Roman" w:cs="Times New Roman"/>
        </w:rPr>
        <w:t xml:space="preserve"> Mary Louis Roberts, “</w:t>
      </w:r>
      <w:r w:rsidRPr="007117F1">
        <w:rPr>
          <w:rFonts w:ascii="Times New Roman" w:hAnsi="Times New Roman" w:cs="Times New Roman"/>
          <w:iCs/>
        </w:rPr>
        <w:t>What Soldiers Do: Sex and the American GI in World War II France</w:t>
      </w:r>
      <w:r w:rsidRPr="007117F1">
        <w:rPr>
          <w:rFonts w:ascii="Times New Roman" w:hAnsi="Times New Roman" w:cs="Times New Roman"/>
        </w:rPr>
        <w:t>.” 2013, 11.</w:t>
      </w:r>
    </w:p>
  </w:footnote>
  <w:footnote w:id="40">
    <w:p w14:paraId="50F21F73" w14:textId="77777777" w:rsidR="00175230" w:rsidRDefault="00175230" w:rsidP="00175230">
      <w:pPr>
        <w:pStyle w:val="FootnoteText"/>
      </w:pPr>
      <w:r w:rsidRPr="00DA64EA">
        <w:rPr>
          <w:rStyle w:val="FootnoteReference"/>
          <w:rFonts w:ascii="Times New Roman" w:hAnsi="Times New Roman" w:cs="Times New Roman"/>
        </w:rPr>
        <w:footnoteRef/>
      </w:r>
      <w:r w:rsidRPr="00DA64EA">
        <w:rPr>
          <w:rFonts w:ascii="Times New Roman" w:hAnsi="Times New Roman" w:cs="Times New Roman"/>
        </w:rPr>
        <w:t xml:space="preserve"> Ibid</w:t>
      </w:r>
      <w:r>
        <w:rPr>
          <w:rFonts w:ascii="Times New Roman" w:hAnsi="Times New Roman" w:cs="Times New Roman"/>
        </w:rPr>
        <w:t>.</w:t>
      </w:r>
    </w:p>
  </w:footnote>
  <w:footnote w:id="41">
    <w:p w14:paraId="73AD6966" w14:textId="77777777" w:rsidR="00175230" w:rsidRPr="001D0503" w:rsidRDefault="00175230" w:rsidP="00175230">
      <w:pPr>
        <w:pStyle w:val="FootnoteText"/>
        <w:rPr>
          <w:rFonts w:ascii="Times New Roman" w:hAnsi="Times New Roman" w:cs="Times New Roman"/>
        </w:rPr>
      </w:pPr>
      <w:r w:rsidRPr="001D0503">
        <w:rPr>
          <w:rStyle w:val="FootnoteReference"/>
          <w:rFonts w:ascii="Times New Roman" w:hAnsi="Times New Roman" w:cs="Times New Roman"/>
        </w:rPr>
        <w:footnoteRef/>
      </w:r>
      <w:r w:rsidRPr="001D0503">
        <w:rPr>
          <w:rFonts w:ascii="Times New Roman" w:hAnsi="Times New Roman" w:cs="Times New Roman"/>
        </w:rPr>
        <w:t xml:space="preserve"> Ibid.</w:t>
      </w:r>
    </w:p>
  </w:footnote>
  <w:footnote w:id="42">
    <w:p w14:paraId="5EB16590" w14:textId="77777777" w:rsidR="00175230" w:rsidRPr="001E40AA" w:rsidRDefault="00175230" w:rsidP="00175230">
      <w:pPr>
        <w:pStyle w:val="FootnoteText"/>
        <w:rPr>
          <w:rFonts w:ascii="Times New Roman" w:hAnsi="Times New Roman" w:cs="Times New Roman"/>
        </w:rPr>
      </w:pPr>
      <w:r w:rsidRPr="001E40AA">
        <w:rPr>
          <w:rStyle w:val="FootnoteReference"/>
          <w:rFonts w:ascii="Times New Roman" w:hAnsi="Times New Roman" w:cs="Times New Roman"/>
        </w:rPr>
        <w:footnoteRef/>
      </w:r>
      <w:r w:rsidRPr="001E40AA">
        <w:rPr>
          <w:rFonts w:ascii="Times New Roman" w:hAnsi="Times New Roman" w:cs="Times New Roman"/>
        </w:rPr>
        <w:t xml:space="preserve"> Henry Levin and George Wells. “Where the Boys Are.” </w:t>
      </w:r>
      <w:proofErr w:type="spellStart"/>
      <w:r w:rsidRPr="001E40AA">
        <w:rPr>
          <w:rFonts w:ascii="Times New Roman" w:hAnsi="Times New Roman" w:cs="Times New Roman"/>
        </w:rPr>
        <w:t>Metrocolor</w:t>
      </w:r>
      <w:proofErr w:type="spellEnd"/>
      <w:r w:rsidRPr="001E40AA">
        <w:rPr>
          <w:rFonts w:ascii="Times New Roman" w:hAnsi="Times New Roman" w:cs="Times New Roman"/>
        </w:rPr>
        <w:t>, 1960. Video.</w:t>
      </w:r>
    </w:p>
  </w:footnote>
  <w:footnote w:id="43">
    <w:p w14:paraId="56923AB9" w14:textId="77777777" w:rsidR="00175230" w:rsidRPr="001E40AA" w:rsidRDefault="00175230" w:rsidP="00175230">
      <w:pPr>
        <w:pStyle w:val="FootnoteText"/>
        <w:rPr>
          <w:rFonts w:ascii="Times New Roman" w:hAnsi="Times New Roman" w:cs="Times New Roman"/>
        </w:rPr>
      </w:pPr>
      <w:r w:rsidRPr="001E40AA">
        <w:rPr>
          <w:rStyle w:val="FootnoteReference"/>
          <w:rFonts w:ascii="Times New Roman" w:hAnsi="Times New Roman" w:cs="Times New Roman"/>
        </w:rPr>
        <w:footnoteRef/>
      </w:r>
      <w:r w:rsidRPr="001E40AA">
        <w:rPr>
          <w:rFonts w:ascii="Times New Roman" w:hAnsi="Times New Roman" w:cs="Times New Roman"/>
        </w:rPr>
        <w:t xml:space="preserve"> Lisa Lindquist Door, “The Perils of the Back Seat: Date Rape, Race and Gender in 1950s America.” </w:t>
      </w:r>
      <w:r w:rsidRPr="001E40AA">
        <w:rPr>
          <w:rFonts w:ascii="Times New Roman" w:hAnsi="Times New Roman" w:cs="Times New Roman"/>
          <w:i/>
          <w:iCs/>
        </w:rPr>
        <w:t>Gender &amp; History</w:t>
      </w:r>
      <w:r w:rsidRPr="001E40AA">
        <w:rPr>
          <w:rFonts w:ascii="Times New Roman" w:hAnsi="Times New Roman" w:cs="Times New Roman"/>
        </w:rPr>
        <w:t xml:space="preserve">. 2008, 27. </w:t>
      </w:r>
    </w:p>
  </w:footnote>
  <w:footnote w:id="44">
    <w:p w14:paraId="42E3BD3F" w14:textId="77777777" w:rsidR="00175230" w:rsidRPr="001E40AA" w:rsidRDefault="00175230" w:rsidP="00175230">
      <w:pPr>
        <w:pStyle w:val="FootnoteText"/>
        <w:rPr>
          <w:rFonts w:ascii="Times New Roman" w:hAnsi="Times New Roman" w:cs="Times New Roman"/>
        </w:rPr>
      </w:pPr>
      <w:r w:rsidRPr="001E40AA">
        <w:rPr>
          <w:rStyle w:val="FootnoteReference"/>
          <w:rFonts w:ascii="Times New Roman" w:hAnsi="Times New Roman" w:cs="Times New Roman"/>
        </w:rPr>
        <w:footnoteRef/>
      </w:r>
      <w:r w:rsidRPr="001E40AA">
        <w:rPr>
          <w:rFonts w:ascii="Times New Roman" w:hAnsi="Times New Roman" w:cs="Times New Roman"/>
        </w:rPr>
        <w:t xml:space="preserve"> Ibid., p. 28.</w:t>
      </w:r>
    </w:p>
  </w:footnote>
  <w:footnote w:id="45">
    <w:p w14:paraId="35E00543" w14:textId="77777777" w:rsidR="00175230" w:rsidRPr="00EE2BA7" w:rsidRDefault="00175230" w:rsidP="00175230">
      <w:pPr>
        <w:pStyle w:val="FootnoteText"/>
        <w:rPr>
          <w:rFonts w:ascii="Times New Roman" w:hAnsi="Times New Roman" w:cs="Times New Roman"/>
        </w:rPr>
      </w:pPr>
      <w:r w:rsidRPr="001E40AA">
        <w:rPr>
          <w:rStyle w:val="FootnoteReference"/>
          <w:rFonts w:ascii="Times New Roman" w:hAnsi="Times New Roman" w:cs="Times New Roman"/>
        </w:rPr>
        <w:footnoteRef/>
      </w:r>
      <w:r w:rsidRPr="001E40AA">
        <w:rPr>
          <w:rFonts w:ascii="Times New Roman" w:hAnsi="Times New Roman" w:cs="Times New Roman"/>
        </w:rPr>
        <w:t xml:space="preserve"> Estelle Freedman</w:t>
      </w:r>
      <w:r w:rsidRPr="00EE2BA7">
        <w:rPr>
          <w:rFonts w:ascii="Times New Roman" w:hAnsi="Times New Roman" w:cs="Times New Roman"/>
        </w:rPr>
        <w:t xml:space="preserve">, “Scottsboro and Its Legacies” in </w:t>
      </w:r>
      <w:r w:rsidRPr="00EE2BA7">
        <w:rPr>
          <w:rFonts w:ascii="Times New Roman" w:hAnsi="Times New Roman" w:cs="Times New Roman"/>
          <w:i/>
        </w:rPr>
        <w:t>Redefining Rape</w:t>
      </w:r>
      <w:r w:rsidRPr="00EE2BA7">
        <w:rPr>
          <w:rFonts w:ascii="Times New Roman" w:hAnsi="Times New Roman" w:cs="Times New Roman"/>
        </w:rPr>
        <w:t>, 2013, 253.</w:t>
      </w:r>
    </w:p>
  </w:footnote>
  <w:footnote w:id="46">
    <w:p w14:paraId="6E3699FA" w14:textId="77777777" w:rsidR="00175230" w:rsidRPr="009E75C7" w:rsidRDefault="00175230" w:rsidP="00175230">
      <w:pPr>
        <w:pStyle w:val="FootnoteText"/>
        <w:rPr>
          <w:rFonts w:ascii="Times New Roman" w:hAnsi="Times New Roman" w:cs="Times New Roman"/>
        </w:rPr>
      </w:pPr>
      <w:r w:rsidRPr="009E75C7">
        <w:rPr>
          <w:rStyle w:val="FootnoteReference"/>
          <w:rFonts w:ascii="Times New Roman" w:hAnsi="Times New Roman" w:cs="Times New Roman"/>
        </w:rPr>
        <w:footnoteRef/>
      </w:r>
      <w:r w:rsidRPr="009E75C7">
        <w:rPr>
          <w:rFonts w:ascii="Times New Roman" w:hAnsi="Times New Roman" w:cs="Times New Roman"/>
        </w:rPr>
        <w:t xml:space="preserve"> Ibid.</w:t>
      </w:r>
    </w:p>
  </w:footnote>
  <w:footnote w:id="47">
    <w:p w14:paraId="3FBE0654" w14:textId="77777777" w:rsidR="00175230" w:rsidRPr="00EE2BA7" w:rsidRDefault="00175230" w:rsidP="00175230">
      <w:pPr>
        <w:pStyle w:val="FootnoteText"/>
        <w:rPr>
          <w:rFonts w:ascii="Times New Roman" w:hAnsi="Times New Roman" w:cs="Times New Roman"/>
        </w:rPr>
      </w:pPr>
      <w:r w:rsidRPr="00EE2BA7">
        <w:rPr>
          <w:rStyle w:val="FootnoteReference"/>
          <w:rFonts w:ascii="Times New Roman" w:hAnsi="Times New Roman" w:cs="Times New Roman"/>
        </w:rPr>
        <w:footnoteRef/>
      </w:r>
      <w:r w:rsidRPr="00EE2BA7">
        <w:rPr>
          <w:rFonts w:ascii="Times New Roman" w:hAnsi="Times New Roman" w:cs="Times New Roman"/>
        </w:rPr>
        <w:t xml:space="preserve"> Ibid.</w:t>
      </w:r>
    </w:p>
  </w:footnote>
  <w:footnote w:id="48">
    <w:p w14:paraId="78059DC1" w14:textId="77777777" w:rsidR="00175230" w:rsidRPr="00EE2BA7" w:rsidRDefault="00175230" w:rsidP="00175230">
      <w:pPr>
        <w:pStyle w:val="FootnoteText"/>
        <w:rPr>
          <w:rFonts w:ascii="Times New Roman" w:hAnsi="Times New Roman" w:cs="Times New Roman"/>
        </w:rPr>
      </w:pPr>
      <w:r w:rsidRPr="00EE2BA7">
        <w:rPr>
          <w:rStyle w:val="FootnoteReference"/>
          <w:rFonts w:ascii="Times New Roman" w:hAnsi="Times New Roman" w:cs="Times New Roman"/>
        </w:rPr>
        <w:footnoteRef/>
      </w:r>
      <w:r w:rsidRPr="00EE2BA7">
        <w:rPr>
          <w:rFonts w:ascii="Times New Roman" w:hAnsi="Times New Roman" w:cs="Times New Roman"/>
        </w:rPr>
        <w:t xml:space="preserve"> Ibid., p. 256.</w:t>
      </w:r>
    </w:p>
  </w:footnote>
  <w:footnote w:id="49">
    <w:p w14:paraId="0A81DBC5" w14:textId="77777777" w:rsidR="00175230" w:rsidRDefault="00175230" w:rsidP="00175230">
      <w:pPr>
        <w:pStyle w:val="FootnoteText"/>
      </w:pPr>
      <w:r w:rsidRPr="00EE2BA7">
        <w:rPr>
          <w:rStyle w:val="FootnoteReference"/>
          <w:rFonts w:ascii="Times New Roman" w:hAnsi="Times New Roman" w:cs="Times New Roman"/>
        </w:rPr>
        <w:footnoteRef/>
      </w:r>
      <w:r w:rsidRPr="00EE2BA7">
        <w:rPr>
          <w:rFonts w:ascii="Times New Roman" w:hAnsi="Times New Roman" w:cs="Times New Roman"/>
        </w:rPr>
        <w:t xml:space="preserve"> Ibid., p. 257.</w:t>
      </w:r>
    </w:p>
  </w:footnote>
  <w:footnote w:id="50">
    <w:p w14:paraId="32D8C259" w14:textId="77777777" w:rsidR="00175230" w:rsidRPr="000254BC" w:rsidRDefault="00175230" w:rsidP="00175230">
      <w:pPr>
        <w:pStyle w:val="FootnoteText"/>
        <w:rPr>
          <w:rFonts w:ascii="Times New Roman" w:hAnsi="Times New Roman" w:cs="Times New Roman"/>
        </w:rPr>
      </w:pPr>
      <w:r w:rsidRPr="000254BC">
        <w:rPr>
          <w:rStyle w:val="FootnoteReference"/>
          <w:rFonts w:ascii="Times New Roman" w:hAnsi="Times New Roman" w:cs="Times New Roman"/>
        </w:rPr>
        <w:footnoteRef/>
      </w:r>
      <w:r w:rsidRPr="000254BC">
        <w:rPr>
          <w:rFonts w:ascii="Times New Roman" w:hAnsi="Times New Roman" w:cs="Times New Roman"/>
        </w:rPr>
        <w:t xml:space="preserve"> Danielle L. McGuire, “</w:t>
      </w:r>
      <w:r w:rsidRPr="000254BC">
        <w:rPr>
          <w:rFonts w:ascii="Times New Roman" w:hAnsi="Times New Roman" w:cs="Times New Roman"/>
          <w:iCs/>
        </w:rPr>
        <w:t xml:space="preserve">At the Dark End of the Street: Black Women, Rape, and Resistance--A New History of the Civil Rights Movement </w:t>
      </w:r>
      <w:proofErr w:type="gramStart"/>
      <w:r w:rsidRPr="000254BC">
        <w:rPr>
          <w:rFonts w:ascii="Times New Roman" w:hAnsi="Times New Roman" w:cs="Times New Roman"/>
          <w:iCs/>
        </w:rPr>
        <w:t>From</w:t>
      </w:r>
      <w:proofErr w:type="gramEnd"/>
      <w:r w:rsidRPr="000254BC">
        <w:rPr>
          <w:rFonts w:ascii="Times New Roman" w:hAnsi="Times New Roman" w:cs="Times New Roman"/>
          <w:iCs/>
        </w:rPr>
        <w:t xml:space="preserve"> Rosa Parks to the Rise of Black Power</w:t>
      </w:r>
      <w:r w:rsidRPr="000254BC">
        <w:rPr>
          <w:rFonts w:ascii="Times New Roman" w:hAnsi="Times New Roman" w:cs="Times New Roman"/>
        </w:rPr>
        <w:t>.” Vol. 1st ed. New York: Vintage. 2010.</w:t>
      </w:r>
    </w:p>
  </w:footnote>
  <w:footnote w:id="51">
    <w:p w14:paraId="40A4A97F" w14:textId="77777777" w:rsidR="00175230" w:rsidRPr="000254BC" w:rsidRDefault="00175230" w:rsidP="00175230">
      <w:pPr>
        <w:pStyle w:val="FootnoteText"/>
        <w:rPr>
          <w:rFonts w:ascii="Times New Roman" w:hAnsi="Times New Roman" w:cs="Times New Roman"/>
        </w:rPr>
      </w:pPr>
      <w:r w:rsidRPr="000254BC">
        <w:rPr>
          <w:rStyle w:val="FootnoteReference"/>
          <w:rFonts w:ascii="Times New Roman" w:hAnsi="Times New Roman" w:cs="Times New Roman"/>
        </w:rPr>
        <w:footnoteRef/>
      </w:r>
      <w:r w:rsidRPr="000254BC">
        <w:rPr>
          <w:rFonts w:ascii="Times New Roman" w:hAnsi="Times New Roman" w:cs="Times New Roman"/>
        </w:rPr>
        <w:t xml:space="preserve"> Ibid.</w:t>
      </w:r>
    </w:p>
  </w:footnote>
  <w:footnote w:id="52">
    <w:p w14:paraId="08074CD3" w14:textId="77777777" w:rsidR="00175230" w:rsidRDefault="00175230" w:rsidP="00175230">
      <w:pPr>
        <w:pStyle w:val="FootnoteText"/>
      </w:pPr>
      <w:r w:rsidRPr="000254BC">
        <w:rPr>
          <w:rStyle w:val="FootnoteReference"/>
          <w:rFonts w:ascii="Times New Roman" w:hAnsi="Times New Roman" w:cs="Times New Roman"/>
        </w:rPr>
        <w:footnoteRef/>
      </w:r>
      <w:r w:rsidRPr="000254BC">
        <w:rPr>
          <w:rFonts w:ascii="Times New Roman" w:hAnsi="Times New Roman" w:cs="Times New Roman"/>
        </w:rPr>
        <w:t xml:space="preserve"> Ibid.</w:t>
      </w:r>
    </w:p>
  </w:footnote>
  <w:footnote w:id="53">
    <w:p w14:paraId="7E95F1FA" w14:textId="77777777" w:rsidR="0063747B" w:rsidRPr="00225066" w:rsidRDefault="0063747B" w:rsidP="0063747B">
      <w:pPr>
        <w:pStyle w:val="FootnoteText"/>
        <w:rPr>
          <w:rFonts w:ascii="Times New Roman" w:hAnsi="Times New Roman" w:cs="Times New Roman"/>
        </w:rPr>
      </w:pPr>
      <w:r w:rsidRPr="00225066">
        <w:rPr>
          <w:rStyle w:val="FootnoteReference"/>
          <w:rFonts w:ascii="Times New Roman" w:hAnsi="Times New Roman" w:cs="Times New Roman"/>
        </w:rPr>
        <w:footnoteRef/>
      </w:r>
      <w:r w:rsidRPr="00225066">
        <w:rPr>
          <w:rFonts w:ascii="Times New Roman" w:hAnsi="Times New Roman" w:cs="Times New Roman"/>
        </w:rPr>
        <w:t xml:space="preserve"> Gail Sheehy, “Nice Girls Don’t Get </w:t>
      </w:r>
      <w:proofErr w:type="gramStart"/>
      <w:r w:rsidRPr="00225066">
        <w:rPr>
          <w:rFonts w:ascii="Times New Roman" w:hAnsi="Times New Roman" w:cs="Times New Roman"/>
        </w:rPr>
        <w:t>Into</w:t>
      </w:r>
      <w:proofErr w:type="gramEnd"/>
      <w:r w:rsidRPr="00225066">
        <w:rPr>
          <w:rFonts w:ascii="Times New Roman" w:hAnsi="Times New Roman" w:cs="Times New Roman"/>
        </w:rPr>
        <w:t xml:space="preserve"> Trouble.” New York Magazine, </w:t>
      </w:r>
      <w:r w:rsidRPr="00225066">
        <w:rPr>
          <w:rFonts w:ascii="Times New Roman" w:hAnsi="Times New Roman" w:cs="Times New Roman"/>
          <w:i/>
        </w:rPr>
        <w:t>New York Magazine</w:t>
      </w:r>
      <w:r w:rsidRPr="00225066">
        <w:rPr>
          <w:rFonts w:ascii="Times New Roman" w:hAnsi="Times New Roman" w:cs="Times New Roman"/>
        </w:rPr>
        <w:t xml:space="preserve">, </w:t>
      </w:r>
      <w:r>
        <w:rPr>
          <w:rFonts w:ascii="Times New Roman" w:hAnsi="Times New Roman" w:cs="Times New Roman"/>
        </w:rPr>
        <w:t xml:space="preserve">February 15, </w:t>
      </w:r>
      <w:r w:rsidRPr="00225066">
        <w:rPr>
          <w:rFonts w:ascii="Times New Roman" w:hAnsi="Times New Roman" w:cs="Times New Roman"/>
        </w:rPr>
        <w:t>1971, 26.</w:t>
      </w:r>
    </w:p>
  </w:footnote>
  <w:footnote w:id="54">
    <w:p w14:paraId="597108BE" w14:textId="77777777" w:rsidR="0063747B" w:rsidRPr="00225066" w:rsidRDefault="0063747B" w:rsidP="0063747B">
      <w:pPr>
        <w:pStyle w:val="FootnoteText"/>
        <w:rPr>
          <w:rFonts w:ascii="Times New Roman" w:hAnsi="Times New Roman" w:cs="Times New Roman"/>
        </w:rPr>
      </w:pPr>
      <w:r w:rsidRPr="00225066">
        <w:rPr>
          <w:rStyle w:val="FootnoteReference"/>
          <w:rFonts w:ascii="Times New Roman" w:hAnsi="Times New Roman" w:cs="Times New Roman"/>
        </w:rPr>
        <w:footnoteRef/>
      </w:r>
      <w:r w:rsidRPr="00225066">
        <w:rPr>
          <w:rFonts w:ascii="Times New Roman" w:hAnsi="Times New Roman" w:cs="Times New Roman"/>
        </w:rPr>
        <w:t xml:space="preserve"> Ibid., p. 28.</w:t>
      </w:r>
    </w:p>
  </w:footnote>
  <w:footnote w:id="55">
    <w:p w14:paraId="606943DA" w14:textId="77777777" w:rsidR="0063747B" w:rsidRPr="00F7189C" w:rsidRDefault="0063747B" w:rsidP="0063747B">
      <w:pPr>
        <w:pStyle w:val="FootnoteText"/>
        <w:rPr>
          <w:rFonts w:ascii="Times New Roman" w:hAnsi="Times New Roman" w:cs="Times New Roman"/>
        </w:rPr>
      </w:pPr>
      <w:r w:rsidRPr="00F7189C">
        <w:rPr>
          <w:rStyle w:val="FootnoteReference"/>
          <w:rFonts w:ascii="Times New Roman" w:hAnsi="Times New Roman" w:cs="Times New Roman"/>
        </w:rPr>
        <w:footnoteRef/>
      </w:r>
      <w:r w:rsidRPr="00F7189C">
        <w:rPr>
          <w:rFonts w:ascii="Times New Roman" w:hAnsi="Times New Roman" w:cs="Times New Roman"/>
        </w:rPr>
        <w:t xml:space="preserve"> Estelle Freedmen, “The Enduring Politics of Rape” in </w:t>
      </w:r>
      <w:r w:rsidRPr="000F2B3D">
        <w:rPr>
          <w:rFonts w:ascii="Times New Roman" w:hAnsi="Times New Roman" w:cs="Times New Roman"/>
          <w:i/>
        </w:rPr>
        <w:t>Redefining Rape</w:t>
      </w:r>
      <w:r w:rsidRPr="00F7189C">
        <w:rPr>
          <w:rFonts w:ascii="Times New Roman" w:hAnsi="Times New Roman" w:cs="Times New Roman"/>
        </w:rPr>
        <w:t>, 2013, 283.</w:t>
      </w:r>
    </w:p>
  </w:footnote>
  <w:footnote w:id="56">
    <w:p w14:paraId="415CF270" w14:textId="77777777" w:rsidR="0063747B" w:rsidRPr="009A7F7E" w:rsidRDefault="0063747B" w:rsidP="0063747B">
      <w:pPr>
        <w:pStyle w:val="FootnoteText"/>
        <w:rPr>
          <w:rFonts w:ascii="Times New Roman" w:hAnsi="Times New Roman" w:cs="Times New Roman"/>
        </w:rPr>
      </w:pPr>
      <w:r w:rsidRPr="009A7F7E">
        <w:rPr>
          <w:rStyle w:val="FootnoteReference"/>
          <w:rFonts w:ascii="Times New Roman" w:hAnsi="Times New Roman" w:cs="Times New Roman"/>
        </w:rPr>
        <w:footnoteRef/>
      </w:r>
      <w:r w:rsidRPr="009A7F7E">
        <w:rPr>
          <w:rFonts w:ascii="Times New Roman" w:hAnsi="Times New Roman" w:cs="Times New Roman"/>
        </w:rPr>
        <w:t xml:space="preserve"> Ibid.</w:t>
      </w:r>
    </w:p>
  </w:footnote>
  <w:footnote w:id="57">
    <w:p w14:paraId="25CD9046" w14:textId="77777777" w:rsidR="0063747B" w:rsidRDefault="0063747B" w:rsidP="0063747B">
      <w:pPr>
        <w:pStyle w:val="FootnoteText"/>
      </w:pPr>
      <w:r w:rsidRPr="009A7F7E">
        <w:rPr>
          <w:rStyle w:val="FootnoteReference"/>
          <w:rFonts w:ascii="Times New Roman" w:hAnsi="Times New Roman" w:cs="Times New Roman"/>
        </w:rPr>
        <w:footnoteRef/>
      </w:r>
      <w:r w:rsidRPr="009A7F7E">
        <w:rPr>
          <w:rFonts w:ascii="Times New Roman" w:hAnsi="Times New Roman" w:cs="Times New Roman"/>
        </w:rPr>
        <w:t xml:space="preserve"> Ibid.</w:t>
      </w:r>
    </w:p>
  </w:footnote>
  <w:footnote w:id="58">
    <w:p w14:paraId="5A24A23F" w14:textId="77777777" w:rsidR="0063747B" w:rsidRPr="002E6831" w:rsidRDefault="0063747B" w:rsidP="0063747B">
      <w:pPr>
        <w:pStyle w:val="FootnoteText"/>
        <w:rPr>
          <w:rFonts w:ascii="Times New Roman" w:hAnsi="Times New Roman" w:cs="Times New Roman"/>
        </w:rPr>
      </w:pPr>
      <w:r w:rsidRPr="002E6831">
        <w:rPr>
          <w:rStyle w:val="FootnoteReference"/>
          <w:rFonts w:ascii="Times New Roman" w:hAnsi="Times New Roman" w:cs="Times New Roman"/>
        </w:rPr>
        <w:footnoteRef/>
      </w:r>
      <w:r w:rsidRPr="002E6831">
        <w:rPr>
          <w:rFonts w:ascii="Times New Roman" w:hAnsi="Times New Roman" w:cs="Times New Roman"/>
        </w:rPr>
        <w:t xml:space="preserve"> Susan </w:t>
      </w:r>
      <w:proofErr w:type="spellStart"/>
      <w:r w:rsidRPr="002E6831">
        <w:rPr>
          <w:rFonts w:ascii="Times New Roman" w:hAnsi="Times New Roman" w:cs="Times New Roman"/>
        </w:rPr>
        <w:t>Brownmiller</w:t>
      </w:r>
      <w:proofErr w:type="spellEnd"/>
      <w:r w:rsidRPr="002E6831">
        <w:rPr>
          <w:rFonts w:ascii="Times New Roman" w:hAnsi="Times New Roman" w:cs="Times New Roman"/>
        </w:rPr>
        <w:t xml:space="preserve">, “Women Fight Back” in </w:t>
      </w:r>
      <w:r w:rsidRPr="002E6831">
        <w:rPr>
          <w:rFonts w:ascii="Times New Roman" w:hAnsi="Times New Roman" w:cs="Times New Roman"/>
          <w:i/>
        </w:rPr>
        <w:t>Against Our Will</w:t>
      </w:r>
      <w:r w:rsidRPr="002E6831">
        <w:rPr>
          <w:rFonts w:ascii="Times New Roman" w:hAnsi="Times New Roman" w:cs="Times New Roman"/>
        </w:rPr>
        <w:t>, 1975,</w:t>
      </w:r>
      <w:r w:rsidRPr="002E6831">
        <w:rPr>
          <w:rFonts w:ascii="Times New Roman" w:hAnsi="Times New Roman" w:cs="Times New Roman"/>
          <w:i/>
        </w:rPr>
        <w:t xml:space="preserve"> </w:t>
      </w:r>
      <w:r w:rsidRPr="002E6831">
        <w:rPr>
          <w:rFonts w:ascii="Times New Roman" w:hAnsi="Times New Roman" w:cs="Times New Roman"/>
        </w:rPr>
        <w:t>397.</w:t>
      </w:r>
    </w:p>
  </w:footnote>
  <w:footnote w:id="59">
    <w:p w14:paraId="4A713C67" w14:textId="77777777" w:rsidR="0063747B" w:rsidRPr="002E6831" w:rsidRDefault="0063747B" w:rsidP="0063747B">
      <w:pPr>
        <w:pStyle w:val="FootnoteText"/>
        <w:rPr>
          <w:rFonts w:ascii="Times New Roman" w:hAnsi="Times New Roman" w:cs="Times New Roman"/>
        </w:rPr>
      </w:pPr>
      <w:r w:rsidRPr="002E6831">
        <w:rPr>
          <w:rStyle w:val="FootnoteReference"/>
          <w:rFonts w:ascii="Times New Roman" w:hAnsi="Times New Roman" w:cs="Times New Roman"/>
        </w:rPr>
        <w:footnoteRef/>
      </w:r>
      <w:r w:rsidRPr="002E6831">
        <w:rPr>
          <w:rFonts w:ascii="Times New Roman" w:hAnsi="Times New Roman" w:cs="Times New Roman"/>
        </w:rPr>
        <w:t xml:space="preserve"> Ibid.</w:t>
      </w:r>
    </w:p>
  </w:footnote>
  <w:footnote w:id="60">
    <w:p w14:paraId="75271C5F" w14:textId="77777777" w:rsidR="0063747B" w:rsidRPr="008A4606" w:rsidRDefault="0063747B" w:rsidP="0063747B">
      <w:pPr>
        <w:pStyle w:val="FootnoteText"/>
        <w:rPr>
          <w:rFonts w:ascii="Times New Roman" w:hAnsi="Times New Roman" w:cs="Times New Roman"/>
        </w:rPr>
      </w:pPr>
      <w:r w:rsidRPr="008A4606">
        <w:rPr>
          <w:rStyle w:val="FootnoteReference"/>
          <w:rFonts w:ascii="Times New Roman" w:hAnsi="Times New Roman" w:cs="Times New Roman"/>
        </w:rPr>
        <w:footnoteRef/>
      </w:r>
      <w:r w:rsidRPr="008A4606">
        <w:rPr>
          <w:rFonts w:ascii="Times New Roman" w:hAnsi="Times New Roman" w:cs="Times New Roman"/>
        </w:rPr>
        <w:t xml:space="preserve"> Lizzie Borden. “Born in Flames.” First Run Features. 1983. Video.</w:t>
      </w:r>
    </w:p>
  </w:footnote>
  <w:footnote w:id="61">
    <w:p w14:paraId="78786A5C" w14:textId="77777777" w:rsidR="0063747B" w:rsidRPr="008A4606" w:rsidRDefault="0063747B" w:rsidP="0063747B">
      <w:pPr>
        <w:pStyle w:val="FootnoteText"/>
        <w:rPr>
          <w:rFonts w:ascii="Times New Roman" w:hAnsi="Times New Roman" w:cs="Times New Roman"/>
        </w:rPr>
      </w:pPr>
      <w:r w:rsidRPr="008A4606">
        <w:rPr>
          <w:rStyle w:val="FootnoteReference"/>
          <w:rFonts w:ascii="Times New Roman" w:hAnsi="Times New Roman" w:cs="Times New Roman"/>
        </w:rPr>
        <w:footnoteRef/>
      </w:r>
      <w:r w:rsidRPr="008A4606">
        <w:rPr>
          <w:rFonts w:ascii="Times New Roman" w:hAnsi="Times New Roman" w:cs="Times New Roman"/>
        </w:rPr>
        <w:t xml:space="preserve"> </w:t>
      </w:r>
      <w:r>
        <w:rPr>
          <w:rFonts w:ascii="Times New Roman" w:hAnsi="Times New Roman" w:cs="Times New Roman"/>
        </w:rPr>
        <w:t xml:space="preserve">Susan Faludi, “Introduction: Blame it on Feminism” in </w:t>
      </w:r>
      <w:r w:rsidRPr="008A4606">
        <w:rPr>
          <w:rFonts w:ascii="Times New Roman" w:hAnsi="Times New Roman" w:cs="Times New Roman"/>
        </w:rPr>
        <w:t>Backlash</w:t>
      </w:r>
      <w:r>
        <w:rPr>
          <w:rFonts w:ascii="Times New Roman" w:hAnsi="Times New Roman" w:cs="Times New Roman"/>
        </w:rPr>
        <w:t>, 1991.</w:t>
      </w:r>
    </w:p>
  </w:footnote>
  <w:footnote w:id="62">
    <w:p w14:paraId="3E954362" w14:textId="77777777" w:rsidR="0063747B" w:rsidRPr="005152DC" w:rsidRDefault="0063747B" w:rsidP="0063747B">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Ibid.</w:t>
      </w:r>
    </w:p>
  </w:footnote>
  <w:footnote w:id="63">
    <w:p w14:paraId="7F46D918" w14:textId="77777777" w:rsidR="0063747B" w:rsidRDefault="0063747B" w:rsidP="0063747B">
      <w:pPr>
        <w:pStyle w:val="FootnoteText"/>
      </w:pPr>
      <w:r>
        <w:rPr>
          <w:rStyle w:val="FootnoteReference"/>
        </w:rPr>
        <w:footnoteRef/>
      </w:r>
      <w:r>
        <w:t xml:space="preserve"> </w:t>
      </w:r>
      <w:r w:rsidRPr="005152DC">
        <w:rPr>
          <w:rFonts w:ascii="Times New Roman" w:hAnsi="Times New Roman" w:cs="Times New Roman"/>
        </w:rPr>
        <w:t>Ibid.</w:t>
      </w:r>
    </w:p>
  </w:footnote>
  <w:footnote w:id="64">
    <w:p w14:paraId="5C036D65" w14:textId="77777777" w:rsidR="0063747B" w:rsidRPr="00066E21" w:rsidRDefault="0063747B" w:rsidP="0063747B">
      <w:pPr>
        <w:pStyle w:val="FootnoteText"/>
        <w:rPr>
          <w:rFonts w:ascii="Times New Roman" w:hAnsi="Times New Roman" w:cs="Times New Roman"/>
        </w:rPr>
      </w:pPr>
      <w:r>
        <w:rPr>
          <w:rStyle w:val="FootnoteReference"/>
        </w:rPr>
        <w:footnoteRef/>
      </w:r>
      <w:r>
        <w:t xml:space="preserve"> </w:t>
      </w:r>
      <w:r w:rsidRPr="00066E21">
        <w:rPr>
          <w:rFonts w:ascii="Times New Roman" w:hAnsi="Times New Roman" w:cs="Times New Roman"/>
        </w:rPr>
        <w:t xml:space="preserve">Katie Roiphe, “Date Rape’s Other Victim.” The New York Times, </w:t>
      </w:r>
      <w:r w:rsidRPr="00066E21">
        <w:rPr>
          <w:rFonts w:ascii="Times New Roman" w:hAnsi="Times New Roman" w:cs="Times New Roman"/>
          <w:i/>
        </w:rPr>
        <w:t>The New York Times</w:t>
      </w:r>
      <w:r w:rsidRPr="00066E21">
        <w:rPr>
          <w:rFonts w:ascii="Times New Roman" w:hAnsi="Times New Roman" w:cs="Times New Roman"/>
        </w:rPr>
        <w:t>, June 13, 1993.</w:t>
      </w:r>
    </w:p>
  </w:footnote>
  <w:footnote w:id="65">
    <w:p w14:paraId="0A88A951" w14:textId="77777777" w:rsidR="0063747B" w:rsidRPr="00391A14" w:rsidRDefault="0063747B" w:rsidP="0063747B">
      <w:pPr>
        <w:pStyle w:val="FootnoteText"/>
        <w:rPr>
          <w:rFonts w:ascii="Times New Roman" w:hAnsi="Times New Roman" w:cs="Times New Roman"/>
        </w:rPr>
      </w:pPr>
      <w:r w:rsidRPr="00391A14">
        <w:rPr>
          <w:rStyle w:val="FootnoteReference"/>
          <w:rFonts w:ascii="Times New Roman" w:hAnsi="Times New Roman" w:cs="Times New Roman"/>
        </w:rPr>
        <w:footnoteRef/>
      </w:r>
      <w:r w:rsidRPr="00391A14">
        <w:rPr>
          <w:rFonts w:ascii="Times New Roman" w:hAnsi="Times New Roman" w:cs="Times New Roman"/>
        </w:rPr>
        <w:t xml:space="preserve"> Ibid.</w:t>
      </w:r>
    </w:p>
  </w:footnote>
  <w:footnote w:id="66">
    <w:p w14:paraId="37D431F0" w14:textId="77777777" w:rsidR="0063747B" w:rsidRPr="00391A14" w:rsidRDefault="0063747B" w:rsidP="0063747B">
      <w:pPr>
        <w:pStyle w:val="FootnoteText"/>
        <w:rPr>
          <w:rFonts w:ascii="Times New Roman" w:hAnsi="Times New Roman" w:cs="Times New Roman"/>
        </w:rPr>
      </w:pPr>
      <w:r w:rsidRPr="00391A14">
        <w:rPr>
          <w:rStyle w:val="FootnoteReference"/>
          <w:rFonts w:ascii="Times New Roman" w:hAnsi="Times New Roman" w:cs="Times New Roman"/>
        </w:rPr>
        <w:footnoteRef/>
      </w:r>
      <w:r w:rsidRPr="00391A14">
        <w:rPr>
          <w:rFonts w:ascii="Times New Roman" w:hAnsi="Times New Roman" w:cs="Times New Roman"/>
        </w:rPr>
        <w:t xml:space="preserve"> Jon </w:t>
      </w:r>
      <w:proofErr w:type="spellStart"/>
      <w:r w:rsidRPr="00391A14">
        <w:rPr>
          <w:rFonts w:ascii="Times New Roman" w:hAnsi="Times New Roman" w:cs="Times New Roman"/>
        </w:rPr>
        <w:t>Nordheimer</w:t>
      </w:r>
      <w:proofErr w:type="spellEnd"/>
      <w:r w:rsidRPr="00391A14">
        <w:rPr>
          <w:rFonts w:ascii="Times New Roman" w:hAnsi="Times New Roman" w:cs="Times New Roman"/>
        </w:rPr>
        <w:t xml:space="preserve">, “All-American Boy on Trial.” The New York Times, </w:t>
      </w:r>
      <w:r w:rsidRPr="00391A14">
        <w:rPr>
          <w:rFonts w:ascii="Times New Roman" w:hAnsi="Times New Roman" w:cs="Times New Roman"/>
          <w:i/>
        </w:rPr>
        <w:t>The New York Times</w:t>
      </w:r>
      <w:r w:rsidRPr="00391A14">
        <w:rPr>
          <w:rFonts w:ascii="Times New Roman" w:hAnsi="Times New Roman" w:cs="Times New Roman"/>
        </w:rPr>
        <w:t>,</w:t>
      </w:r>
      <w:r>
        <w:rPr>
          <w:rFonts w:ascii="Times New Roman" w:hAnsi="Times New Roman" w:cs="Times New Roman"/>
        </w:rPr>
        <w:t xml:space="preserve"> </w:t>
      </w:r>
      <w:r w:rsidRPr="00391A14">
        <w:rPr>
          <w:rFonts w:ascii="Times New Roman" w:hAnsi="Times New Roman" w:cs="Times New Roman"/>
        </w:rPr>
        <w:t>December 10, 1978.</w:t>
      </w:r>
    </w:p>
  </w:footnote>
  <w:footnote w:id="67">
    <w:p w14:paraId="628C8FCA" w14:textId="77777777" w:rsidR="0063747B" w:rsidRPr="00EB7818" w:rsidRDefault="0063747B" w:rsidP="0063747B">
      <w:pPr>
        <w:pStyle w:val="FootnoteText"/>
        <w:rPr>
          <w:rFonts w:ascii="Times New Roman" w:hAnsi="Times New Roman" w:cs="Times New Roman"/>
        </w:rPr>
      </w:pPr>
      <w:r w:rsidRPr="00EB7818">
        <w:rPr>
          <w:rStyle w:val="FootnoteReference"/>
          <w:rFonts w:ascii="Times New Roman" w:hAnsi="Times New Roman" w:cs="Times New Roman"/>
        </w:rPr>
        <w:footnoteRef/>
      </w:r>
      <w:r w:rsidRPr="00EB7818">
        <w:rPr>
          <w:rFonts w:ascii="Times New Roman" w:hAnsi="Times New Roman" w:cs="Times New Roman"/>
        </w:rPr>
        <w:t xml:space="preserve"> Ibid.</w:t>
      </w:r>
    </w:p>
  </w:footnote>
  <w:footnote w:id="68">
    <w:p w14:paraId="45751CC9" w14:textId="77777777" w:rsidR="0063747B" w:rsidRDefault="0063747B" w:rsidP="0063747B">
      <w:pPr>
        <w:pStyle w:val="FootnoteText"/>
      </w:pPr>
      <w:r w:rsidRPr="00EB7818">
        <w:rPr>
          <w:rStyle w:val="FootnoteReference"/>
          <w:rFonts w:ascii="Times New Roman" w:hAnsi="Times New Roman" w:cs="Times New Roman"/>
        </w:rPr>
        <w:footnoteRef/>
      </w:r>
      <w:r w:rsidRPr="00EB7818">
        <w:rPr>
          <w:rFonts w:ascii="Times New Roman" w:hAnsi="Times New Roman" w:cs="Times New Roman"/>
        </w:rPr>
        <w:t xml:space="preserve"> Ibid.</w:t>
      </w:r>
    </w:p>
  </w:footnote>
  <w:footnote w:id="69">
    <w:p w14:paraId="38DE3425" w14:textId="77777777" w:rsidR="0063747B" w:rsidRPr="009207DE" w:rsidRDefault="0063747B" w:rsidP="0063747B">
      <w:pPr>
        <w:pStyle w:val="FootnoteText"/>
        <w:rPr>
          <w:rFonts w:ascii="Times New Roman" w:hAnsi="Times New Roman" w:cs="Times New Roman"/>
        </w:rPr>
      </w:pPr>
      <w:r w:rsidRPr="009207DE">
        <w:rPr>
          <w:rStyle w:val="FootnoteReference"/>
          <w:rFonts w:ascii="Times New Roman" w:hAnsi="Times New Roman" w:cs="Times New Roman"/>
        </w:rPr>
        <w:footnoteRef/>
      </w:r>
      <w:r w:rsidRPr="009207DE">
        <w:rPr>
          <w:rFonts w:ascii="Times New Roman" w:hAnsi="Times New Roman" w:cs="Times New Roman"/>
        </w:rPr>
        <w:t xml:space="preserve"> Helene Cooper, et al., “‘I, Too Was a Survivor’: Senator McSally Ends Years of Silence.” The New York Times, </w:t>
      </w:r>
      <w:r w:rsidRPr="009207DE">
        <w:rPr>
          <w:rFonts w:ascii="Times New Roman" w:hAnsi="Times New Roman" w:cs="Times New Roman"/>
          <w:i/>
        </w:rPr>
        <w:t>The New York Times</w:t>
      </w:r>
      <w:r w:rsidRPr="009207DE">
        <w:rPr>
          <w:rFonts w:ascii="Times New Roman" w:hAnsi="Times New Roman" w:cs="Times New Roman"/>
        </w:rPr>
        <w:t>, March 26, 2019.</w:t>
      </w:r>
    </w:p>
  </w:footnote>
  <w:footnote w:id="70">
    <w:p w14:paraId="3F834336" w14:textId="77777777" w:rsidR="0063747B" w:rsidRPr="009207DE" w:rsidRDefault="0063747B" w:rsidP="0063747B">
      <w:pPr>
        <w:pStyle w:val="FootnoteText"/>
        <w:rPr>
          <w:rFonts w:ascii="Times New Roman" w:hAnsi="Times New Roman" w:cs="Times New Roman"/>
        </w:rPr>
      </w:pPr>
      <w:r w:rsidRPr="009207DE">
        <w:rPr>
          <w:rStyle w:val="FootnoteReference"/>
          <w:rFonts w:ascii="Times New Roman" w:hAnsi="Times New Roman" w:cs="Times New Roman"/>
        </w:rPr>
        <w:footnoteRef/>
      </w:r>
      <w:r w:rsidRPr="009207DE">
        <w:rPr>
          <w:rFonts w:ascii="Times New Roman" w:hAnsi="Times New Roman" w:cs="Times New Roman"/>
        </w:rPr>
        <w:t xml:space="preserve"> Ibid.</w:t>
      </w:r>
    </w:p>
  </w:footnote>
  <w:footnote w:id="71">
    <w:p w14:paraId="29B64B4E" w14:textId="77777777" w:rsidR="0063747B" w:rsidRDefault="0063747B" w:rsidP="0063747B">
      <w:pPr>
        <w:pStyle w:val="FootnoteText"/>
      </w:pPr>
      <w:r w:rsidRPr="009207DE">
        <w:rPr>
          <w:rStyle w:val="FootnoteReference"/>
          <w:rFonts w:ascii="Times New Roman" w:hAnsi="Times New Roman" w:cs="Times New Roman"/>
        </w:rPr>
        <w:footnoteRef/>
      </w:r>
      <w:r w:rsidRPr="009207DE">
        <w:rPr>
          <w:rFonts w:ascii="Times New Roman" w:hAnsi="Times New Roman" w:cs="Times New Roman"/>
        </w:rPr>
        <w:t xml:space="preserve"> Christine Hauser and Maggie Astor, “The Larry Nassar Case: What Happened and How the Fallout Is Spreading.” The New York Times, </w:t>
      </w:r>
      <w:r w:rsidRPr="009207DE">
        <w:rPr>
          <w:rFonts w:ascii="Times New Roman" w:hAnsi="Times New Roman" w:cs="Times New Roman"/>
          <w:i/>
        </w:rPr>
        <w:t>The New York Times</w:t>
      </w:r>
      <w:r w:rsidRPr="009207DE">
        <w:rPr>
          <w:rFonts w:ascii="Times New Roman" w:hAnsi="Times New Roman" w:cs="Times New Roman"/>
        </w:rPr>
        <w:t>, January 25, 2018.</w:t>
      </w:r>
    </w:p>
  </w:footnote>
  <w:footnote w:id="72">
    <w:p w14:paraId="5173BD43" w14:textId="77777777" w:rsidR="0063747B" w:rsidRPr="009207DE" w:rsidRDefault="0063747B" w:rsidP="0063747B">
      <w:pPr>
        <w:pStyle w:val="FootnoteText"/>
        <w:rPr>
          <w:rFonts w:ascii="Times New Roman" w:hAnsi="Times New Roman" w:cs="Times New Roman"/>
        </w:rPr>
      </w:pPr>
      <w:r w:rsidRPr="009207DE">
        <w:rPr>
          <w:rStyle w:val="FootnoteReference"/>
          <w:rFonts w:ascii="Times New Roman" w:hAnsi="Times New Roman" w:cs="Times New Roman"/>
        </w:rPr>
        <w:footnoteRef/>
      </w:r>
      <w:r w:rsidRPr="009207DE">
        <w:rPr>
          <w:rFonts w:ascii="Times New Roman" w:hAnsi="Times New Roman" w:cs="Times New Roman"/>
        </w:rPr>
        <w:t xml:space="preserve"> Ibid.</w:t>
      </w:r>
    </w:p>
  </w:footnote>
  <w:footnote w:id="73">
    <w:p w14:paraId="60308995" w14:textId="77777777" w:rsidR="0063747B" w:rsidRPr="00001260" w:rsidRDefault="0063747B" w:rsidP="0063747B">
      <w:pPr>
        <w:pStyle w:val="FootnoteText"/>
        <w:rPr>
          <w:rFonts w:ascii="Times New Roman" w:hAnsi="Times New Roman" w:cs="Times New Roman"/>
        </w:rPr>
      </w:pPr>
      <w:r w:rsidRPr="00001260">
        <w:rPr>
          <w:rStyle w:val="FootnoteReference"/>
          <w:rFonts w:ascii="Times New Roman" w:hAnsi="Times New Roman" w:cs="Times New Roman"/>
        </w:rPr>
        <w:footnoteRef/>
      </w:r>
      <w:r w:rsidRPr="00001260">
        <w:rPr>
          <w:rFonts w:ascii="Times New Roman" w:hAnsi="Times New Roman" w:cs="Times New Roman"/>
        </w:rPr>
        <w:t xml:space="preserve"> Ibid.</w:t>
      </w:r>
    </w:p>
  </w:footnote>
  <w:footnote w:id="74">
    <w:p w14:paraId="411AF597" w14:textId="77777777" w:rsidR="0063747B" w:rsidRPr="00977C9D" w:rsidRDefault="0063747B" w:rsidP="0063747B">
      <w:pPr>
        <w:pStyle w:val="FootnoteText"/>
        <w:rPr>
          <w:rFonts w:ascii="Times New Roman" w:hAnsi="Times New Roman" w:cs="Times New Roman"/>
        </w:rPr>
      </w:pPr>
      <w:r w:rsidRPr="00977C9D">
        <w:rPr>
          <w:rStyle w:val="FootnoteReference"/>
          <w:rFonts w:ascii="Times New Roman" w:hAnsi="Times New Roman" w:cs="Times New Roman"/>
        </w:rPr>
        <w:footnoteRef/>
      </w:r>
      <w:r w:rsidRPr="00977C9D">
        <w:rPr>
          <w:rFonts w:ascii="Times New Roman" w:hAnsi="Times New Roman" w:cs="Times New Roman"/>
        </w:rPr>
        <w:t xml:space="preserve"> Daniel </w:t>
      </w:r>
      <w:proofErr w:type="spellStart"/>
      <w:r w:rsidRPr="00977C9D">
        <w:rPr>
          <w:rFonts w:ascii="Times New Roman" w:hAnsi="Times New Roman" w:cs="Times New Roman"/>
        </w:rPr>
        <w:t>Mendelshon</w:t>
      </w:r>
      <w:proofErr w:type="spellEnd"/>
      <w:r w:rsidRPr="00977C9D">
        <w:rPr>
          <w:rFonts w:ascii="Times New Roman" w:hAnsi="Times New Roman" w:cs="Times New Roman"/>
        </w:rPr>
        <w:t xml:space="preserve">, “Secret Dread at Penn State.” The New York Times, </w:t>
      </w:r>
      <w:r w:rsidRPr="00977C9D">
        <w:rPr>
          <w:rFonts w:ascii="Times New Roman" w:hAnsi="Times New Roman" w:cs="Times New Roman"/>
          <w:i/>
        </w:rPr>
        <w:t>The New York Times</w:t>
      </w:r>
      <w:r w:rsidRPr="00977C9D">
        <w:rPr>
          <w:rFonts w:ascii="Times New Roman" w:hAnsi="Times New Roman" w:cs="Times New Roman"/>
        </w:rPr>
        <w:t>, November 19, 2011.</w:t>
      </w:r>
    </w:p>
  </w:footnote>
  <w:footnote w:id="75">
    <w:p w14:paraId="424C813D" w14:textId="77777777" w:rsidR="0063747B" w:rsidRPr="00977C9D" w:rsidRDefault="0063747B" w:rsidP="0063747B">
      <w:pPr>
        <w:pStyle w:val="FootnoteText"/>
        <w:rPr>
          <w:rFonts w:ascii="Times New Roman" w:hAnsi="Times New Roman" w:cs="Times New Roman"/>
        </w:rPr>
      </w:pPr>
      <w:r w:rsidRPr="00977C9D">
        <w:rPr>
          <w:rStyle w:val="FootnoteReference"/>
          <w:rFonts w:ascii="Times New Roman" w:hAnsi="Times New Roman" w:cs="Times New Roman"/>
        </w:rPr>
        <w:footnoteRef/>
      </w:r>
      <w:r w:rsidRPr="00977C9D">
        <w:rPr>
          <w:rFonts w:ascii="Times New Roman" w:hAnsi="Times New Roman" w:cs="Times New Roman"/>
        </w:rPr>
        <w:t xml:space="preserve"> Ibid.</w:t>
      </w:r>
    </w:p>
  </w:footnote>
  <w:footnote w:id="76">
    <w:p w14:paraId="0C06E3C5" w14:textId="77777777" w:rsidR="0063747B" w:rsidRPr="00FD29F1" w:rsidRDefault="0063747B" w:rsidP="0063747B">
      <w:pPr>
        <w:pStyle w:val="FootnoteText"/>
        <w:rPr>
          <w:rFonts w:ascii="Times New Roman" w:hAnsi="Times New Roman" w:cs="Times New Roman"/>
        </w:rPr>
      </w:pPr>
      <w:r w:rsidRPr="00FD29F1">
        <w:rPr>
          <w:rStyle w:val="FootnoteReference"/>
          <w:rFonts w:ascii="Times New Roman" w:hAnsi="Times New Roman" w:cs="Times New Roman"/>
        </w:rPr>
        <w:footnoteRef/>
      </w:r>
      <w:r w:rsidRPr="00FD29F1">
        <w:rPr>
          <w:rFonts w:ascii="Times New Roman" w:hAnsi="Times New Roman" w:cs="Times New Roman"/>
        </w:rPr>
        <w:t xml:space="preserve"> Charles M. Blow, “It Got Better. That’s My Testimony.” The New York Times, </w:t>
      </w:r>
      <w:r w:rsidRPr="00FD29F1">
        <w:rPr>
          <w:rFonts w:ascii="Times New Roman" w:hAnsi="Times New Roman" w:cs="Times New Roman"/>
          <w:i/>
        </w:rPr>
        <w:t>The New York Times</w:t>
      </w:r>
      <w:r w:rsidRPr="00FD29F1">
        <w:rPr>
          <w:rFonts w:ascii="Times New Roman" w:hAnsi="Times New Roman" w:cs="Times New Roman"/>
        </w:rPr>
        <w:t>, June 16, 2019.</w:t>
      </w:r>
    </w:p>
  </w:footnote>
  <w:footnote w:id="77">
    <w:p w14:paraId="7F5CB18A" w14:textId="77777777" w:rsidR="0063747B" w:rsidRPr="00FD29F1" w:rsidRDefault="0063747B" w:rsidP="0063747B">
      <w:pPr>
        <w:pStyle w:val="FootnoteText"/>
        <w:rPr>
          <w:rFonts w:ascii="Times New Roman" w:hAnsi="Times New Roman" w:cs="Times New Roman"/>
        </w:rPr>
      </w:pPr>
      <w:r w:rsidRPr="00FD29F1">
        <w:rPr>
          <w:rStyle w:val="FootnoteReference"/>
          <w:rFonts w:ascii="Times New Roman" w:hAnsi="Times New Roman" w:cs="Times New Roman"/>
        </w:rPr>
        <w:footnoteRef/>
      </w:r>
      <w:r w:rsidRPr="00FD29F1">
        <w:rPr>
          <w:rFonts w:ascii="Times New Roman" w:hAnsi="Times New Roman" w:cs="Times New Roman"/>
        </w:rPr>
        <w:t xml:space="preserve"> Ibid.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87"/>
    <w:rsid w:val="00001B2D"/>
    <w:rsid w:val="00020085"/>
    <w:rsid w:val="00033425"/>
    <w:rsid w:val="00044BC0"/>
    <w:rsid w:val="000926FA"/>
    <w:rsid w:val="000D5457"/>
    <w:rsid w:val="000E057A"/>
    <w:rsid w:val="000E3092"/>
    <w:rsid w:val="000F4C5B"/>
    <w:rsid w:val="00132BD4"/>
    <w:rsid w:val="00175230"/>
    <w:rsid w:val="0018404F"/>
    <w:rsid w:val="001853A5"/>
    <w:rsid w:val="002E6A9E"/>
    <w:rsid w:val="00301D2C"/>
    <w:rsid w:val="00312511"/>
    <w:rsid w:val="003173CB"/>
    <w:rsid w:val="00322423"/>
    <w:rsid w:val="00384CA9"/>
    <w:rsid w:val="00393CD3"/>
    <w:rsid w:val="0040100E"/>
    <w:rsid w:val="00422EEB"/>
    <w:rsid w:val="00431660"/>
    <w:rsid w:val="00462F3B"/>
    <w:rsid w:val="00466B5B"/>
    <w:rsid w:val="00474ED2"/>
    <w:rsid w:val="004908E2"/>
    <w:rsid w:val="004C3EB7"/>
    <w:rsid w:val="004E38FF"/>
    <w:rsid w:val="004E4BCC"/>
    <w:rsid w:val="004F7233"/>
    <w:rsid w:val="0050661D"/>
    <w:rsid w:val="005363E8"/>
    <w:rsid w:val="00541732"/>
    <w:rsid w:val="005435BF"/>
    <w:rsid w:val="00586A29"/>
    <w:rsid w:val="005B4959"/>
    <w:rsid w:val="005B540E"/>
    <w:rsid w:val="0063747B"/>
    <w:rsid w:val="00686679"/>
    <w:rsid w:val="0069040D"/>
    <w:rsid w:val="00694620"/>
    <w:rsid w:val="006A6EE8"/>
    <w:rsid w:val="006E4F65"/>
    <w:rsid w:val="006E7D67"/>
    <w:rsid w:val="007709CC"/>
    <w:rsid w:val="008B137F"/>
    <w:rsid w:val="008C558C"/>
    <w:rsid w:val="009067DF"/>
    <w:rsid w:val="00942AA3"/>
    <w:rsid w:val="00943117"/>
    <w:rsid w:val="00965D04"/>
    <w:rsid w:val="00982A4D"/>
    <w:rsid w:val="009953DC"/>
    <w:rsid w:val="009D3ACB"/>
    <w:rsid w:val="00A22AA1"/>
    <w:rsid w:val="00A339B2"/>
    <w:rsid w:val="00AC3DA4"/>
    <w:rsid w:val="00AD6787"/>
    <w:rsid w:val="00AE4BFC"/>
    <w:rsid w:val="00B93716"/>
    <w:rsid w:val="00BB290B"/>
    <w:rsid w:val="00BE7447"/>
    <w:rsid w:val="00C00DE6"/>
    <w:rsid w:val="00C02597"/>
    <w:rsid w:val="00C17B26"/>
    <w:rsid w:val="00D524A0"/>
    <w:rsid w:val="00D61C9E"/>
    <w:rsid w:val="00DF2391"/>
    <w:rsid w:val="00E36753"/>
    <w:rsid w:val="00E56475"/>
    <w:rsid w:val="00E630E5"/>
    <w:rsid w:val="00E6787F"/>
    <w:rsid w:val="00E67F44"/>
    <w:rsid w:val="00ED0648"/>
    <w:rsid w:val="00ED4184"/>
    <w:rsid w:val="00F61FCF"/>
    <w:rsid w:val="00FB3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5F0C6"/>
  <w15:chartTrackingRefBased/>
  <w15:docId w15:val="{59D96734-671D-6548-AD52-D84FC3B97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787"/>
  </w:style>
  <w:style w:type="paragraph" w:styleId="Heading1">
    <w:name w:val="heading 1"/>
    <w:basedOn w:val="Normal"/>
    <w:next w:val="Normal"/>
    <w:link w:val="Heading1Char"/>
    <w:uiPriority w:val="9"/>
    <w:qFormat/>
    <w:rsid w:val="008B137F"/>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D6787"/>
  </w:style>
  <w:style w:type="character" w:customStyle="1" w:styleId="FootnoteTextChar">
    <w:name w:val="Footnote Text Char"/>
    <w:basedOn w:val="DefaultParagraphFont"/>
    <w:link w:val="FootnoteText"/>
    <w:uiPriority w:val="99"/>
    <w:rsid w:val="00AD6787"/>
  </w:style>
  <w:style w:type="character" w:styleId="FootnoteReference">
    <w:name w:val="footnote reference"/>
    <w:basedOn w:val="DefaultParagraphFont"/>
    <w:uiPriority w:val="99"/>
    <w:unhideWhenUsed/>
    <w:rsid w:val="00AD6787"/>
    <w:rPr>
      <w:vertAlign w:val="superscript"/>
    </w:rPr>
  </w:style>
  <w:style w:type="paragraph" w:styleId="NormalWeb">
    <w:name w:val="Normal (Web)"/>
    <w:basedOn w:val="Normal"/>
    <w:uiPriority w:val="99"/>
    <w:unhideWhenUsed/>
    <w:rsid w:val="00AD6787"/>
    <w:pPr>
      <w:spacing w:before="100" w:beforeAutospacing="1" w:after="100" w:afterAutospacing="1"/>
    </w:pPr>
    <w:rPr>
      <w:rFonts w:ascii="Times New Roman" w:hAnsi="Times New Roman" w:cs="Times New Roman"/>
    </w:rPr>
  </w:style>
  <w:style w:type="paragraph" w:styleId="Footer">
    <w:name w:val="footer"/>
    <w:basedOn w:val="Normal"/>
    <w:link w:val="FooterChar"/>
    <w:uiPriority w:val="99"/>
    <w:unhideWhenUsed/>
    <w:rsid w:val="005363E8"/>
    <w:pPr>
      <w:tabs>
        <w:tab w:val="center" w:pos="4680"/>
        <w:tab w:val="right" w:pos="9360"/>
      </w:tabs>
    </w:pPr>
  </w:style>
  <w:style w:type="character" w:customStyle="1" w:styleId="FooterChar">
    <w:name w:val="Footer Char"/>
    <w:basedOn w:val="DefaultParagraphFont"/>
    <w:link w:val="Footer"/>
    <w:uiPriority w:val="99"/>
    <w:rsid w:val="005363E8"/>
  </w:style>
  <w:style w:type="character" w:styleId="PageNumber">
    <w:name w:val="page number"/>
    <w:basedOn w:val="DefaultParagraphFont"/>
    <w:uiPriority w:val="99"/>
    <w:semiHidden/>
    <w:unhideWhenUsed/>
    <w:rsid w:val="005363E8"/>
  </w:style>
  <w:style w:type="paragraph" w:styleId="Header">
    <w:name w:val="header"/>
    <w:basedOn w:val="Normal"/>
    <w:link w:val="HeaderChar"/>
    <w:uiPriority w:val="99"/>
    <w:unhideWhenUsed/>
    <w:rsid w:val="005363E8"/>
    <w:pPr>
      <w:tabs>
        <w:tab w:val="center" w:pos="4680"/>
        <w:tab w:val="right" w:pos="9360"/>
      </w:tabs>
    </w:pPr>
  </w:style>
  <w:style w:type="character" w:customStyle="1" w:styleId="HeaderChar">
    <w:name w:val="Header Char"/>
    <w:basedOn w:val="DefaultParagraphFont"/>
    <w:link w:val="Header"/>
    <w:uiPriority w:val="99"/>
    <w:rsid w:val="005363E8"/>
  </w:style>
  <w:style w:type="character" w:customStyle="1" w:styleId="Heading1Char">
    <w:name w:val="Heading 1 Char"/>
    <w:basedOn w:val="DefaultParagraphFont"/>
    <w:link w:val="Heading1"/>
    <w:uiPriority w:val="9"/>
    <w:rsid w:val="008B137F"/>
    <w:rPr>
      <w:rFonts w:asciiTheme="majorHAnsi" w:eastAsiaTheme="majorEastAsia" w:hAnsiTheme="majorHAnsi" w:cstheme="majorBidi"/>
      <w:b/>
      <w:bCs/>
      <w:color w:val="2F5496" w:themeColor="accent1" w:themeShade="BF"/>
      <w:sz w:val="28"/>
      <w:szCs w:val="28"/>
      <w:lang w:bidi="en-US"/>
    </w:rPr>
  </w:style>
  <w:style w:type="character" w:styleId="Hyperlink">
    <w:name w:val="Hyperlink"/>
    <w:basedOn w:val="DefaultParagraphFont"/>
    <w:uiPriority w:val="99"/>
    <w:unhideWhenUsed/>
    <w:rsid w:val="000F4C5B"/>
    <w:rPr>
      <w:color w:val="0563C1" w:themeColor="hyperlink"/>
      <w:u w:val="single"/>
    </w:rPr>
  </w:style>
  <w:style w:type="character" w:styleId="UnresolvedMention">
    <w:name w:val="Unresolved Mention"/>
    <w:basedOn w:val="DefaultParagraphFont"/>
    <w:uiPriority w:val="99"/>
    <w:semiHidden/>
    <w:unhideWhenUsed/>
    <w:rsid w:val="000F4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14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5DDC9-AED0-E341-9C6C-41E53EE31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1404</TotalTime>
  <Pages>26</Pages>
  <Words>5976</Words>
  <Characters>34068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Rhoades, Sophia Opal</dc:creator>
  <cp:keywords/>
  <dc:description/>
  <cp:lastModifiedBy>Rhoades, Sophia Opal</cp:lastModifiedBy>
  <cp:revision>83</cp:revision>
  <dcterms:created xsi:type="dcterms:W3CDTF">2020-12-12T01:41:00Z</dcterms:created>
  <dcterms:modified xsi:type="dcterms:W3CDTF">2020-12-14T17:21:00Z</dcterms:modified>
</cp:coreProperties>
</file>