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CB880" w14:textId="78CD92D0" w:rsidR="00526151" w:rsidRPr="00DF7C87" w:rsidRDefault="00DD3FAA" w:rsidP="008949E3">
      <w:pPr>
        <w:pStyle w:val="Title"/>
        <w:rPr>
          <w:rFonts w:ascii="Times New Roman" w:hAnsi="Times New Roman" w:cs="Times New Roman"/>
          <w:szCs w:val="28"/>
        </w:rPr>
      </w:pPr>
      <w:r>
        <w:rPr>
          <w:rFonts w:ascii="Times New Roman" w:hAnsi="Times New Roman" w:cs="Times New Roman"/>
          <w:szCs w:val="28"/>
        </w:rPr>
        <w:t xml:space="preserve">Macroecology of temperate riverine </w:t>
      </w:r>
      <w:r w:rsidR="002A799B">
        <w:rPr>
          <w:rFonts w:ascii="Times New Roman" w:hAnsi="Times New Roman" w:cs="Times New Roman"/>
          <w:szCs w:val="28"/>
        </w:rPr>
        <w:t>ecosystems</w:t>
      </w:r>
    </w:p>
    <w:p w14:paraId="7CBEED39" w14:textId="41DD17B2"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439FA509" w14:textId="77777777" w:rsidR="00236E6D" w:rsidRPr="00DF7C87" w:rsidRDefault="00236E6D" w:rsidP="00387656">
      <w:pPr>
        <w:pStyle w:val="Title"/>
        <w:rPr>
          <w:rFonts w:ascii="Times New Roman" w:hAnsi="Times New Roman" w:cs="Times New Roman"/>
          <w:sz w:val="24"/>
        </w:rPr>
      </w:pPr>
    </w:p>
    <w:p w14:paraId="5E8B1186" w14:textId="77777777" w:rsidR="00236E6D" w:rsidRPr="00DF7C87" w:rsidRDefault="00236E6D" w:rsidP="00387656">
      <w:pPr>
        <w:pStyle w:val="Title"/>
        <w:rPr>
          <w:rFonts w:ascii="Times New Roman" w:hAnsi="Times New Roman" w:cs="Times New Roman"/>
          <w:sz w:val="24"/>
        </w:rPr>
      </w:pPr>
    </w:p>
    <w:p w14:paraId="182C37EB" w14:textId="77777777" w:rsidR="00236E6D" w:rsidRPr="00DF7C87" w:rsidRDefault="00236E6D" w:rsidP="00387656">
      <w:pPr>
        <w:pStyle w:val="Title"/>
        <w:rPr>
          <w:rFonts w:ascii="Times New Roman" w:hAnsi="Times New Roman" w:cs="Times New Roman"/>
          <w:sz w:val="24"/>
        </w:rPr>
      </w:pPr>
    </w:p>
    <w:p w14:paraId="7369FDF9" w14:textId="77777777" w:rsidR="00236E6D" w:rsidRPr="00DF7C87" w:rsidRDefault="00236E6D" w:rsidP="00387656">
      <w:pPr>
        <w:pStyle w:val="Title"/>
        <w:rPr>
          <w:rFonts w:ascii="Times New Roman" w:hAnsi="Times New Roman" w:cs="Times New Roman"/>
          <w:sz w:val="24"/>
        </w:rPr>
      </w:pPr>
    </w:p>
    <w:p w14:paraId="44411DDC" w14:textId="77777777" w:rsidR="00387656" w:rsidRPr="00DF7C87" w:rsidRDefault="00387656" w:rsidP="00387656">
      <w:pPr>
        <w:pStyle w:val="Title"/>
        <w:rPr>
          <w:rFonts w:ascii="Times New Roman" w:hAnsi="Times New Roman" w:cs="Times New Roman"/>
          <w:sz w:val="24"/>
        </w:rPr>
      </w:pPr>
    </w:p>
    <w:p w14:paraId="11236A0D" w14:textId="77777777" w:rsidR="00387656" w:rsidRPr="00DF7C87" w:rsidRDefault="00387656" w:rsidP="00387656">
      <w:pPr>
        <w:pStyle w:val="Title"/>
        <w:rPr>
          <w:rFonts w:ascii="Times New Roman" w:hAnsi="Times New Roman" w:cs="Times New Roman"/>
          <w:sz w:val="24"/>
        </w:rPr>
      </w:pPr>
    </w:p>
    <w:p w14:paraId="16A82222" w14:textId="77777777" w:rsidR="00387656" w:rsidRPr="00DF7C87" w:rsidRDefault="00387656" w:rsidP="00387656">
      <w:pPr>
        <w:pStyle w:val="Title"/>
        <w:rPr>
          <w:rFonts w:ascii="Times New Roman" w:hAnsi="Times New Roman" w:cs="Times New Roman"/>
          <w:sz w:val="24"/>
        </w:rPr>
      </w:pPr>
    </w:p>
    <w:p w14:paraId="4B3228AD" w14:textId="77777777" w:rsidR="00387656" w:rsidRPr="00DF7C87" w:rsidRDefault="00387656" w:rsidP="00387656">
      <w:pPr>
        <w:pStyle w:val="Title"/>
        <w:rPr>
          <w:rFonts w:ascii="Times New Roman" w:hAnsi="Times New Roman" w:cs="Times New Roman"/>
          <w:sz w:val="24"/>
        </w:rPr>
      </w:pPr>
    </w:p>
    <w:p w14:paraId="5E4F42C6" w14:textId="77777777" w:rsidR="00387656" w:rsidRPr="00DF7C87" w:rsidRDefault="00387656" w:rsidP="00387656">
      <w:pPr>
        <w:pStyle w:val="Title"/>
        <w:rPr>
          <w:rFonts w:ascii="Times New Roman" w:hAnsi="Times New Roman" w:cs="Times New Roman"/>
          <w:sz w:val="24"/>
        </w:rPr>
      </w:pPr>
    </w:p>
    <w:p w14:paraId="21C17C2D" w14:textId="77777777" w:rsidR="00387656" w:rsidRPr="00DF7C87" w:rsidRDefault="00387656" w:rsidP="00387656">
      <w:pPr>
        <w:pStyle w:val="Title"/>
        <w:rPr>
          <w:rFonts w:ascii="Times New Roman" w:hAnsi="Times New Roman" w:cs="Times New Roman"/>
          <w:sz w:val="24"/>
        </w:rPr>
      </w:pPr>
    </w:p>
    <w:p w14:paraId="16C58073" w14:textId="77777777" w:rsidR="00236E6D" w:rsidRPr="00DF7C87" w:rsidRDefault="00236E6D" w:rsidP="00387656">
      <w:pPr>
        <w:pStyle w:val="Title"/>
        <w:rPr>
          <w:rFonts w:ascii="Times New Roman" w:hAnsi="Times New Roman" w:cs="Times New Roman"/>
          <w:sz w:val="24"/>
        </w:rPr>
      </w:pPr>
    </w:p>
    <w:p w14:paraId="31DD74CD" w14:textId="77777777" w:rsidR="00236E6D" w:rsidRPr="00DF7C87" w:rsidRDefault="00236E6D" w:rsidP="00387656">
      <w:pPr>
        <w:pStyle w:val="Title"/>
        <w:rPr>
          <w:rFonts w:ascii="Times New Roman" w:hAnsi="Times New Roman" w:cs="Times New Roman"/>
          <w:sz w:val="24"/>
        </w:rPr>
      </w:pPr>
    </w:p>
    <w:p w14:paraId="17D698B8" w14:textId="77777777" w:rsidR="00236E6D" w:rsidRPr="00DF7C87" w:rsidRDefault="00236E6D" w:rsidP="00387656">
      <w:pPr>
        <w:pStyle w:val="Title"/>
        <w:jc w:val="left"/>
        <w:rPr>
          <w:rFonts w:ascii="Times New Roman" w:hAnsi="Times New Roman" w:cs="Times New Roman"/>
          <w:sz w:val="24"/>
        </w:rPr>
      </w:pPr>
    </w:p>
    <w:p w14:paraId="1EAD7FD2" w14:textId="1B52F6E7"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 xml:space="preserve">A </w:t>
      </w:r>
      <w:r w:rsidR="00891079">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010D5EE1" w14:textId="29E7BD35" w:rsidR="009C755C" w:rsidRPr="00DF7C87" w:rsidRDefault="006E336C" w:rsidP="00387656">
      <w:pPr>
        <w:pStyle w:val="Title"/>
        <w:rPr>
          <w:rFonts w:ascii="Times New Roman" w:hAnsi="Times New Roman" w:cs="Times New Roman"/>
          <w:szCs w:val="28"/>
        </w:rPr>
      </w:pPr>
      <w:r>
        <w:rPr>
          <w:rFonts w:ascii="Times New Roman" w:hAnsi="Times New Roman" w:cs="Times New Roman"/>
          <w:szCs w:val="28"/>
        </w:rPr>
        <w:t>Doctor of Philosophy</w:t>
      </w:r>
    </w:p>
    <w:p w14:paraId="78FD8B11"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31CD0742"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219C4C90" w14:textId="77777777" w:rsidR="00387656" w:rsidRPr="00DF7C87" w:rsidRDefault="00387656" w:rsidP="00387656">
      <w:pPr>
        <w:pStyle w:val="Title"/>
        <w:rPr>
          <w:rFonts w:ascii="Times New Roman" w:hAnsi="Times New Roman" w:cs="Times New Roman"/>
          <w:szCs w:val="28"/>
        </w:rPr>
      </w:pPr>
    </w:p>
    <w:p w14:paraId="04320523" w14:textId="77777777" w:rsidR="00387656" w:rsidRPr="00DF7C87" w:rsidRDefault="00387656" w:rsidP="00387656">
      <w:pPr>
        <w:pStyle w:val="Title"/>
        <w:rPr>
          <w:rFonts w:ascii="Times New Roman" w:hAnsi="Times New Roman" w:cs="Times New Roman"/>
          <w:szCs w:val="28"/>
        </w:rPr>
      </w:pPr>
    </w:p>
    <w:p w14:paraId="0DFBB482" w14:textId="77777777" w:rsidR="00387656" w:rsidRPr="00DF7C87" w:rsidRDefault="00387656" w:rsidP="00387656">
      <w:pPr>
        <w:pStyle w:val="Title"/>
        <w:rPr>
          <w:rFonts w:ascii="Times New Roman" w:hAnsi="Times New Roman" w:cs="Times New Roman"/>
          <w:szCs w:val="28"/>
        </w:rPr>
      </w:pPr>
    </w:p>
    <w:p w14:paraId="0C4899D3" w14:textId="77777777" w:rsidR="00236E6D" w:rsidRPr="00DF7C87" w:rsidRDefault="00236E6D" w:rsidP="00387656">
      <w:pPr>
        <w:pStyle w:val="Title"/>
        <w:rPr>
          <w:rFonts w:ascii="Times New Roman" w:hAnsi="Times New Roman" w:cs="Times New Roman"/>
          <w:szCs w:val="28"/>
        </w:rPr>
      </w:pPr>
    </w:p>
    <w:p w14:paraId="5841E8C6" w14:textId="77777777" w:rsidR="00236E6D" w:rsidRPr="00DF7C87" w:rsidRDefault="00236E6D" w:rsidP="00387656">
      <w:pPr>
        <w:pStyle w:val="Title"/>
        <w:rPr>
          <w:rFonts w:ascii="Times New Roman" w:hAnsi="Times New Roman" w:cs="Times New Roman"/>
          <w:szCs w:val="28"/>
        </w:rPr>
      </w:pPr>
    </w:p>
    <w:p w14:paraId="738BEBD0" w14:textId="77777777" w:rsidR="00236E6D" w:rsidRPr="00DF7C87" w:rsidRDefault="00236E6D" w:rsidP="00387656">
      <w:pPr>
        <w:pStyle w:val="Title"/>
        <w:rPr>
          <w:rFonts w:ascii="Times New Roman" w:hAnsi="Times New Roman" w:cs="Times New Roman"/>
          <w:szCs w:val="28"/>
        </w:rPr>
      </w:pPr>
    </w:p>
    <w:p w14:paraId="59E27C61" w14:textId="77777777" w:rsidR="00236E6D" w:rsidRPr="00DF7C87" w:rsidRDefault="00236E6D" w:rsidP="00387656">
      <w:pPr>
        <w:pStyle w:val="Title"/>
        <w:rPr>
          <w:rFonts w:ascii="Times New Roman" w:hAnsi="Times New Roman" w:cs="Times New Roman"/>
          <w:szCs w:val="28"/>
        </w:rPr>
      </w:pPr>
    </w:p>
    <w:p w14:paraId="60CA6BC7" w14:textId="77777777" w:rsidR="00236E6D" w:rsidRPr="00DF7C87" w:rsidRDefault="00236E6D" w:rsidP="00387656">
      <w:pPr>
        <w:pStyle w:val="Title"/>
        <w:rPr>
          <w:rFonts w:ascii="Times New Roman" w:hAnsi="Times New Roman" w:cs="Times New Roman"/>
          <w:szCs w:val="28"/>
        </w:rPr>
      </w:pPr>
    </w:p>
    <w:p w14:paraId="5095A9A1" w14:textId="77777777" w:rsidR="00236E6D" w:rsidRPr="00DF7C87" w:rsidRDefault="00236E6D" w:rsidP="00387656">
      <w:pPr>
        <w:pStyle w:val="Title"/>
        <w:rPr>
          <w:rFonts w:ascii="Times New Roman" w:hAnsi="Times New Roman" w:cs="Times New Roman"/>
          <w:szCs w:val="28"/>
        </w:rPr>
      </w:pPr>
    </w:p>
    <w:p w14:paraId="18995464" w14:textId="77777777" w:rsidR="00236E6D" w:rsidRPr="00DF7C87" w:rsidRDefault="00236E6D" w:rsidP="00387656">
      <w:pPr>
        <w:pStyle w:val="Title"/>
        <w:rPr>
          <w:rFonts w:ascii="Times New Roman" w:hAnsi="Times New Roman" w:cs="Times New Roman"/>
          <w:szCs w:val="28"/>
        </w:rPr>
      </w:pPr>
    </w:p>
    <w:p w14:paraId="4D473E12" w14:textId="77777777" w:rsidR="00236E6D" w:rsidRPr="00DF7C87" w:rsidRDefault="00236E6D" w:rsidP="00387656">
      <w:pPr>
        <w:pStyle w:val="Title"/>
        <w:rPr>
          <w:rFonts w:ascii="Times New Roman" w:hAnsi="Times New Roman" w:cs="Times New Roman"/>
          <w:szCs w:val="28"/>
        </w:rPr>
      </w:pPr>
    </w:p>
    <w:p w14:paraId="412505CA" w14:textId="77777777" w:rsidR="00236E6D" w:rsidRPr="00DF7C87" w:rsidRDefault="00236E6D" w:rsidP="00387656">
      <w:pPr>
        <w:pStyle w:val="Title"/>
        <w:rPr>
          <w:rFonts w:ascii="Times New Roman" w:hAnsi="Times New Roman" w:cs="Times New Roman"/>
          <w:szCs w:val="28"/>
        </w:rPr>
      </w:pPr>
    </w:p>
    <w:p w14:paraId="445BFAA3" w14:textId="77777777" w:rsidR="00236E6D" w:rsidRPr="00DF7C87" w:rsidRDefault="00236E6D" w:rsidP="00387656">
      <w:pPr>
        <w:pStyle w:val="Title"/>
        <w:rPr>
          <w:rFonts w:ascii="Times New Roman" w:hAnsi="Times New Roman" w:cs="Times New Roman"/>
          <w:szCs w:val="28"/>
        </w:rPr>
      </w:pPr>
    </w:p>
    <w:p w14:paraId="17AB1A68" w14:textId="048C2E18" w:rsidR="00236E6D" w:rsidRPr="00DF7C87" w:rsidRDefault="001D66D9" w:rsidP="00387656">
      <w:pPr>
        <w:pStyle w:val="Title"/>
        <w:rPr>
          <w:rFonts w:ascii="Times New Roman" w:hAnsi="Times New Roman" w:cs="Times New Roman"/>
          <w:szCs w:val="28"/>
        </w:rPr>
      </w:pPr>
      <w:r>
        <w:rPr>
          <w:rFonts w:ascii="Times New Roman" w:hAnsi="Times New Roman" w:cs="Times New Roman"/>
          <w:szCs w:val="28"/>
        </w:rPr>
        <w:t>Taylor Woods</w:t>
      </w:r>
    </w:p>
    <w:p w14:paraId="1A20BD6F" w14:textId="4195DB00" w:rsidR="009C755C" w:rsidRPr="00DF7C87" w:rsidRDefault="00C15E62" w:rsidP="00387656">
      <w:pPr>
        <w:pStyle w:val="Title"/>
        <w:rPr>
          <w:rFonts w:ascii="Times New Roman" w:hAnsi="Times New Roman" w:cs="Times New Roman"/>
          <w:szCs w:val="28"/>
        </w:rPr>
      </w:pPr>
      <w:r>
        <w:rPr>
          <w:rFonts w:ascii="Times New Roman" w:hAnsi="Times New Roman" w:cs="Times New Roman"/>
          <w:szCs w:val="28"/>
        </w:rPr>
        <w:t>May</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w:t>
      </w:r>
      <w:r w:rsidR="001D66D9">
        <w:rPr>
          <w:rFonts w:ascii="Times New Roman" w:hAnsi="Times New Roman" w:cs="Times New Roman"/>
          <w:szCs w:val="28"/>
        </w:rPr>
        <w:t>2</w:t>
      </w:r>
    </w:p>
    <w:p w14:paraId="751000E5" w14:textId="77777777" w:rsidR="00526151" w:rsidRPr="00DF7C87" w:rsidRDefault="00526151" w:rsidP="005E54E2">
      <w:pPr>
        <w:rPr>
          <w:rFonts w:ascii="Times New Roman" w:hAnsi="Times New Roman" w:cs="Times New Roman"/>
          <w:sz w:val="28"/>
          <w:szCs w:val="28"/>
        </w:rPr>
      </w:pPr>
    </w:p>
    <w:p w14:paraId="01FF4C87" w14:textId="77777777" w:rsidR="00526151" w:rsidRPr="00DF7C87" w:rsidRDefault="00526151" w:rsidP="005E54E2">
      <w:pPr>
        <w:rPr>
          <w:rFonts w:ascii="Times New Roman" w:hAnsi="Times New Roman" w:cs="Times New Roman"/>
        </w:rPr>
      </w:pPr>
    </w:p>
    <w:p w14:paraId="3A2789EC" w14:textId="77777777" w:rsidR="00526151" w:rsidRPr="00DF7C87" w:rsidRDefault="00387656" w:rsidP="005E54E2">
      <w:pPr>
        <w:rPr>
          <w:rFonts w:ascii="Times New Roman" w:hAnsi="Times New Roman" w:cs="Times New Roman"/>
        </w:rPr>
      </w:pPr>
      <w:r w:rsidRPr="00DF7C87">
        <w:rPr>
          <w:rFonts w:ascii="Times New Roman" w:hAnsi="Times New Roman" w:cs="Times New Roman"/>
        </w:rPr>
        <w:br w:type="page"/>
      </w:r>
    </w:p>
    <w:p w14:paraId="19E2E307" w14:textId="77777777" w:rsidR="00526151" w:rsidRPr="00DF7C87" w:rsidRDefault="00526151" w:rsidP="005E54E2">
      <w:pPr>
        <w:rPr>
          <w:rFonts w:ascii="Times New Roman" w:hAnsi="Times New Roman" w:cs="Times New Roman"/>
        </w:rPr>
      </w:pPr>
    </w:p>
    <w:p w14:paraId="302C482E" w14:textId="78248B4B" w:rsidR="00236E6D" w:rsidRPr="00DF7C87" w:rsidRDefault="00DF7C87" w:rsidP="005E54E2">
      <w:pPr>
        <w:rPr>
          <w:rFonts w:ascii="Times New Roman" w:hAnsi="Times New Roman" w:cs="Times New Roman"/>
        </w:rPr>
      </w:pPr>
      <w:r>
        <w:rPr>
          <w:rFonts w:ascii="Times New Roman" w:hAnsi="Times New Roman" w:cs="Times New Roman"/>
        </w:rPr>
        <w:t>Copyright © 202</w:t>
      </w:r>
      <w:r w:rsidR="001D66D9">
        <w:rPr>
          <w:rFonts w:ascii="Times New Roman" w:hAnsi="Times New Roman" w:cs="Times New Roman"/>
        </w:rPr>
        <w:t>2</w:t>
      </w:r>
      <w:r w:rsidR="00236E6D" w:rsidRPr="00DF7C87">
        <w:rPr>
          <w:rFonts w:ascii="Times New Roman" w:hAnsi="Times New Roman" w:cs="Times New Roman"/>
        </w:rPr>
        <w:t xml:space="preserve"> by </w:t>
      </w:r>
      <w:r w:rsidR="001D66D9">
        <w:rPr>
          <w:rFonts w:ascii="Times New Roman" w:hAnsi="Times New Roman" w:cs="Times New Roman"/>
        </w:rPr>
        <w:t>Taylor Woods</w:t>
      </w:r>
      <w:r w:rsidR="006E336C">
        <w:rPr>
          <w:rFonts w:ascii="Times New Roman" w:hAnsi="Times New Roman" w:cs="Times New Roman"/>
        </w:rPr>
        <w:t>.</w:t>
      </w:r>
    </w:p>
    <w:p w14:paraId="2DD9CEE0" w14:textId="77777777" w:rsidR="00236E6D" w:rsidRPr="00DF7C87" w:rsidRDefault="00236E6D" w:rsidP="005E54E2">
      <w:pPr>
        <w:rPr>
          <w:rFonts w:ascii="Times New Roman" w:hAnsi="Times New Roman" w:cs="Times New Roman"/>
        </w:rPr>
      </w:pPr>
      <w:r w:rsidRPr="00DF7C87">
        <w:rPr>
          <w:rFonts w:ascii="Times New Roman" w:hAnsi="Times New Roman" w:cs="Times New Roman"/>
        </w:rPr>
        <w:t>All rights reserved.</w:t>
      </w:r>
    </w:p>
    <w:p w14:paraId="17E229C4" w14:textId="77777777" w:rsidR="00236E6D" w:rsidRPr="00DF7C87" w:rsidRDefault="00236E6D" w:rsidP="005E54E2">
      <w:pPr>
        <w:rPr>
          <w:rFonts w:ascii="Times New Roman" w:hAnsi="Times New Roman" w:cs="Times New Roman"/>
        </w:rPr>
      </w:pPr>
    </w:p>
    <w:p w14:paraId="5A68F521" w14:textId="77777777" w:rsidR="00236E6D" w:rsidRPr="00DF7C87" w:rsidRDefault="00236E6D" w:rsidP="005E54E2">
      <w:pPr>
        <w:rPr>
          <w:rFonts w:ascii="Times New Roman" w:hAnsi="Times New Roman" w:cs="Times New Roman"/>
        </w:rPr>
      </w:pPr>
    </w:p>
    <w:p w14:paraId="0790E449" w14:textId="77777777" w:rsidR="00236E6D" w:rsidRPr="00DF7C87" w:rsidRDefault="00236E6D" w:rsidP="005E54E2">
      <w:pPr>
        <w:rPr>
          <w:rFonts w:ascii="Times New Roman" w:hAnsi="Times New Roman" w:cs="Times New Roman"/>
        </w:rPr>
      </w:pPr>
    </w:p>
    <w:p w14:paraId="5C926A35" w14:textId="77777777" w:rsidR="00236E6D" w:rsidRPr="00DF7C87" w:rsidRDefault="00236E6D" w:rsidP="005E54E2">
      <w:pPr>
        <w:rPr>
          <w:rFonts w:ascii="Times New Roman" w:hAnsi="Times New Roman" w:cs="Times New Roman"/>
        </w:rPr>
      </w:pPr>
    </w:p>
    <w:p w14:paraId="78015B1A" w14:textId="77777777" w:rsidR="00236E6D" w:rsidRPr="00DF7C87" w:rsidRDefault="00236E6D" w:rsidP="005E54E2">
      <w:pPr>
        <w:rPr>
          <w:rFonts w:ascii="Times New Roman" w:hAnsi="Times New Roman" w:cs="Times New Roman"/>
        </w:rPr>
      </w:pPr>
    </w:p>
    <w:p w14:paraId="6710EB34" w14:textId="77777777" w:rsidR="00236E6D" w:rsidRPr="00DF7C87" w:rsidRDefault="00236E6D" w:rsidP="005E54E2">
      <w:pPr>
        <w:rPr>
          <w:rFonts w:ascii="Times New Roman" w:hAnsi="Times New Roman" w:cs="Times New Roman"/>
        </w:rPr>
      </w:pPr>
    </w:p>
    <w:p w14:paraId="0F1C265A" w14:textId="77777777" w:rsidR="00236E6D" w:rsidRPr="00DF7C87" w:rsidRDefault="00236E6D" w:rsidP="005E54E2">
      <w:pPr>
        <w:rPr>
          <w:rFonts w:ascii="Times New Roman" w:hAnsi="Times New Roman" w:cs="Times New Roman"/>
        </w:rPr>
      </w:pPr>
    </w:p>
    <w:p w14:paraId="45F7F2DB" w14:textId="77777777" w:rsidR="00236E6D" w:rsidRPr="00DF7C87" w:rsidRDefault="00236E6D" w:rsidP="005E54E2">
      <w:pPr>
        <w:rPr>
          <w:rFonts w:ascii="Times New Roman" w:hAnsi="Times New Roman" w:cs="Times New Roman"/>
        </w:rPr>
      </w:pPr>
    </w:p>
    <w:p w14:paraId="542CA32F" w14:textId="77777777" w:rsidR="00236E6D" w:rsidRPr="00DF7C87" w:rsidRDefault="00236E6D" w:rsidP="005E54E2">
      <w:pPr>
        <w:rPr>
          <w:rFonts w:ascii="Times New Roman" w:hAnsi="Times New Roman" w:cs="Times New Roman"/>
        </w:rPr>
      </w:pPr>
    </w:p>
    <w:p w14:paraId="4F7D23EE" w14:textId="77777777" w:rsidR="00236E6D" w:rsidRPr="00DF7C87" w:rsidRDefault="00236E6D" w:rsidP="005E54E2">
      <w:pPr>
        <w:rPr>
          <w:rFonts w:ascii="Times New Roman" w:hAnsi="Times New Roman" w:cs="Times New Roman"/>
        </w:rPr>
      </w:pPr>
    </w:p>
    <w:p w14:paraId="0ED843D8" w14:textId="77777777" w:rsidR="00236E6D" w:rsidRPr="00DF7C87" w:rsidRDefault="00236E6D" w:rsidP="005E54E2">
      <w:pPr>
        <w:rPr>
          <w:rFonts w:ascii="Times New Roman" w:hAnsi="Times New Roman" w:cs="Times New Roman"/>
        </w:rPr>
      </w:pPr>
    </w:p>
    <w:p w14:paraId="19AF7BE7" w14:textId="77777777" w:rsidR="00236E6D" w:rsidRPr="00DF7C87" w:rsidRDefault="00236E6D" w:rsidP="005E54E2">
      <w:pPr>
        <w:rPr>
          <w:rFonts w:ascii="Times New Roman" w:hAnsi="Times New Roman" w:cs="Times New Roman"/>
        </w:rPr>
      </w:pPr>
    </w:p>
    <w:p w14:paraId="3E82C79B" w14:textId="0ED78A49" w:rsidR="006F5AA4" w:rsidRPr="00DF7C87" w:rsidRDefault="006F5AA4" w:rsidP="006E336C">
      <w:pPr>
        <w:pStyle w:val="Title"/>
        <w:jc w:val="left"/>
        <w:rPr>
          <w:rFonts w:ascii="Times New Roman" w:hAnsi="Times New Roman" w:cs="Times New Roman"/>
        </w:rPr>
      </w:pPr>
    </w:p>
    <w:p w14:paraId="3A3051BC" w14:textId="77777777" w:rsidR="006F5AA4" w:rsidRPr="00DF7C87" w:rsidRDefault="006F5AA4" w:rsidP="00387656">
      <w:pPr>
        <w:jc w:val="center"/>
        <w:rPr>
          <w:rFonts w:ascii="Times New Roman" w:hAnsi="Times New Roman" w:cs="Times New Roman"/>
        </w:rPr>
      </w:pPr>
    </w:p>
    <w:p w14:paraId="6ABC7DA0" w14:textId="77777777" w:rsidR="00904969" w:rsidRPr="00DF7C87" w:rsidRDefault="00904969" w:rsidP="00387656">
      <w:pPr>
        <w:jc w:val="center"/>
        <w:rPr>
          <w:rFonts w:ascii="Times New Roman" w:hAnsi="Times New Roman" w:cs="Times New Roman"/>
        </w:rPr>
      </w:pPr>
    </w:p>
    <w:p w14:paraId="5C2C4548" w14:textId="77777777" w:rsidR="00904969" w:rsidRPr="00DF7C87" w:rsidRDefault="00904969" w:rsidP="00387656">
      <w:pPr>
        <w:jc w:val="center"/>
        <w:rPr>
          <w:rFonts w:ascii="Times New Roman" w:hAnsi="Times New Roman" w:cs="Times New Roman"/>
        </w:rPr>
      </w:pPr>
    </w:p>
    <w:p w14:paraId="296AB30D" w14:textId="77777777" w:rsidR="00904969" w:rsidRPr="00DF7C87" w:rsidRDefault="00904969" w:rsidP="00387656">
      <w:pPr>
        <w:jc w:val="center"/>
        <w:rPr>
          <w:rFonts w:ascii="Times New Roman" w:hAnsi="Times New Roman" w:cs="Times New Roman"/>
        </w:rPr>
      </w:pPr>
    </w:p>
    <w:p w14:paraId="7D63AFAB" w14:textId="77777777" w:rsidR="00CD73A9" w:rsidRPr="00060A6A" w:rsidRDefault="006F5AA4" w:rsidP="00387656">
      <w:pPr>
        <w:pStyle w:val="Title"/>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74572AEE" w14:textId="77777777" w:rsidR="009D794C" w:rsidRPr="00DF7C87" w:rsidRDefault="009D794C" w:rsidP="005E54E2">
      <w:pPr>
        <w:rPr>
          <w:rFonts w:ascii="Times New Roman" w:hAnsi="Times New Roman" w:cs="Times New Roman"/>
        </w:rPr>
      </w:pPr>
    </w:p>
    <w:p w14:paraId="4F16D762" w14:textId="5A981117" w:rsidR="0085757D" w:rsidRPr="00DF7C87" w:rsidRDefault="00A34F5F" w:rsidP="00467200">
      <w:pPr>
        <w:jc w:val="both"/>
        <w:rPr>
          <w:rFonts w:ascii="Times New Roman" w:hAnsi="Times New Roman" w:cs="Times New Roman"/>
        </w:rPr>
      </w:pPr>
      <w:r w:rsidRPr="00DF7C87">
        <w:rPr>
          <w:rFonts w:ascii="Times New Roman" w:hAnsi="Times New Roman" w:cs="Times New Roman"/>
        </w:rPr>
        <w:t xml:space="preserve">Thank you </w:t>
      </w:r>
      <w:r w:rsidR="004523E9">
        <w:rPr>
          <w:rFonts w:ascii="Times New Roman" w:hAnsi="Times New Roman" w:cs="Times New Roman"/>
        </w:rPr>
        <w:t>first and foremost to Dr. Xingli Giam</w:t>
      </w:r>
      <w:r w:rsidR="00E850F8">
        <w:rPr>
          <w:rFonts w:ascii="Times New Roman" w:hAnsi="Times New Roman" w:cs="Times New Roman"/>
        </w:rPr>
        <w:t xml:space="preserve"> for his mentorship over the course of this dissertation</w:t>
      </w:r>
      <w:r w:rsidR="008B590E">
        <w:rPr>
          <w:rFonts w:ascii="Times New Roman" w:hAnsi="Times New Roman" w:cs="Times New Roman"/>
        </w:rPr>
        <w:t xml:space="preserve"> which equipped me with the </w:t>
      </w:r>
      <w:r w:rsidR="005B7D3C">
        <w:rPr>
          <w:rFonts w:ascii="Times New Roman" w:hAnsi="Times New Roman" w:cs="Times New Roman"/>
        </w:rPr>
        <w:t xml:space="preserve">experiences, </w:t>
      </w:r>
      <w:r w:rsidR="00765225">
        <w:rPr>
          <w:rFonts w:ascii="Times New Roman" w:hAnsi="Times New Roman" w:cs="Times New Roman"/>
        </w:rPr>
        <w:t>skills,</w:t>
      </w:r>
      <w:r w:rsidR="008B590E">
        <w:rPr>
          <w:rFonts w:ascii="Times New Roman" w:hAnsi="Times New Roman" w:cs="Times New Roman"/>
        </w:rPr>
        <w:t xml:space="preserve"> and training </w:t>
      </w:r>
      <w:r w:rsidR="00DE0788">
        <w:rPr>
          <w:rFonts w:ascii="Times New Roman" w:hAnsi="Times New Roman" w:cs="Times New Roman"/>
        </w:rPr>
        <w:t xml:space="preserve">required </w:t>
      </w:r>
      <w:r w:rsidR="005B7D3C">
        <w:rPr>
          <w:rFonts w:ascii="Times New Roman" w:hAnsi="Times New Roman" w:cs="Times New Roman"/>
        </w:rPr>
        <w:t>for</w:t>
      </w:r>
      <w:r w:rsidR="008B590E">
        <w:rPr>
          <w:rFonts w:ascii="Times New Roman" w:hAnsi="Times New Roman" w:cs="Times New Roman"/>
        </w:rPr>
        <w:t xml:space="preserve"> success in my career as independent researcher</w:t>
      </w:r>
      <w:r w:rsidR="008865B6" w:rsidRPr="00DF7C87">
        <w:rPr>
          <w:rFonts w:ascii="Times New Roman" w:hAnsi="Times New Roman" w:cs="Times New Roman"/>
        </w:rPr>
        <w:t>.</w:t>
      </w:r>
      <w:r w:rsidR="00E850F8">
        <w:rPr>
          <w:rFonts w:ascii="Times New Roman" w:hAnsi="Times New Roman" w:cs="Times New Roman"/>
        </w:rPr>
        <w:t xml:space="preserve"> </w:t>
      </w:r>
      <w:r w:rsidR="00F623AB">
        <w:rPr>
          <w:rFonts w:ascii="Times New Roman" w:hAnsi="Times New Roman" w:cs="Times New Roman"/>
        </w:rPr>
        <w:t>Many thanks to my committee</w:t>
      </w:r>
      <w:r w:rsidR="00CB2881">
        <w:rPr>
          <w:rFonts w:ascii="Times New Roman" w:hAnsi="Times New Roman" w:cs="Times New Roman"/>
        </w:rPr>
        <w:t xml:space="preserve">, Dr. Paul Armsworth, Dr. </w:t>
      </w:r>
      <w:r w:rsidR="00342DE7">
        <w:rPr>
          <w:rFonts w:ascii="Times New Roman" w:hAnsi="Times New Roman" w:cs="Times New Roman"/>
        </w:rPr>
        <w:t>Gus</w:t>
      </w:r>
      <w:r w:rsidR="00CB2881">
        <w:rPr>
          <w:rFonts w:ascii="Times New Roman" w:hAnsi="Times New Roman" w:cs="Times New Roman"/>
        </w:rPr>
        <w:t xml:space="preserve"> Engman, and Dr. Mon</w:t>
      </w:r>
      <w:r w:rsidR="00342DE7">
        <w:rPr>
          <w:rFonts w:ascii="Times New Roman" w:hAnsi="Times New Roman" w:cs="Times New Roman"/>
        </w:rPr>
        <w:t>a Papeş, for their valuable feedback</w:t>
      </w:r>
      <w:r w:rsidR="006B3782">
        <w:rPr>
          <w:rFonts w:ascii="Times New Roman" w:hAnsi="Times New Roman" w:cs="Times New Roman"/>
        </w:rPr>
        <w:t xml:space="preserve">. </w:t>
      </w:r>
      <w:r w:rsidR="0057795B">
        <w:rPr>
          <w:rFonts w:ascii="Times New Roman" w:hAnsi="Times New Roman" w:cs="Times New Roman"/>
        </w:rPr>
        <w:t>I’m also grateful</w:t>
      </w:r>
      <w:r w:rsidR="00E850F8">
        <w:rPr>
          <w:rFonts w:ascii="Times New Roman" w:hAnsi="Times New Roman" w:cs="Times New Roman"/>
        </w:rPr>
        <w:t xml:space="preserve"> to </w:t>
      </w:r>
      <w:r w:rsidR="00EA7044">
        <w:rPr>
          <w:rFonts w:ascii="Times New Roman" w:hAnsi="Times New Roman" w:cs="Times New Roman"/>
        </w:rPr>
        <w:t>Dr</w:t>
      </w:r>
      <w:r w:rsidR="00E850F8">
        <w:rPr>
          <w:rFonts w:ascii="Times New Roman" w:hAnsi="Times New Roman" w:cs="Times New Roman"/>
        </w:rPr>
        <w:t xml:space="preserve">. Daniel McGarvey for introducing me to freshwater macroecology. </w:t>
      </w:r>
      <w:r w:rsidR="005B7D3C">
        <w:rPr>
          <w:rFonts w:ascii="Times New Roman" w:hAnsi="Times New Roman" w:cs="Times New Roman"/>
        </w:rPr>
        <w:t>Finally, thank you to Ross, Mom</w:t>
      </w:r>
      <w:r w:rsidR="0053462B">
        <w:rPr>
          <w:rFonts w:ascii="Times New Roman" w:hAnsi="Times New Roman" w:cs="Times New Roman"/>
        </w:rPr>
        <w:t xml:space="preserve"> and</w:t>
      </w:r>
      <w:r w:rsidR="005B7D3C">
        <w:rPr>
          <w:rFonts w:ascii="Times New Roman" w:hAnsi="Times New Roman" w:cs="Times New Roman"/>
        </w:rPr>
        <w:t xml:space="preserve"> Da</w:t>
      </w:r>
      <w:r w:rsidR="0053462B">
        <w:rPr>
          <w:rFonts w:ascii="Times New Roman" w:hAnsi="Times New Roman" w:cs="Times New Roman"/>
        </w:rPr>
        <w:t>d</w:t>
      </w:r>
      <w:r w:rsidR="005B7D3C">
        <w:rPr>
          <w:rFonts w:ascii="Times New Roman" w:hAnsi="Times New Roman" w:cs="Times New Roman"/>
        </w:rPr>
        <w:t xml:space="preserve">, Big Cat, Adrienne, Bemmett, </w:t>
      </w:r>
      <w:r w:rsidR="00D614F3">
        <w:rPr>
          <w:rFonts w:ascii="Times New Roman" w:hAnsi="Times New Roman" w:cs="Times New Roman"/>
        </w:rPr>
        <w:t xml:space="preserve">Doah, Dauphine, </w:t>
      </w:r>
      <w:r w:rsidR="005B7D3C">
        <w:rPr>
          <w:rFonts w:ascii="Times New Roman" w:hAnsi="Times New Roman" w:cs="Times New Roman"/>
        </w:rPr>
        <w:t xml:space="preserve">and </w:t>
      </w:r>
      <w:r w:rsidR="00F817E5">
        <w:rPr>
          <w:rFonts w:ascii="Times New Roman" w:hAnsi="Times New Roman" w:cs="Times New Roman"/>
        </w:rPr>
        <w:t xml:space="preserve">all </w:t>
      </w:r>
      <w:r w:rsidR="005B7D3C">
        <w:rPr>
          <w:rFonts w:ascii="Times New Roman" w:hAnsi="Times New Roman" w:cs="Times New Roman"/>
        </w:rPr>
        <w:t xml:space="preserve">the miscellaneous Woodses and Hammitts for </w:t>
      </w:r>
      <w:r w:rsidR="000D2871">
        <w:rPr>
          <w:rFonts w:ascii="Times New Roman" w:hAnsi="Times New Roman" w:cs="Times New Roman"/>
        </w:rPr>
        <w:t>supporting my personal</w:t>
      </w:r>
      <w:r w:rsidR="00D9405A">
        <w:rPr>
          <w:rFonts w:ascii="Times New Roman" w:hAnsi="Times New Roman" w:cs="Times New Roman"/>
        </w:rPr>
        <w:t xml:space="preserve"> and professional pursuits throughout the years</w:t>
      </w:r>
      <w:r w:rsidR="005B7D3C">
        <w:rPr>
          <w:rFonts w:ascii="Times New Roman" w:hAnsi="Times New Roman" w:cs="Times New Roman"/>
        </w:rPr>
        <w:t>.</w:t>
      </w:r>
    </w:p>
    <w:p w14:paraId="3A51AC3C" w14:textId="77777777" w:rsidR="0085757D" w:rsidRPr="00DF7C87" w:rsidRDefault="0085757D" w:rsidP="005E54E2">
      <w:pPr>
        <w:rPr>
          <w:rFonts w:ascii="Times New Roman" w:hAnsi="Times New Roman" w:cs="Times New Roman"/>
        </w:rPr>
      </w:pPr>
    </w:p>
    <w:p w14:paraId="6A494745" w14:textId="77777777" w:rsidR="00904969" w:rsidRPr="00DF7C87" w:rsidRDefault="00904969" w:rsidP="005E54E2">
      <w:pPr>
        <w:rPr>
          <w:rFonts w:ascii="Times New Roman" w:hAnsi="Times New Roman" w:cs="Times New Roman"/>
        </w:rPr>
      </w:pPr>
    </w:p>
    <w:p w14:paraId="18401B3A" w14:textId="77777777" w:rsidR="00904969" w:rsidRPr="00DF7C87" w:rsidRDefault="00904969" w:rsidP="005E54E2">
      <w:pPr>
        <w:rPr>
          <w:rFonts w:ascii="Times New Roman" w:hAnsi="Times New Roman" w:cs="Times New Roman"/>
        </w:rPr>
      </w:pPr>
    </w:p>
    <w:p w14:paraId="6E614EE4" w14:textId="77777777" w:rsidR="00904969" w:rsidRPr="00DF7C87" w:rsidRDefault="00904969" w:rsidP="005E54E2">
      <w:pPr>
        <w:rPr>
          <w:rFonts w:ascii="Times New Roman" w:hAnsi="Times New Roman" w:cs="Times New Roman"/>
        </w:rPr>
      </w:pPr>
    </w:p>
    <w:p w14:paraId="261C8454" w14:textId="77777777" w:rsidR="00236E6D" w:rsidRPr="00060A6A" w:rsidRDefault="0085757D" w:rsidP="00387656">
      <w:pPr>
        <w:pStyle w:val="Title"/>
        <w:rPr>
          <w:rFonts w:ascii="Times New Roman" w:hAnsi="Times New Roman" w:cs="Times New Roman"/>
          <w:szCs w:val="28"/>
        </w:rPr>
      </w:pPr>
      <w:r w:rsidRPr="00DF7C87">
        <w:rPr>
          <w:rFonts w:ascii="Times New Roman" w:hAnsi="Times New Roman" w:cs="Times New Roman"/>
          <w:sz w:val="24"/>
        </w:rPr>
        <w:br w:type="page"/>
      </w:r>
      <w:r w:rsidR="00236E6D" w:rsidRPr="00060A6A">
        <w:rPr>
          <w:rFonts w:ascii="Times New Roman" w:hAnsi="Times New Roman" w:cs="Times New Roman"/>
          <w:szCs w:val="28"/>
        </w:rPr>
        <w:lastRenderedPageBreak/>
        <w:t>ABSTRACT</w:t>
      </w:r>
    </w:p>
    <w:p w14:paraId="12863392" w14:textId="77777777" w:rsidR="00A50F5A" w:rsidRPr="00DF7C87" w:rsidRDefault="00A50F5A" w:rsidP="00667870">
      <w:pPr>
        <w:rPr>
          <w:rFonts w:ascii="Times New Roman" w:hAnsi="Times New Roman" w:cs="Times New Roman"/>
        </w:rPr>
      </w:pPr>
    </w:p>
    <w:p w14:paraId="423DE7DD" w14:textId="321DD8FD" w:rsidR="0085757D" w:rsidRPr="00DF7C87" w:rsidRDefault="00667870" w:rsidP="004317A3">
      <w:pPr>
        <w:ind w:firstLine="720"/>
        <w:jc w:val="both"/>
        <w:rPr>
          <w:rFonts w:ascii="Times New Roman" w:hAnsi="Times New Roman" w:cs="Times New Roman"/>
        </w:rPr>
      </w:pPr>
      <w:r>
        <w:rPr>
          <w:rFonts w:ascii="Times New Roman" w:hAnsi="Times New Roman" w:cs="Times New Roman"/>
        </w:rPr>
        <w:t>Macroecology seeks to understand processes underlying biodiversity patterns at large spatiotemporal scales</w:t>
      </w:r>
      <w:r w:rsidR="00A50F5A" w:rsidRPr="00DF7C87">
        <w:rPr>
          <w:rFonts w:ascii="Times New Roman" w:hAnsi="Times New Roman" w:cs="Times New Roman"/>
        </w:rPr>
        <w:t>.</w:t>
      </w:r>
      <w:r w:rsidR="00E31468">
        <w:rPr>
          <w:rFonts w:ascii="Times New Roman" w:hAnsi="Times New Roman" w:cs="Times New Roman"/>
        </w:rPr>
        <w:t xml:space="preserve"> Aided by increases in publicly available datasets, macroecologists have made </w:t>
      </w:r>
      <w:r w:rsidR="00C62031">
        <w:rPr>
          <w:rFonts w:ascii="Times New Roman" w:hAnsi="Times New Roman" w:cs="Times New Roman"/>
        </w:rPr>
        <w:t xml:space="preserve">substantial </w:t>
      </w:r>
      <w:r w:rsidR="00E31468">
        <w:rPr>
          <w:rFonts w:ascii="Times New Roman" w:hAnsi="Times New Roman" w:cs="Times New Roman"/>
        </w:rPr>
        <w:t xml:space="preserve">progress towards these aims in recent decades. However, </w:t>
      </w:r>
      <w:r w:rsidR="003B45F7">
        <w:rPr>
          <w:rFonts w:ascii="Times New Roman" w:hAnsi="Times New Roman" w:cs="Times New Roman"/>
        </w:rPr>
        <w:t>much of this knowledge comes from terrestrial habitats</w:t>
      </w:r>
      <w:r w:rsidR="00C62031">
        <w:rPr>
          <w:rFonts w:ascii="Times New Roman" w:hAnsi="Times New Roman" w:cs="Times New Roman"/>
        </w:rPr>
        <w:t>,</w:t>
      </w:r>
      <w:r w:rsidR="003B45F7">
        <w:rPr>
          <w:rFonts w:ascii="Times New Roman" w:hAnsi="Times New Roman" w:cs="Times New Roman"/>
        </w:rPr>
        <w:t xml:space="preserve"> with comparably fewer macroecological studies in freshwaters. </w:t>
      </w:r>
      <w:r w:rsidR="00D86912">
        <w:rPr>
          <w:rFonts w:ascii="Times New Roman" w:hAnsi="Times New Roman" w:cs="Times New Roman"/>
        </w:rPr>
        <w:t xml:space="preserve">Freshwater environments are </w:t>
      </w:r>
      <w:r w:rsidR="00D06DF3">
        <w:rPr>
          <w:rFonts w:ascii="Times New Roman" w:hAnsi="Times New Roman" w:cs="Times New Roman"/>
        </w:rPr>
        <w:t xml:space="preserve">interesting contexts for </w:t>
      </w:r>
      <w:r w:rsidR="00C62031">
        <w:rPr>
          <w:rFonts w:ascii="Times New Roman" w:hAnsi="Times New Roman" w:cs="Times New Roman"/>
        </w:rPr>
        <w:t>macro</w:t>
      </w:r>
      <w:r w:rsidR="00D86912">
        <w:rPr>
          <w:rFonts w:ascii="Times New Roman" w:hAnsi="Times New Roman" w:cs="Times New Roman"/>
        </w:rPr>
        <w:t xml:space="preserve">ecological research owed to high biodiversity, particularly </w:t>
      </w:r>
      <w:r w:rsidR="00C62031">
        <w:rPr>
          <w:rFonts w:ascii="Times New Roman" w:hAnsi="Times New Roman" w:cs="Times New Roman"/>
        </w:rPr>
        <w:t xml:space="preserve">in </w:t>
      </w:r>
      <w:r w:rsidR="00D86912">
        <w:rPr>
          <w:rFonts w:ascii="Times New Roman" w:hAnsi="Times New Roman" w:cs="Times New Roman"/>
        </w:rPr>
        <w:t>ectotherm</w:t>
      </w:r>
      <w:r w:rsidR="00C62031">
        <w:rPr>
          <w:rFonts w:ascii="Times New Roman" w:hAnsi="Times New Roman" w:cs="Times New Roman"/>
        </w:rPr>
        <w:t>ic taxa</w:t>
      </w:r>
      <w:r w:rsidR="00D86912">
        <w:rPr>
          <w:rFonts w:ascii="Times New Roman" w:hAnsi="Times New Roman" w:cs="Times New Roman"/>
        </w:rPr>
        <w:t xml:space="preserve"> that may be disproportionately threatened by global change.</w:t>
      </w:r>
      <w:r w:rsidR="00D06DF3">
        <w:rPr>
          <w:rFonts w:ascii="Times New Roman" w:hAnsi="Times New Roman" w:cs="Times New Roman"/>
        </w:rPr>
        <w:t xml:space="preserve"> Therefore, large scale approaches will be necessary to adequately assess risks posed to these systems by regional to global anthropogenic</w:t>
      </w:r>
      <w:r w:rsidR="00C62031">
        <w:rPr>
          <w:rFonts w:ascii="Times New Roman" w:hAnsi="Times New Roman" w:cs="Times New Roman"/>
        </w:rPr>
        <w:t xml:space="preserve"> stressors</w:t>
      </w:r>
      <w:r w:rsidR="00D06DF3">
        <w:rPr>
          <w:rFonts w:ascii="Times New Roman" w:hAnsi="Times New Roman" w:cs="Times New Roman"/>
        </w:rPr>
        <w:t xml:space="preserve">. This dissertation leverages recently available datasets to advance the field of freshwater macroecology. </w:t>
      </w:r>
      <w:r w:rsidR="006A78D8">
        <w:rPr>
          <w:rFonts w:ascii="Times New Roman" w:hAnsi="Times New Roman" w:cs="Times New Roman"/>
        </w:rPr>
        <w:t>I</w:t>
      </w:r>
      <w:r w:rsidR="00D20FC7">
        <w:rPr>
          <w:rFonts w:ascii="Times New Roman" w:hAnsi="Times New Roman" w:cs="Times New Roman"/>
        </w:rPr>
        <w:t xml:space="preserve"> use data-intensive analyses </w:t>
      </w:r>
      <w:r w:rsidR="00CD4B48">
        <w:rPr>
          <w:rFonts w:ascii="Times New Roman" w:hAnsi="Times New Roman" w:cs="Times New Roman"/>
        </w:rPr>
        <w:t xml:space="preserve">and </w:t>
      </w:r>
      <w:r w:rsidR="00C62031">
        <w:rPr>
          <w:rFonts w:ascii="Times New Roman" w:hAnsi="Times New Roman" w:cs="Times New Roman"/>
        </w:rPr>
        <w:t>syntheses</w:t>
      </w:r>
      <w:r w:rsidR="00CD4B48">
        <w:rPr>
          <w:rFonts w:ascii="Times New Roman" w:hAnsi="Times New Roman" w:cs="Times New Roman"/>
        </w:rPr>
        <w:t xml:space="preserve"> </w:t>
      </w:r>
      <w:r w:rsidR="00D20FC7">
        <w:rPr>
          <w:rFonts w:ascii="Times New Roman" w:hAnsi="Times New Roman" w:cs="Times New Roman"/>
        </w:rPr>
        <w:t>to test and evaluate hypothesized mechanisms underlying patterns in freshwater biodiversity, biomass, and phenology.</w:t>
      </w:r>
      <w:r w:rsidR="0061515A">
        <w:rPr>
          <w:rFonts w:ascii="Times New Roman" w:hAnsi="Times New Roman" w:cs="Times New Roman"/>
        </w:rPr>
        <w:t xml:space="preserve"> </w:t>
      </w:r>
      <w:r w:rsidR="006A78D8">
        <w:rPr>
          <w:rFonts w:ascii="Times New Roman" w:hAnsi="Times New Roman" w:cs="Times New Roman"/>
        </w:rPr>
        <w:t>I</w:t>
      </w:r>
      <w:r w:rsidR="0061515A">
        <w:rPr>
          <w:rFonts w:ascii="Times New Roman" w:hAnsi="Times New Roman" w:cs="Times New Roman"/>
        </w:rPr>
        <w:t xml:space="preserve"> synthesize freshwater phenology literature to identify prevalent abiotic and intrinsic drivers of phenology regimes</w:t>
      </w:r>
      <w:r w:rsidR="00954AA5">
        <w:rPr>
          <w:rFonts w:ascii="Times New Roman" w:hAnsi="Times New Roman" w:cs="Times New Roman"/>
        </w:rPr>
        <w:t xml:space="preserve"> and use this information to </w:t>
      </w:r>
      <w:r w:rsidR="00CD4B48">
        <w:rPr>
          <w:rFonts w:ascii="Times New Roman" w:hAnsi="Times New Roman" w:cs="Times New Roman"/>
        </w:rPr>
        <w:t>provide recommendations for more robust assessments of phenological change in freshwaters</w:t>
      </w:r>
      <w:r w:rsidR="0061515A">
        <w:rPr>
          <w:rFonts w:ascii="Times New Roman" w:hAnsi="Times New Roman" w:cs="Times New Roman"/>
        </w:rPr>
        <w:t>.</w:t>
      </w:r>
      <w:r w:rsidR="00CD4B48">
        <w:rPr>
          <w:rFonts w:ascii="Times New Roman" w:hAnsi="Times New Roman" w:cs="Times New Roman"/>
        </w:rPr>
        <w:t xml:space="preserve"> </w:t>
      </w:r>
      <w:r w:rsidR="006A78D8">
        <w:rPr>
          <w:rFonts w:ascii="Times New Roman" w:hAnsi="Times New Roman" w:cs="Times New Roman"/>
        </w:rPr>
        <w:t>I</w:t>
      </w:r>
      <w:r w:rsidR="00CD4B48">
        <w:rPr>
          <w:rFonts w:ascii="Times New Roman" w:hAnsi="Times New Roman" w:cs="Times New Roman"/>
        </w:rPr>
        <w:t xml:space="preserve"> </w:t>
      </w:r>
      <w:r w:rsidR="003C23E4">
        <w:rPr>
          <w:rFonts w:ascii="Times New Roman" w:hAnsi="Times New Roman" w:cs="Times New Roman"/>
        </w:rPr>
        <w:t>a</w:t>
      </w:r>
      <w:r w:rsidR="00BD782E">
        <w:rPr>
          <w:rFonts w:ascii="Times New Roman" w:hAnsi="Times New Roman" w:cs="Times New Roman"/>
        </w:rPr>
        <w:t xml:space="preserve">ssess mechanisms underlying the biodiversity-ecosystem functioning relationship in riverine stream fish assemblages and </w:t>
      </w:r>
      <w:r w:rsidR="00294AD0">
        <w:rPr>
          <w:rFonts w:ascii="Times New Roman" w:hAnsi="Times New Roman" w:cs="Times New Roman"/>
        </w:rPr>
        <w:t xml:space="preserve">assess how non-native species introductions can affect this relationship. </w:t>
      </w:r>
      <w:r w:rsidR="006A78D8">
        <w:rPr>
          <w:rFonts w:ascii="Times New Roman" w:hAnsi="Times New Roman" w:cs="Times New Roman"/>
        </w:rPr>
        <w:t>I</w:t>
      </w:r>
      <w:r w:rsidR="00902B2F">
        <w:rPr>
          <w:rFonts w:ascii="Times New Roman" w:hAnsi="Times New Roman" w:cs="Times New Roman"/>
        </w:rPr>
        <w:t xml:space="preserve"> conduct a survey and synthesis of contemporary freshwater community science sampling efforts to inform where freshwater macroecologists can leverage these emerging data sources and </w:t>
      </w:r>
      <w:r w:rsidR="00157339">
        <w:rPr>
          <w:rFonts w:ascii="Times New Roman" w:hAnsi="Times New Roman" w:cs="Times New Roman"/>
        </w:rPr>
        <w:t>identify sampling and participation gaps which could be prioritized by novel sampling efforts.</w:t>
      </w:r>
      <w:r w:rsidR="0044703B">
        <w:rPr>
          <w:rFonts w:ascii="Times New Roman" w:hAnsi="Times New Roman" w:cs="Times New Roman"/>
        </w:rPr>
        <w:t xml:space="preserve"> </w:t>
      </w:r>
      <w:r w:rsidR="006A78D8">
        <w:rPr>
          <w:rFonts w:ascii="Times New Roman" w:hAnsi="Times New Roman" w:cs="Times New Roman"/>
        </w:rPr>
        <w:t>I</w:t>
      </w:r>
      <w:r w:rsidR="0044703B">
        <w:rPr>
          <w:rFonts w:ascii="Times New Roman" w:hAnsi="Times New Roman" w:cs="Times New Roman"/>
        </w:rPr>
        <w:t xml:space="preserve"> unify processes underlying patterns in stream fish body size across biological scales </w:t>
      </w:r>
      <w:r w:rsidR="005623C3">
        <w:rPr>
          <w:rFonts w:ascii="Times New Roman" w:hAnsi="Times New Roman" w:cs="Times New Roman"/>
        </w:rPr>
        <w:t xml:space="preserve">to </w:t>
      </w:r>
      <w:r w:rsidR="00933DFB">
        <w:rPr>
          <w:rFonts w:ascii="Times New Roman" w:hAnsi="Times New Roman" w:cs="Times New Roman"/>
        </w:rPr>
        <w:t xml:space="preserve">overcome discrepancies </w:t>
      </w:r>
      <w:r w:rsidR="005623C3">
        <w:rPr>
          <w:rFonts w:ascii="Times New Roman" w:hAnsi="Times New Roman" w:cs="Times New Roman"/>
        </w:rPr>
        <w:t xml:space="preserve">created by </w:t>
      </w:r>
      <w:r w:rsidR="000638B5">
        <w:rPr>
          <w:rFonts w:ascii="Times New Roman" w:hAnsi="Times New Roman" w:cs="Times New Roman"/>
        </w:rPr>
        <w:t xml:space="preserve">prior </w:t>
      </w:r>
      <w:r w:rsidR="005623C3">
        <w:rPr>
          <w:rFonts w:ascii="Times New Roman" w:hAnsi="Times New Roman" w:cs="Times New Roman"/>
        </w:rPr>
        <w:t>data limited research.</w:t>
      </w:r>
      <w:r w:rsidR="003E41E4">
        <w:rPr>
          <w:rFonts w:ascii="Times New Roman" w:hAnsi="Times New Roman" w:cs="Times New Roman"/>
        </w:rPr>
        <w:t xml:space="preserve"> </w:t>
      </w:r>
      <w:r w:rsidR="001329EA">
        <w:rPr>
          <w:rFonts w:ascii="Times New Roman" w:hAnsi="Times New Roman" w:cs="Times New Roman"/>
        </w:rPr>
        <w:t>This dissertation fills knowledge gaps in freshwater macroecology and provides</w:t>
      </w:r>
      <w:r w:rsidR="00AD1278">
        <w:rPr>
          <w:rFonts w:ascii="Times New Roman" w:hAnsi="Times New Roman" w:cs="Times New Roman"/>
        </w:rPr>
        <w:t xml:space="preserve"> </w:t>
      </w:r>
      <w:r w:rsidR="00A1468E">
        <w:rPr>
          <w:rFonts w:ascii="Times New Roman" w:hAnsi="Times New Roman" w:cs="Times New Roman"/>
        </w:rPr>
        <w:t>novel lines of inquiry to be explored by future research efforts.</w:t>
      </w:r>
      <w:r w:rsidR="001329EA">
        <w:rPr>
          <w:rFonts w:ascii="Times New Roman" w:hAnsi="Times New Roman" w:cs="Times New Roman"/>
        </w:rPr>
        <w:t xml:space="preserve"> </w:t>
      </w:r>
    </w:p>
    <w:p w14:paraId="5BF4E479" w14:textId="77777777" w:rsidR="00236E6D" w:rsidRPr="00DF7C87" w:rsidRDefault="00236E6D" w:rsidP="00387656">
      <w:pPr>
        <w:rPr>
          <w:rFonts w:ascii="Times New Roman" w:hAnsi="Times New Roman" w:cs="Times New Roman"/>
        </w:rPr>
      </w:pPr>
      <w:r w:rsidRPr="00DF7C87">
        <w:rPr>
          <w:rFonts w:ascii="Times New Roman" w:hAnsi="Times New Roman" w:cs="Times New Roman"/>
        </w:rPr>
        <w:br w:type="page"/>
      </w:r>
    </w:p>
    <w:p w14:paraId="5CEDD1F8"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2A9CF308" w14:textId="77777777" w:rsidR="00387656" w:rsidRPr="008F2EA4" w:rsidRDefault="00387656" w:rsidP="00387656">
      <w:pPr>
        <w:pStyle w:val="Title"/>
        <w:rPr>
          <w:rFonts w:ascii="Times New Roman" w:hAnsi="Times New Roman" w:cs="Times New Roman"/>
          <w:sz w:val="24"/>
        </w:rPr>
      </w:pPr>
    </w:p>
    <w:p w14:paraId="48E88CC3" w14:textId="38675357" w:rsidR="0069153B" w:rsidRPr="0069153B" w:rsidRDefault="00387656">
      <w:pPr>
        <w:pStyle w:val="TOC1"/>
        <w:tabs>
          <w:tab w:val="right" w:leader="dot" w:pos="8630"/>
        </w:tabs>
        <w:rPr>
          <w:rFonts w:ascii="Times New Roman" w:eastAsiaTheme="minorEastAsia" w:hAnsi="Times New Roman" w:cs="Times New Roman"/>
          <w:noProof/>
          <w:sz w:val="22"/>
          <w:szCs w:val="22"/>
        </w:rPr>
      </w:pPr>
      <w:r w:rsidRPr="008F2EA4">
        <w:rPr>
          <w:rFonts w:ascii="Times New Roman" w:hAnsi="Times New Roman" w:cs="Times New Roman"/>
        </w:rPr>
        <w:fldChar w:fldCharType="begin"/>
      </w:r>
      <w:r w:rsidRPr="0069153B">
        <w:rPr>
          <w:rFonts w:ascii="Times New Roman" w:hAnsi="Times New Roman" w:cs="Times New Roman"/>
        </w:rPr>
        <w:instrText xml:space="preserve"> TOC \o "1-3" \h \z \u </w:instrText>
      </w:r>
      <w:r w:rsidRPr="008F2EA4">
        <w:rPr>
          <w:rFonts w:ascii="Times New Roman" w:hAnsi="Times New Roman" w:cs="Times New Roman"/>
        </w:rPr>
        <w:fldChar w:fldCharType="separate"/>
      </w:r>
      <w:hyperlink w:anchor="_Toc100607870" w:history="1">
        <w:r w:rsidR="0069153B" w:rsidRPr="0069153B">
          <w:rPr>
            <w:rStyle w:val="Hyperlink"/>
            <w:rFonts w:ascii="Times New Roman" w:hAnsi="Times New Roman" w:cs="Times New Roman"/>
            <w:noProof/>
          </w:rPr>
          <w:t>INTRODUCTION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w:t>
        </w:r>
        <w:r w:rsidR="0069153B" w:rsidRPr="0069153B">
          <w:rPr>
            <w:rFonts w:ascii="Times New Roman" w:hAnsi="Times New Roman" w:cs="Times New Roman"/>
            <w:noProof/>
            <w:webHidden/>
          </w:rPr>
          <w:fldChar w:fldCharType="end"/>
        </w:r>
      </w:hyperlink>
    </w:p>
    <w:p w14:paraId="1C6CE863" w14:textId="47EF5C7C"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71" w:history="1">
        <w:r w:rsidR="0069153B" w:rsidRPr="0069153B">
          <w:rPr>
            <w:rStyle w:val="Hyperlink"/>
            <w:rFonts w:ascii="Times New Roman" w:hAnsi="Times New Roman" w:cs="Times New Roman"/>
            <w:noProof/>
          </w:rPr>
          <w:t>References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w:t>
        </w:r>
        <w:r w:rsidR="0069153B" w:rsidRPr="0069153B">
          <w:rPr>
            <w:rFonts w:ascii="Times New Roman" w:hAnsi="Times New Roman" w:cs="Times New Roman"/>
            <w:noProof/>
            <w:webHidden/>
          </w:rPr>
          <w:fldChar w:fldCharType="end"/>
        </w:r>
      </w:hyperlink>
    </w:p>
    <w:p w14:paraId="191BE5C0" w14:textId="765E8169"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872" w:history="1">
        <w:r w:rsidR="0069153B" w:rsidRPr="0069153B">
          <w:rPr>
            <w:rStyle w:val="Hyperlink"/>
            <w:rFonts w:ascii="Times New Roman" w:hAnsi="Times New Roman" w:cs="Times New Roman"/>
            <w:noProof/>
          </w:rPr>
          <w:t>CHAPTER 1 PHENOLOGY IN FRESHWATERS: A REVIEW AND RECOMMENDATIONS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3</w:t>
        </w:r>
        <w:r w:rsidR="0069153B" w:rsidRPr="0069153B">
          <w:rPr>
            <w:rFonts w:ascii="Times New Roman" w:hAnsi="Times New Roman" w:cs="Times New Roman"/>
            <w:noProof/>
            <w:webHidden/>
          </w:rPr>
          <w:fldChar w:fldCharType="end"/>
        </w:r>
      </w:hyperlink>
    </w:p>
    <w:p w14:paraId="5E49AAAC" w14:textId="297324A7"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73" w:history="1">
        <w:r w:rsidR="0069153B" w:rsidRPr="0069153B">
          <w:rPr>
            <w:rStyle w:val="Hyperlink"/>
            <w:rFonts w:ascii="Times New Roman" w:hAnsi="Times New Roman" w:cs="Times New Roman"/>
            <w:noProof/>
          </w:rPr>
          <w:t>Abstract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4</w:t>
        </w:r>
        <w:r w:rsidR="0069153B" w:rsidRPr="0069153B">
          <w:rPr>
            <w:rFonts w:ascii="Times New Roman" w:hAnsi="Times New Roman" w:cs="Times New Roman"/>
            <w:noProof/>
            <w:webHidden/>
          </w:rPr>
          <w:fldChar w:fldCharType="end"/>
        </w:r>
      </w:hyperlink>
    </w:p>
    <w:p w14:paraId="4B2583F7" w14:textId="005A4E30"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74" w:history="1">
        <w:r w:rsidR="0069153B" w:rsidRPr="0069153B">
          <w:rPr>
            <w:rStyle w:val="Hyperlink"/>
            <w:rFonts w:ascii="Times New Roman" w:hAnsi="Times New Roman" w:cs="Times New Roman"/>
            <w:noProof/>
          </w:rPr>
          <w:t>Introduction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4</w:t>
        </w:r>
        <w:r w:rsidR="0069153B" w:rsidRPr="0069153B">
          <w:rPr>
            <w:rFonts w:ascii="Times New Roman" w:hAnsi="Times New Roman" w:cs="Times New Roman"/>
            <w:noProof/>
            <w:webHidden/>
          </w:rPr>
          <w:fldChar w:fldCharType="end"/>
        </w:r>
      </w:hyperlink>
    </w:p>
    <w:p w14:paraId="794481C1" w14:textId="08352667"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75" w:history="1">
        <w:r w:rsidR="0069153B" w:rsidRPr="0069153B">
          <w:rPr>
            <w:rStyle w:val="Hyperlink"/>
            <w:rFonts w:ascii="Times New Roman" w:hAnsi="Times New Roman" w:cs="Times New Roman"/>
            <w:noProof/>
          </w:rPr>
          <w:t>Literature review</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w:t>
        </w:r>
        <w:r w:rsidR="0069153B" w:rsidRPr="0069153B">
          <w:rPr>
            <w:rFonts w:ascii="Times New Roman" w:hAnsi="Times New Roman" w:cs="Times New Roman"/>
            <w:noProof/>
            <w:webHidden/>
          </w:rPr>
          <w:fldChar w:fldCharType="end"/>
        </w:r>
      </w:hyperlink>
    </w:p>
    <w:p w14:paraId="5432BFF3" w14:textId="2AB22D90"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76" w:history="1">
        <w:r w:rsidR="0069153B" w:rsidRPr="0069153B">
          <w:rPr>
            <w:rStyle w:val="Hyperlink"/>
            <w:rFonts w:ascii="Times New Roman" w:hAnsi="Times New Roman" w:cs="Times New Roman"/>
            <w:noProof/>
          </w:rPr>
          <w:t>Summary of contemporary phenology research</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w:t>
        </w:r>
        <w:r w:rsidR="0069153B" w:rsidRPr="0069153B">
          <w:rPr>
            <w:rFonts w:ascii="Times New Roman" w:hAnsi="Times New Roman" w:cs="Times New Roman"/>
            <w:noProof/>
            <w:webHidden/>
          </w:rPr>
          <w:fldChar w:fldCharType="end"/>
        </w:r>
      </w:hyperlink>
    </w:p>
    <w:p w14:paraId="39FAAA6A" w14:textId="34A59042"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77" w:history="1">
        <w:r w:rsidR="0069153B" w:rsidRPr="0069153B">
          <w:rPr>
            <w:rStyle w:val="Hyperlink"/>
            <w:rFonts w:ascii="Times New Roman" w:hAnsi="Times New Roman" w:cs="Times New Roman"/>
            <w:noProof/>
          </w:rPr>
          <w:t>Spatial, taxonomic, and temporal distribution of studies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w:t>
        </w:r>
        <w:r w:rsidR="0069153B" w:rsidRPr="0069153B">
          <w:rPr>
            <w:rFonts w:ascii="Times New Roman" w:hAnsi="Times New Roman" w:cs="Times New Roman"/>
            <w:noProof/>
            <w:webHidden/>
          </w:rPr>
          <w:fldChar w:fldCharType="end"/>
        </w:r>
      </w:hyperlink>
    </w:p>
    <w:p w14:paraId="606875E1" w14:textId="526C2C60"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78" w:history="1">
        <w:r w:rsidR="0069153B" w:rsidRPr="0069153B">
          <w:rPr>
            <w:rStyle w:val="Hyperlink"/>
            <w:rFonts w:ascii="Times New Roman" w:hAnsi="Times New Roman" w:cs="Times New Roman"/>
            <w:noProof/>
          </w:rPr>
          <w:t>Phenology metrics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14</w:t>
        </w:r>
        <w:r w:rsidR="0069153B" w:rsidRPr="0069153B">
          <w:rPr>
            <w:rFonts w:ascii="Times New Roman" w:hAnsi="Times New Roman" w:cs="Times New Roman"/>
            <w:noProof/>
            <w:webHidden/>
          </w:rPr>
          <w:fldChar w:fldCharType="end"/>
        </w:r>
      </w:hyperlink>
    </w:p>
    <w:p w14:paraId="227F1C9F" w14:textId="66E98FF1"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79" w:history="1">
        <w:r w:rsidR="0069153B" w:rsidRPr="0069153B">
          <w:rPr>
            <w:rStyle w:val="Hyperlink"/>
            <w:rFonts w:ascii="Times New Roman" w:hAnsi="Times New Roman" w:cs="Times New Roman"/>
            <w:noProof/>
          </w:rPr>
          <w:t>Environmental cues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_Toc100607879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19</w:t>
        </w:r>
        <w:r w:rsidR="0069153B" w:rsidRPr="0069153B">
          <w:rPr>
            <w:rFonts w:ascii="Times New Roman" w:hAnsi="Times New Roman" w:cs="Times New Roman"/>
            <w:noProof/>
            <w:webHidden/>
          </w:rPr>
          <w:fldChar w:fldCharType="end"/>
        </w:r>
      </w:hyperlink>
    </w:p>
    <w:p w14:paraId="0179B81D" w14:textId="324C58E9"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0" w:history="1">
        <w:r w:rsidR="0069153B" w:rsidRPr="0069153B">
          <w:rPr>
            <w:rStyle w:val="Hyperlink"/>
            <w:rFonts w:ascii="Times New Roman" w:hAnsi="Times New Roman" w:cs="Times New Roman"/>
            <w:noProof/>
          </w:rPr>
          <w:t>Intrinsic traits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20</w:t>
        </w:r>
        <w:r w:rsidR="0069153B" w:rsidRPr="0069153B">
          <w:rPr>
            <w:rFonts w:ascii="Times New Roman" w:hAnsi="Times New Roman" w:cs="Times New Roman"/>
            <w:noProof/>
            <w:webHidden/>
          </w:rPr>
          <w:fldChar w:fldCharType="end"/>
        </w:r>
      </w:hyperlink>
    </w:p>
    <w:p w14:paraId="3598D46D" w14:textId="110865EF"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1" w:history="1">
        <w:r w:rsidR="0069153B" w:rsidRPr="0069153B">
          <w:rPr>
            <w:rStyle w:val="Hyperlink"/>
            <w:rFonts w:ascii="Times New Roman" w:hAnsi="Times New Roman" w:cs="Times New Roman"/>
            <w:noProof/>
          </w:rPr>
          <w:t>Biotic interactions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22</w:t>
        </w:r>
        <w:r w:rsidR="0069153B" w:rsidRPr="0069153B">
          <w:rPr>
            <w:rFonts w:ascii="Times New Roman" w:hAnsi="Times New Roman" w:cs="Times New Roman"/>
            <w:noProof/>
            <w:webHidden/>
          </w:rPr>
          <w:fldChar w:fldCharType="end"/>
        </w:r>
      </w:hyperlink>
    </w:p>
    <w:p w14:paraId="431A33AA" w14:textId="1F80B9BB"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82" w:history="1">
        <w:r w:rsidR="0069153B" w:rsidRPr="0069153B">
          <w:rPr>
            <w:rStyle w:val="Hyperlink"/>
            <w:rFonts w:ascii="Times New Roman" w:hAnsi="Times New Roman" w:cs="Times New Roman"/>
            <w:noProof/>
          </w:rPr>
          <w:t>Knowledge gaps and future directions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24</w:t>
        </w:r>
        <w:r w:rsidR="0069153B" w:rsidRPr="0069153B">
          <w:rPr>
            <w:rFonts w:ascii="Times New Roman" w:hAnsi="Times New Roman" w:cs="Times New Roman"/>
            <w:noProof/>
            <w:webHidden/>
          </w:rPr>
          <w:fldChar w:fldCharType="end"/>
        </w:r>
      </w:hyperlink>
    </w:p>
    <w:p w14:paraId="5F3CCC6F" w14:textId="4FED04DA"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3" w:history="1">
        <w:r w:rsidR="0069153B" w:rsidRPr="0069153B">
          <w:rPr>
            <w:rStyle w:val="Hyperlink"/>
            <w:rFonts w:ascii="Times New Roman" w:hAnsi="Times New Roman" w:cs="Times New Roman"/>
            <w:noProof/>
          </w:rPr>
          <w:t>Spatial, taxonomic, and temporal biases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24</w:t>
        </w:r>
        <w:r w:rsidR="0069153B" w:rsidRPr="0069153B">
          <w:rPr>
            <w:rFonts w:ascii="Times New Roman" w:hAnsi="Times New Roman" w:cs="Times New Roman"/>
            <w:noProof/>
            <w:webHidden/>
          </w:rPr>
          <w:fldChar w:fldCharType="end"/>
        </w:r>
      </w:hyperlink>
    </w:p>
    <w:p w14:paraId="3A7BA9B2" w14:textId="74816A07"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4" w:history="1">
        <w:r w:rsidR="0069153B" w:rsidRPr="0069153B">
          <w:rPr>
            <w:rStyle w:val="Hyperlink"/>
            <w:rFonts w:ascii="Times New Roman" w:hAnsi="Times New Roman" w:cs="Times New Roman"/>
            <w:noProof/>
          </w:rPr>
          <w:t>Environmental cues and intrinsic traits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25</w:t>
        </w:r>
        <w:r w:rsidR="0069153B" w:rsidRPr="0069153B">
          <w:rPr>
            <w:rFonts w:ascii="Times New Roman" w:hAnsi="Times New Roman" w:cs="Times New Roman"/>
            <w:noProof/>
            <w:webHidden/>
          </w:rPr>
          <w:fldChar w:fldCharType="end"/>
        </w:r>
      </w:hyperlink>
    </w:p>
    <w:p w14:paraId="3529F6AB" w14:textId="1C46B10A"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5" w:history="1">
        <w:r w:rsidR="0069153B" w:rsidRPr="0069153B">
          <w:rPr>
            <w:rStyle w:val="Hyperlink"/>
            <w:rFonts w:ascii="Times New Roman" w:hAnsi="Times New Roman" w:cs="Times New Roman"/>
            <w:noProof/>
          </w:rPr>
          <w:t>Phenology beyond the species-level</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26</w:t>
        </w:r>
        <w:r w:rsidR="0069153B" w:rsidRPr="0069153B">
          <w:rPr>
            <w:rFonts w:ascii="Times New Roman" w:hAnsi="Times New Roman" w:cs="Times New Roman"/>
            <w:noProof/>
            <w:webHidden/>
          </w:rPr>
          <w:fldChar w:fldCharType="end"/>
        </w:r>
      </w:hyperlink>
    </w:p>
    <w:p w14:paraId="25E8D244" w14:textId="7DD42586"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6" w:history="1">
        <w:r w:rsidR="0069153B" w:rsidRPr="0069153B">
          <w:rPr>
            <w:rStyle w:val="Hyperlink"/>
            <w:rFonts w:ascii="Times New Roman" w:hAnsi="Times New Roman" w:cs="Times New Roman"/>
            <w:noProof/>
          </w:rPr>
          <w:t>Conservation implications of phenology</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26</w:t>
        </w:r>
        <w:r w:rsidR="0069153B" w:rsidRPr="0069153B">
          <w:rPr>
            <w:rFonts w:ascii="Times New Roman" w:hAnsi="Times New Roman" w:cs="Times New Roman"/>
            <w:noProof/>
            <w:webHidden/>
          </w:rPr>
          <w:fldChar w:fldCharType="end"/>
        </w:r>
      </w:hyperlink>
    </w:p>
    <w:p w14:paraId="6FD753DD" w14:textId="61838982"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87" w:history="1">
        <w:r w:rsidR="0069153B" w:rsidRPr="0069153B">
          <w:rPr>
            <w:rStyle w:val="Hyperlink"/>
            <w:rFonts w:ascii="Times New Roman" w:hAnsi="Times New Roman" w:cs="Times New Roman"/>
            <w:noProof/>
          </w:rPr>
          <w:t>Novel data sources and technologies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27</w:t>
        </w:r>
        <w:r w:rsidR="0069153B" w:rsidRPr="0069153B">
          <w:rPr>
            <w:rFonts w:ascii="Times New Roman" w:hAnsi="Times New Roman" w:cs="Times New Roman"/>
            <w:noProof/>
            <w:webHidden/>
          </w:rPr>
          <w:fldChar w:fldCharType="end"/>
        </w:r>
      </w:hyperlink>
    </w:p>
    <w:p w14:paraId="32B94B55" w14:textId="2A97B925"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88" w:history="1">
        <w:r w:rsidR="0069153B" w:rsidRPr="0069153B">
          <w:rPr>
            <w:rStyle w:val="Hyperlink"/>
            <w:rFonts w:ascii="Times New Roman" w:hAnsi="Times New Roman" w:cs="Times New Roman"/>
            <w:noProof/>
          </w:rPr>
          <w:t>Conclusion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27</w:t>
        </w:r>
        <w:r w:rsidR="0069153B" w:rsidRPr="0069153B">
          <w:rPr>
            <w:rFonts w:ascii="Times New Roman" w:hAnsi="Times New Roman" w:cs="Times New Roman"/>
            <w:noProof/>
            <w:webHidden/>
          </w:rPr>
          <w:fldChar w:fldCharType="end"/>
        </w:r>
      </w:hyperlink>
    </w:p>
    <w:p w14:paraId="098BD413" w14:textId="24E18BB4"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89" w:history="1">
        <w:r w:rsidR="0069153B" w:rsidRPr="0069153B">
          <w:rPr>
            <w:rStyle w:val="Hyperlink"/>
            <w:rFonts w:ascii="Times New Roman" w:hAnsi="Times New Roman" w:cs="Times New Roman"/>
            <w:noProof/>
          </w:rPr>
          <w:t>References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_Toc100607889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28</w:t>
        </w:r>
        <w:r w:rsidR="0069153B" w:rsidRPr="0069153B">
          <w:rPr>
            <w:rFonts w:ascii="Times New Roman" w:hAnsi="Times New Roman" w:cs="Times New Roman"/>
            <w:noProof/>
            <w:webHidden/>
          </w:rPr>
          <w:fldChar w:fldCharType="end"/>
        </w:r>
      </w:hyperlink>
    </w:p>
    <w:p w14:paraId="5453885C" w14:textId="0E72202C"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0" w:history="1">
        <w:r w:rsidR="0069153B" w:rsidRPr="0069153B">
          <w:rPr>
            <w:rStyle w:val="Hyperlink"/>
            <w:rFonts w:ascii="Times New Roman" w:hAnsi="Times New Roman" w:cs="Times New Roman"/>
            <w:noProof/>
          </w:rPr>
          <w:t>Appendix</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37</w:t>
        </w:r>
        <w:r w:rsidR="0069153B" w:rsidRPr="0069153B">
          <w:rPr>
            <w:rFonts w:ascii="Times New Roman" w:hAnsi="Times New Roman" w:cs="Times New Roman"/>
            <w:noProof/>
            <w:webHidden/>
          </w:rPr>
          <w:fldChar w:fldCharType="end"/>
        </w:r>
      </w:hyperlink>
    </w:p>
    <w:p w14:paraId="23A318C0" w14:textId="0177956D"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891" w:history="1">
        <w:r w:rsidR="0069153B" w:rsidRPr="0069153B">
          <w:rPr>
            <w:rStyle w:val="Hyperlink"/>
            <w:rFonts w:ascii="Times New Roman" w:hAnsi="Times New Roman" w:cs="Times New Roman"/>
            <w:noProof/>
          </w:rPr>
          <w:t xml:space="preserve">CHAPTER 2 </w:t>
        </w:r>
        <w:r w:rsidR="00352276">
          <w:rPr>
            <w:rStyle w:val="Hyperlink"/>
            <w:rFonts w:ascii="Times New Roman" w:hAnsi="Times New Roman" w:cs="Times New Roman"/>
            <w:noProof/>
          </w:rPr>
          <w:t>TESTING THE DIVERSITY-BIOMASS RELATIONSHIP IN RIVERINE FISH COMMUNITIES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62</w:t>
        </w:r>
        <w:r w:rsidR="0069153B" w:rsidRPr="0069153B">
          <w:rPr>
            <w:rFonts w:ascii="Times New Roman" w:hAnsi="Times New Roman" w:cs="Times New Roman"/>
            <w:noProof/>
            <w:webHidden/>
          </w:rPr>
          <w:fldChar w:fldCharType="end"/>
        </w:r>
      </w:hyperlink>
    </w:p>
    <w:p w14:paraId="42F943BC" w14:textId="525E5447"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2" w:history="1">
        <w:r w:rsidR="0069153B" w:rsidRPr="0069153B">
          <w:rPr>
            <w:rStyle w:val="Hyperlink"/>
            <w:rFonts w:ascii="Times New Roman" w:hAnsi="Times New Roman" w:cs="Times New Roman"/>
            <w:noProof/>
          </w:rPr>
          <w:t>Abstract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63</w:t>
        </w:r>
        <w:r w:rsidR="0069153B" w:rsidRPr="0069153B">
          <w:rPr>
            <w:rFonts w:ascii="Times New Roman" w:hAnsi="Times New Roman" w:cs="Times New Roman"/>
            <w:noProof/>
            <w:webHidden/>
          </w:rPr>
          <w:fldChar w:fldCharType="end"/>
        </w:r>
      </w:hyperlink>
    </w:p>
    <w:p w14:paraId="6FA84FCC" w14:textId="6C40EAA8"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3" w:history="1">
        <w:r w:rsidR="0069153B" w:rsidRPr="0069153B">
          <w:rPr>
            <w:rStyle w:val="Hyperlink"/>
            <w:rFonts w:ascii="Times New Roman" w:hAnsi="Times New Roman" w:cs="Times New Roman"/>
            <w:noProof/>
          </w:rPr>
          <w:t>Introduction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63</w:t>
        </w:r>
        <w:r w:rsidR="0069153B" w:rsidRPr="0069153B">
          <w:rPr>
            <w:rFonts w:ascii="Times New Roman" w:hAnsi="Times New Roman" w:cs="Times New Roman"/>
            <w:noProof/>
            <w:webHidden/>
          </w:rPr>
          <w:fldChar w:fldCharType="end"/>
        </w:r>
      </w:hyperlink>
    </w:p>
    <w:p w14:paraId="270A3069" w14:textId="242824E0"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4" w:history="1">
        <w:r w:rsidR="0069153B" w:rsidRPr="0069153B">
          <w:rPr>
            <w:rStyle w:val="Hyperlink"/>
            <w:rFonts w:ascii="Times New Roman" w:hAnsi="Times New Roman" w:cs="Times New Roman"/>
            <w:noProof/>
          </w:rPr>
          <w:t>Methods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65</w:t>
        </w:r>
        <w:r w:rsidR="0069153B" w:rsidRPr="0069153B">
          <w:rPr>
            <w:rFonts w:ascii="Times New Roman" w:hAnsi="Times New Roman" w:cs="Times New Roman"/>
            <w:noProof/>
            <w:webHidden/>
          </w:rPr>
          <w:fldChar w:fldCharType="end"/>
        </w:r>
      </w:hyperlink>
    </w:p>
    <w:p w14:paraId="4CEFE3D1" w14:textId="3BC4CE03"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95" w:history="1">
        <w:r w:rsidR="0069153B" w:rsidRPr="0069153B">
          <w:rPr>
            <w:rStyle w:val="Hyperlink"/>
            <w:rFonts w:ascii="Times New Roman" w:hAnsi="Times New Roman" w:cs="Times New Roman"/>
            <w:noProof/>
          </w:rPr>
          <w:t>Data collection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65</w:t>
        </w:r>
        <w:r w:rsidR="0069153B" w:rsidRPr="0069153B">
          <w:rPr>
            <w:rFonts w:ascii="Times New Roman" w:hAnsi="Times New Roman" w:cs="Times New Roman"/>
            <w:noProof/>
            <w:webHidden/>
          </w:rPr>
          <w:fldChar w:fldCharType="end"/>
        </w:r>
      </w:hyperlink>
    </w:p>
    <w:p w14:paraId="2A03A131" w14:textId="559AE29B"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896" w:history="1">
        <w:r w:rsidR="0069153B" w:rsidRPr="0069153B">
          <w:rPr>
            <w:rStyle w:val="Hyperlink"/>
            <w:rFonts w:ascii="Times New Roman" w:hAnsi="Times New Roman" w:cs="Times New Roman"/>
            <w:noProof/>
          </w:rPr>
          <w:t>Data analysis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71</w:t>
        </w:r>
        <w:r w:rsidR="0069153B" w:rsidRPr="0069153B">
          <w:rPr>
            <w:rFonts w:ascii="Times New Roman" w:hAnsi="Times New Roman" w:cs="Times New Roman"/>
            <w:noProof/>
            <w:webHidden/>
          </w:rPr>
          <w:fldChar w:fldCharType="end"/>
        </w:r>
      </w:hyperlink>
    </w:p>
    <w:p w14:paraId="684BAD97" w14:textId="7E4528DD"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7" w:history="1">
        <w:r w:rsidR="0069153B" w:rsidRPr="0069153B">
          <w:rPr>
            <w:rStyle w:val="Hyperlink"/>
            <w:rFonts w:ascii="Times New Roman" w:hAnsi="Times New Roman" w:cs="Times New Roman"/>
            <w:noProof/>
          </w:rPr>
          <w:t>Results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74</w:t>
        </w:r>
        <w:r w:rsidR="0069153B" w:rsidRPr="0069153B">
          <w:rPr>
            <w:rFonts w:ascii="Times New Roman" w:hAnsi="Times New Roman" w:cs="Times New Roman"/>
            <w:noProof/>
            <w:webHidden/>
          </w:rPr>
          <w:fldChar w:fldCharType="end"/>
        </w:r>
      </w:hyperlink>
    </w:p>
    <w:p w14:paraId="3A4F5D10" w14:textId="5CD88A5D"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8" w:history="1">
        <w:r w:rsidR="0069153B" w:rsidRPr="0069153B">
          <w:rPr>
            <w:rStyle w:val="Hyperlink"/>
            <w:rFonts w:ascii="Times New Roman" w:hAnsi="Times New Roman" w:cs="Times New Roman"/>
            <w:noProof/>
          </w:rPr>
          <w:t>Discussion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77</w:t>
        </w:r>
        <w:r w:rsidR="0069153B" w:rsidRPr="0069153B">
          <w:rPr>
            <w:rFonts w:ascii="Times New Roman" w:hAnsi="Times New Roman" w:cs="Times New Roman"/>
            <w:noProof/>
            <w:webHidden/>
          </w:rPr>
          <w:fldChar w:fldCharType="end"/>
        </w:r>
      </w:hyperlink>
    </w:p>
    <w:p w14:paraId="11B1F52C" w14:textId="2726501A"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899" w:history="1">
        <w:r w:rsidR="0069153B" w:rsidRPr="0069153B">
          <w:rPr>
            <w:rStyle w:val="Hyperlink"/>
            <w:rFonts w:ascii="Times New Roman" w:hAnsi="Times New Roman" w:cs="Times New Roman"/>
            <w:noProof/>
          </w:rPr>
          <w:t>References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_Toc100607899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82</w:t>
        </w:r>
        <w:r w:rsidR="0069153B" w:rsidRPr="0069153B">
          <w:rPr>
            <w:rFonts w:ascii="Times New Roman" w:hAnsi="Times New Roman" w:cs="Times New Roman"/>
            <w:noProof/>
            <w:webHidden/>
          </w:rPr>
          <w:fldChar w:fldCharType="end"/>
        </w:r>
      </w:hyperlink>
    </w:p>
    <w:p w14:paraId="731761F6" w14:textId="1F30DD49"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0" w:history="1">
        <w:r w:rsidR="0069153B" w:rsidRPr="0069153B">
          <w:rPr>
            <w:rStyle w:val="Hyperlink"/>
            <w:rFonts w:ascii="Times New Roman" w:hAnsi="Times New Roman" w:cs="Times New Roman"/>
            <w:noProof/>
          </w:rPr>
          <w:t>Appendix</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91</w:t>
        </w:r>
        <w:r w:rsidR="0069153B" w:rsidRPr="0069153B">
          <w:rPr>
            <w:rFonts w:ascii="Times New Roman" w:hAnsi="Times New Roman" w:cs="Times New Roman"/>
            <w:noProof/>
            <w:webHidden/>
          </w:rPr>
          <w:fldChar w:fldCharType="end"/>
        </w:r>
      </w:hyperlink>
    </w:p>
    <w:p w14:paraId="6316176C" w14:textId="6A2B312B"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901" w:history="1">
        <w:r w:rsidR="0069153B" w:rsidRPr="0069153B">
          <w:rPr>
            <w:rStyle w:val="Hyperlink"/>
            <w:rFonts w:ascii="Times New Roman" w:hAnsi="Times New Roman" w:cs="Times New Roman"/>
            <w:noProof/>
          </w:rPr>
          <w:t>CHAPTER 3 TRENDS AND OPPORTUNITIES IN FRESHWATER COMMUNITY SCIENCE ACROSS SPATIAL SCALES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99</w:t>
        </w:r>
        <w:r w:rsidR="0069153B" w:rsidRPr="0069153B">
          <w:rPr>
            <w:rFonts w:ascii="Times New Roman" w:hAnsi="Times New Roman" w:cs="Times New Roman"/>
            <w:noProof/>
            <w:webHidden/>
          </w:rPr>
          <w:fldChar w:fldCharType="end"/>
        </w:r>
      </w:hyperlink>
    </w:p>
    <w:p w14:paraId="618D6A37" w14:textId="1CDD7298"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2" w:history="1">
        <w:r w:rsidR="0069153B" w:rsidRPr="0069153B">
          <w:rPr>
            <w:rStyle w:val="Hyperlink"/>
            <w:rFonts w:ascii="Times New Roman" w:hAnsi="Times New Roman" w:cs="Times New Roman"/>
            <w:noProof/>
          </w:rPr>
          <w:t>Abstract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100</w:t>
        </w:r>
        <w:r w:rsidR="0069153B" w:rsidRPr="0069153B">
          <w:rPr>
            <w:rFonts w:ascii="Times New Roman" w:hAnsi="Times New Roman" w:cs="Times New Roman"/>
            <w:noProof/>
            <w:webHidden/>
          </w:rPr>
          <w:fldChar w:fldCharType="end"/>
        </w:r>
      </w:hyperlink>
    </w:p>
    <w:p w14:paraId="0930B3F9" w14:textId="70744F3B"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3" w:history="1">
        <w:r w:rsidR="0069153B" w:rsidRPr="0069153B">
          <w:rPr>
            <w:rStyle w:val="Hyperlink"/>
            <w:rFonts w:ascii="Times New Roman" w:hAnsi="Times New Roman" w:cs="Times New Roman"/>
            <w:noProof/>
          </w:rPr>
          <w:t>Introduction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100</w:t>
        </w:r>
        <w:r w:rsidR="0069153B" w:rsidRPr="0069153B">
          <w:rPr>
            <w:rFonts w:ascii="Times New Roman" w:hAnsi="Times New Roman" w:cs="Times New Roman"/>
            <w:noProof/>
            <w:webHidden/>
          </w:rPr>
          <w:fldChar w:fldCharType="end"/>
        </w:r>
      </w:hyperlink>
    </w:p>
    <w:p w14:paraId="2C7511D4" w14:textId="474507C2"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4" w:history="1">
        <w:r w:rsidR="0069153B" w:rsidRPr="0069153B">
          <w:rPr>
            <w:rStyle w:val="Hyperlink"/>
            <w:rFonts w:ascii="Times New Roman" w:hAnsi="Times New Roman" w:cs="Times New Roman"/>
            <w:noProof/>
          </w:rPr>
          <w:t>Methods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102</w:t>
        </w:r>
        <w:r w:rsidR="0069153B" w:rsidRPr="0069153B">
          <w:rPr>
            <w:rFonts w:ascii="Times New Roman" w:hAnsi="Times New Roman" w:cs="Times New Roman"/>
            <w:noProof/>
            <w:webHidden/>
          </w:rPr>
          <w:fldChar w:fldCharType="end"/>
        </w:r>
      </w:hyperlink>
    </w:p>
    <w:p w14:paraId="2239B89A" w14:textId="5900B5D8"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05" w:history="1">
        <w:r w:rsidR="0069153B" w:rsidRPr="0069153B">
          <w:rPr>
            <w:rStyle w:val="Hyperlink"/>
            <w:rFonts w:ascii="Times New Roman" w:hAnsi="Times New Roman" w:cs="Times New Roman"/>
            <w:noProof/>
          </w:rPr>
          <w:t>Community science database</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102</w:t>
        </w:r>
        <w:r w:rsidR="0069153B" w:rsidRPr="0069153B">
          <w:rPr>
            <w:rFonts w:ascii="Times New Roman" w:hAnsi="Times New Roman" w:cs="Times New Roman"/>
            <w:noProof/>
            <w:webHidden/>
          </w:rPr>
          <w:fldChar w:fldCharType="end"/>
        </w:r>
      </w:hyperlink>
    </w:p>
    <w:p w14:paraId="1B6BA378" w14:textId="24107159"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06" w:history="1">
        <w:r w:rsidR="0069153B" w:rsidRPr="0069153B">
          <w:rPr>
            <w:rStyle w:val="Hyperlink"/>
            <w:rFonts w:ascii="Times New Roman" w:hAnsi="Times New Roman" w:cs="Times New Roman"/>
            <w:noProof/>
          </w:rPr>
          <w:t>Predictor variables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103</w:t>
        </w:r>
        <w:r w:rsidR="0069153B" w:rsidRPr="0069153B">
          <w:rPr>
            <w:rFonts w:ascii="Times New Roman" w:hAnsi="Times New Roman" w:cs="Times New Roman"/>
            <w:noProof/>
            <w:webHidden/>
          </w:rPr>
          <w:fldChar w:fldCharType="end"/>
        </w:r>
      </w:hyperlink>
    </w:p>
    <w:p w14:paraId="0B6AFCED" w14:textId="1449F501"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07" w:history="1">
        <w:r w:rsidR="0069153B" w:rsidRPr="0069153B">
          <w:rPr>
            <w:rStyle w:val="Hyperlink"/>
            <w:rFonts w:ascii="Times New Roman" w:hAnsi="Times New Roman" w:cs="Times New Roman"/>
            <w:noProof/>
          </w:rPr>
          <w:t>Data analysis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104</w:t>
        </w:r>
        <w:r w:rsidR="0069153B" w:rsidRPr="0069153B">
          <w:rPr>
            <w:rFonts w:ascii="Times New Roman" w:hAnsi="Times New Roman" w:cs="Times New Roman"/>
            <w:noProof/>
            <w:webHidden/>
          </w:rPr>
          <w:fldChar w:fldCharType="end"/>
        </w:r>
      </w:hyperlink>
    </w:p>
    <w:p w14:paraId="2275CAC5" w14:textId="2A8D1571"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8" w:history="1">
        <w:r w:rsidR="0069153B" w:rsidRPr="0069153B">
          <w:rPr>
            <w:rStyle w:val="Hyperlink"/>
            <w:rFonts w:ascii="Times New Roman" w:hAnsi="Times New Roman" w:cs="Times New Roman"/>
            <w:noProof/>
          </w:rPr>
          <w:t>Results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105</w:t>
        </w:r>
        <w:r w:rsidR="0069153B" w:rsidRPr="0069153B">
          <w:rPr>
            <w:rFonts w:ascii="Times New Roman" w:hAnsi="Times New Roman" w:cs="Times New Roman"/>
            <w:noProof/>
            <w:webHidden/>
          </w:rPr>
          <w:fldChar w:fldCharType="end"/>
        </w:r>
      </w:hyperlink>
    </w:p>
    <w:p w14:paraId="1BF0A3A9" w14:textId="1B64B39C"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09" w:history="1">
        <w:r w:rsidR="0069153B" w:rsidRPr="0069153B">
          <w:rPr>
            <w:rStyle w:val="Hyperlink"/>
            <w:rFonts w:ascii="Times New Roman" w:hAnsi="Times New Roman" w:cs="Times New Roman"/>
            <w:noProof/>
          </w:rPr>
          <w:t>Discussion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_Toc100607909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112</w:t>
        </w:r>
        <w:r w:rsidR="0069153B" w:rsidRPr="0069153B">
          <w:rPr>
            <w:rFonts w:ascii="Times New Roman" w:hAnsi="Times New Roman" w:cs="Times New Roman"/>
            <w:noProof/>
            <w:webHidden/>
          </w:rPr>
          <w:fldChar w:fldCharType="end"/>
        </w:r>
      </w:hyperlink>
    </w:p>
    <w:p w14:paraId="79C357CB" w14:textId="39859C2B"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10" w:history="1">
        <w:r w:rsidR="0069153B" w:rsidRPr="0069153B">
          <w:rPr>
            <w:rStyle w:val="Hyperlink"/>
            <w:rFonts w:ascii="Times New Roman" w:hAnsi="Times New Roman" w:cs="Times New Roman"/>
            <w:noProof/>
          </w:rPr>
          <w:t>Opportunities to leverage freshwater CS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112</w:t>
        </w:r>
        <w:r w:rsidR="0069153B" w:rsidRPr="0069153B">
          <w:rPr>
            <w:rFonts w:ascii="Times New Roman" w:hAnsi="Times New Roman" w:cs="Times New Roman"/>
            <w:noProof/>
            <w:webHidden/>
          </w:rPr>
          <w:fldChar w:fldCharType="end"/>
        </w:r>
      </w:hyperlink>
    </w:p>
    <w:p w14:paraId="560BF8F0" w14:textId="7F915FE5"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11" w:history="1">
        <w:r w:rsidR="0069153B" w:rsidRPr="0069153B">
          <w:rPr>
            <w:rStyle w:val="Hyperlink"/>
            <w:rFonts w:ascii="Times New Roman" w:hAnsi="Times New Roman" w:cs="Times New Roman"/>
            <w:noProof/>
          </w:rPr>
          <w:t>Broadening coverage and participation in freshwater CS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113</w:t>
        </w:r>
        <w:r w:rsidR="0069153B" w:rsidRPr="0069153B">
          <w:rPr>
            <w:rFonts w:ascii="Times New Roman" w:hAnsi="Times New Roman" w:cs="Times New Roman"/>
            <w:noProof/>
            <w:webHidden/>
          </w:rPr>
          <w:fldChar w:fldCharType="end"/>
        </w:r>
      </w:hyperlink>
    </w:p>
    <w:p w14:paraId="2459E223" w14:textId="5FE9493B"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12" w:history="1">
        <w:r w:rsidR="0069153B" w:rsidRPr="0069153B">
          <w:rPr>
            <w:rStyle w:val="Hyperlink"/>
            <w:rFonts w:ascii="Times New Roman" w:hAnsi="Times New Roman" w:cs="Times New Roman"/>
            <w:noProof/>
          </w:rPr>
          <w:t>Conclusion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114</w:t>
        </w:r>
        <w:r w:rsidR="0069153B" w:rsidRPr="0069153B">
          <w:rPr>
            <w:rFonts w:ascii="Times New Roman" w:hAnsi="Times New Roman" w:cs="Times New Roman"/>
            <w:noProof/>
            <w:webHidden/>
          </w:rPr>
          <w:fldChar w:fldCharType="end"/>
        </w:r>
      </w:hyperlink>
    </w:p>
    <w:p w14:paraId="27450F1D" w14:textId="2CB7F14C"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13" w:history="1">
        <w:r w:rsidR="0069153B" w:rsidRPr="0069153B">
          <w:rPr>
            <w:rStyle w:val="Hyperlink"/>
            <w:rFonts w:ascii="Times New Roman" w:hAnsi="Times New Roman" w:cs="Times New Roman"/>
            <w:noProof/>
          </w:rPr>
          <w:t>References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115</w:t>
        </w:r>
        <w:r w:rsidR="0069153B" w:rsidRPr="0069153B">
          <w:rPr>
            <w:rFonts w:ascii="Times New Roman" w:hAnsi="Times New Roman" w:cs="Times New Roman"/>
            <w:noProof/>
            <w:webHidden/>
          </w:rPr>
          <w:fldChar w:fldCharType="end"/>
        </w:r>
      </w:hyperlink>
    </w:p>
    <w:p w14:paraId="1F61A06E" w14:textId="43B55690"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14" w:history="1">
        <w:r w:rsidR="0069153B" w:rsidRPr="0069153B">
          <w:rPr>
            <w:rStyle w:val="Hyperlink"/>
            <w:rFonts w:ascii="Times New Roman" w:hAnsi="Times New Roman" w:cs="Times New Roman"/>
            <w:noProof/>
          </w:rPr>
          <w:t>Appendix</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117</w:t>
        </w:r>
        <w:r w:rsidR="0069153B" w:rsidRPr="0069153B">
          <w:rPr>
            <w:rFonts w:ascii="Times New Roman" w:hAnsi="Times New Roman" w:cs="Times New Roman"/>
            <w:noProof/>
            <w:webHidden/>
          </w:rPr>
          <w:fldChar w:fldCharType="end"/>
        </w:r>
      </w:hyperlink>
    </w:p>
    <w:p w14:paraId="7F546E14" w14:textId="462ECCB2"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915" w:history="1">
        <w:r w:rsidR="0069153B" w:rsidRPr="0069153B">
          <w:rPr>
            <w:rStyle w:val="Hyperlink"/>
            <w:rFonts w:ascii="Times New Roman" w:hAnsi="Times New Roman" w:cs="Times New Roman"/>
            <w:noProof/>
          </w:rPr>
          <w:t>CHAPTER 4 UNIFYING PATTERNS AND MECHANISMS IN AQUATIC ECTOTHERM BODY SIZE ACROSS BIOLOGICAL SCALES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118</w:t>
        </w:r>
        <w:r w:rsidR="0069153B" w:rsidRPr="0069153B">
          <w:rPr>
            <w:rFonts w:ascii="Times New Roman" w:hAnsi="Times New Roman" w:cs="Times New Roman"/>
            <w:noProof/>
            <w:webHidden/>
          </w:rPr>
          <w:fldChar w:fldCharType="end"/>
        </w:r>
      </w:hyperlink>
    </w:p>
    <w:p w14:paraId="650FF877" w14:textId="2FE5759E"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16" w:history="1">
        <w:r w:rsidR="0069153B" w:rsidRPr="0069153B">
          <w:rPr>
            <w:rStyle w:val="Hyperlink"/>
            <w:rFonts w:ascii="Times New Roman" w:hAnsi="Times New Roman" w:cs="Times New Roman"/>
            <w:noProof/>
          </w:rPr>
          <w:t>Abstract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119</w:t>
        </w:r>
        <w:r w:rsidR="0069153B" w:rsidRPr="0069153B">
          <w:rPr>
            <w:rFonts w:ascii="Times New Roman" w:hAnsi="Times New Roman" w:cs="Times New Roman"/>
            <w:noProof/>
            <w:webHidden/>
          </w:rPr>
          <w:fldChar w:fldCharType="end"/>
        </w:r>
      </w:hyperlink>
    </w:p>
    <w:p w14:paraId="30BBC92B" w14:textId="2E0C1F12"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17" w:history="1">
        <w:r w:rsidR="0069153B" w:rsidRPr="0069153B">
          <w:rPr>
            <w:rStyle w:val="Hyperlink"/>
            <w:rFonts w:ascii="Times New Roman" w:hAnsi="Times New Roman" w:cs="Times New Roman"/>
            <w:noProof/>
          </w:rPr>
          <w:t>Introduction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119</w:t>
        </w:r>
        <w:r w:rsidR="0069153B" w:rsidRPr="0069153B">
          <w:rPr>
            <w:rFonts w:ascii="Times New Roman" w:hAnsi="Times New Roman" w:cs="Times New Roman"/>
            <w:noProof/>
            <w:webHidden/>
          </w:rPr>
          <w:fldChar w:fldCharType="end"/>
        </w:r>
      </w:hyperlink>
    </w:p>
    <w:p w14:paraId="2F214B97" w14:textId="779D88AD"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18" w:history="1">
        <w:r w:rsidR="0069153B" w:rsidRPr="0069153B">
          <w:rPr>
            <w:rStyle w:val="Hyperlink"/>
            <w:rFonts w:ascii="Times New Roman" w:hAnsi="Times New Roman" w:cs="Times New Roman"/>
            <w:noProof/>
          </w:rPr>
          <w:t>Methods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121</w:t>
        </w:r>
        <w:r w:rsidR="0069153B" w:rsidRPr="0069153B">
          <w:rPr>
            <w:rFonts w:ascii="Times New Roman" w:hAnsi="Times New Roman" w:cs="Times New Roman"/>
            <w:noProof/>
            <w:webHidden/>
          </w:rPr>
          <w:fldChar w:fldCharType="end"/>
        </w:r>
      </w:hyperlink>
    </w:p>
    <w:p w14:paraId="2B5DB8F2" w14:textId="70C336AB"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19" w:history="1">
        <w:r w:rsidR="0069153B" w:rsidRPr="0069153B">
          <w:rPr>
            <w:rStyle w:val="Hyperlink"/>
            <w:rFonts w:ascii="Times New Roman" w:hAnsi="Times New Roman" w:cs="Times New Roman"/>
            <w:noProof/>
          </w:rPr>
          <w:t>Data collection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_Toc100607919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121</w:t>
        </w:r>
        <w:r w:rsidR="0069153B" w:rsidRPr="0069153B">
          <w:rPr>
            <w:rFonts w:ascii="Times New Roman" w:hAnsi="Times New Roman" w:cs="Times New Roman"/>
            <w:noProof/>
            <w:webHidden/>
          </w:rPr>
          <w:fldChar w:fldCharType="end"/>
        </w:r>
      </w:hyperlink>
    </w:p>
    <w:p w14:paraId="458CF4A1" w14:textId="2604C7E7"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20" w:history="1">
        <w:r w:rsidR="0069153B" w:rsidRPr="0069153B">
          <w:rPr>
            <w:rStyle w:val="Hyperlink"/>
            <w:rFonts w:ascii="Times New Roman" w:hAnsi="Times New Roman" w:cs="Times New Roman"/>
            <w:noProof/>
          </w:rPr>
          <w:t>Fish dataset cleaning and preparation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121</w:t>
        </w:r>
        <w:r w:rsidR="0069153B" w:rsidRPr="0069153B">
          <w:rPr>
            <w:rFonts w:ascii="Times New Roman" w:hAnsi="Times New Roman" w:cs="Times New Roman"/>
            <w:noProof/>
            <w:webHidden/>
          </w:rPr>
          <w:fldChar w:fldCharType="end"/>
        </w:r>
      </w:hyperlink>
    </w:p>
    <w:p w14:paraId="4B91A0BA" w14:textId="5BF7B51C"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21" w:history="1">
        <w:r w:rsidR="0069153B" w:rsidRPr="0069153B">
          <w:rPr>
            <w:rStyle w:val="Hyperlink"/>
            <w:rFonts w:ascii="Times New Roman" w:hAnsi="Times New Roman" w:cs="Times New Roman"/>
            <w:noProof/>
          </w:rPr>
          <w:t>Proximate drivers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123</w:t>
        </w:r>
        <w:r w:rsidR="0069153B" w:rsidRPr="0069153B">
          <w:rPr>
            <w:rFonts w:ascii="Times New Roman" w:hAnsi="Times New Roman" w:cs="Times New Roman"/>
            <w:noProof/>
            <w:webHidden/>
          </w:rPr>
          <w:fldChar w:fldCharType="end"/>
        </w:r>
      </w:hyperlink>
    </w:p>
    <w:p w14:paraId="2CCFCA0D" w14:textId="1CD67337"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22" w:history="1">
        <w:r w:rsidR="0069153B" w:rsidRPr="0069153B">
          <w:rPr>
            <w:rStyle w:val="Hyperlink"/>
            <w:rFonts w:ascii="Times New Roman" w:hAnsi="Times New Roman" w:cs="Times New Roman"/>
            <w:noProof/>
          </w:rPr>
          <w:t>Dataset aggregation and filtering</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126</w:t>
        </w:r>
        <w:r w:rsidR="0069153B" w:rsidRPr="0069153B">
          <w:rPr>
            <w:rFonts w:ascii="Times New Roman" w:hAnsi="Times New Roman" w:cs="Times New Roman"/>
            <w:noProof/>
            <w:webHidden/>
          </w:rPr>
          <w:fldChar w:fldCharType="end"/>
        </w:r>
      </w:hyperlink>
    </w:p>
    <w:p w14:paraId="3A871D54" w14:textId="557EA75E" w:rsidR="0069153B" w:rsidRPr="0069153B" w:rsidRDefault="001C7F13">
      <w:pPr>
        <w:pStyle w:val="TOC3"/>
        <w:tabs>
          <w:tab w:val="right" w:leader="dot" w:pos="8630"/>
        </w:tabs>
        <w:rPr>
          <w:rFonts w:ascii="Times New Roman" w:eastAsiaTheme="minorEastAsia" w:hAnsi="Times New Roman" w:cs="Times New Roman"/>
          <w:noProof/>
          <w:sz w:val="22"/>
          <w:szCs w:val="22"/>
        </w:rPr>
      </w:pPr>
      <w:hyperlink w:anchor="_Toc100607923" w:history="1">
        <w:r w:rsidR="0069153B" w:rsidRPr="0069153B">
          <w:rPr>
            <w:rStyle w:val="Hyperlink"/>
            <w:rFonts w:ascii="Times New Roman" w:hAnsi="Times New Roman" w:cs="Times New Roman"/>
            <w:noProof/>
          </w:rPr>
          <w:t>Data analysis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127</w:t>
        </w:r>
        <w:r w:rsidR="0069153B" w:rsidRPr="0069153B">
          <w:rPr>
            <w:rFonts w:ascii="Times New Roman" w:hAnsi="Times New Roman" w:cs="Times New Roman"/>
            <w:noProof/>
            <w:webHidden/>
          </w:rPr>
          <w:fldChar w:fldCharType="end"/>
        </w:r>
      </w:hyperlink>
    </w:p>
    <w:p w14:paraId="6C7CF9BA" w14:textId="30ACF101"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24" w:history="1">
        <w:r w:rsidR="0069153B" w:rsidRPr="0069153B">
          <w:rPr>
            <w:rStyle w:val="Hyperlink"/>
            <w:rFonts w:ascii="Times New Roman" w:hAnsi="Times New Roman" w:cs="Times New Roman"/>
            <w:noProof/>
          </w:rPr>
          <w:t>Results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128</w:t>
        </w:r>
        <w:r w:rsidR="0069153B" w:rsidRPr="0069153B">
          <w:rPr>
            <w:rFonts w:ascii="Times New Roman" w:hAnsi="Times New Roman" w:cs="Times New Roman"/>
            <w:noProof/>
            <w:webHidden/>
          </w:rPr>
          <w:fldChar w:fldCharType="end"/>
        </w:r>
      </w:hyperlink>
    </w:p>
    <w:p w14:paraId="11854916" w14:textId="0D34073A"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25" w:history="1">
        <w:r w:rsidR="0069153B" w:rsidRPr="0069153B">
          <w:rPr>
            <w:rStyle w:val="Hyperlink"/>
            <w:rFonts w:ascii="Times New Roman" w:hAnsi="Times New Roman" w:cs="Times New Roman"/>
            <w:noProof/>
          </w:rPr>
          <w:t>Discussion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133</w:t>
        </w:r>
        <w:r w:rsidR="0069153B" w:rsidRPr="0069153B">
          <w:rPr>
            <w:rFonts w:ascii="Times New Roman" w:hAnsi="Times New Roman" w:cs="Times New Roman"/>
            <w:noProof/>
            <w:webHidden/>
          </w:rPr>
          <w:fldChar w:fldCharType="end"/>
        </w:r>
      </w:hyperlink>
    </w:p>
    <w:p w14:paraId="415195DA" w14:textId="20280F7F"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26" w:history="1">
        <w:r w:rsidR="0069153B" w:rsidRPr="0069153B">
          <w:rPr>
            <w:rStyle w:val="Hyperlink"/>
            <w:rFonts w:ascii="Times New Roman" w:hAnsi="Times New Roman" w:cs="Times New Roman"/>
            <w:noProof/>
          </w:rPr>
          <w:t>References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136</w:t>
        </w:r>
        <w:r w:rsidR="0069153B" w:rsidRPr="0069153B">
          <w:rPr>
            <w:rFonts w:ascii="Times New Roman" w:hAnsi="Times New Roman" w:cs="Times New Roman"/>
            <w:noProof/>
            <w:webHidden/>
          </w:rPr>
          <w:fldChar w:fldCharType="end"/>
        </w:r>
      </w:hyperlink>
    </w:p>
    <w:p w14:paraId="71EEA342" w14:textId="32CB227B" w:rsidR="0069153B" w:rsidRPr="0069153B" w:rsidRDefault="001C7F13">
      <w:pPr>
        <w:pStyle w:val="TOC2"/>
        <w:tabs>
          <w:tab w:val="right" w:leader="dot" w:pos="8630"/>
        </w:tabs>
        <w:rPr>
          <w:rFonts w:ascii="Times New Roman" w:eastAsiaTheme="minorEastAsia" w:hAnsi="Times New Roman" w:cs="Times New Roman"/>
          <w:noProof/>
          <w:sz w:val="22"/>
          <w:szCs w:val="22"/>
        </w:rPr>
      </w:pPr>
      <w:hyperlink w:anchor="_Toc100607927" w:history="1">
        <w:r w:rsidR="0069153B" w:rsidRPr="0069153B">
          <w:rPr>
            <w:rStyle w:val="Hyperlink"/>
            <w:rFonts w:ascii="Times New Roman" w:hAnsi="Times New Roman" w:cs="Times New Roman"/>
            <w:noProof/>
          </w:rPr>
          <w:t>Appendix</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141</w:t>
        </w:r>
        <w:r w:rsidR="0069153B" w:rsidRPr="0069153B">
          <w:rPr>
            <w:rFonts w:ascii="Times New Roman" w:hAnsi="Times New Roman" w:cs="Times New Roman"/>
            <w:noProof/>
            <w:webHidden/>
          </w:rPr>
          <w:fldChar w:fldCharType="end"/>
        </w:r>
      </w:hyperlink>
    </w:p>
    <w:p w14:paraId="6AFA1DB9" w14:textId="4D75F203"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928" w:history="1">
        <w:r w:rsidR="0069153B" w:rsidRPr="0069153B">
          <w:rPr>
            <w:rStyle w:val="Hyperlink"/>
            <w:rFonts w:ascii="Times New Roman" w:hAnsi="Times New Roman" w:cs="Times New Roman"/>
            <w:noProof/>
          </w:rPr>
          <w:t>CONCLUSION</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152</w:t>
        </w:r>
        <w:r w:rsidR="0069153B" w:rsidRPr="0069153B">
          <w:rPr>
            <w:rFonts w:ascii="Times New Roman" w:hAnsi="Times New Roman" w:cs="Times New Roman"/>
            <w:noProof/>
            <w:webHidden/>
          </w:rPr>
          <w:fldChar w:fldCharType="end"/>
        </w:r>
      </w:hyperlink>
    </w:p>
    <w:p w14:paraId="18534110" w14:textId="5CF0CA5B" w:rsidR="0069153B" w:rsidRPr="0069153B" w:rsidRDefault="001C7F13">
      <w:pPr>
        <w:pStyle w:val="TOC1"/>
        <w:tabs>
          <w:tab w:val="right" w:leader="dot" w:pos="8630"/>
        </w:tabs>
        <w:rPr>
          <w:rFonts w:ascii="Times New Roman" w:eastAsiaTheme="minorEastAsia" w:hAnsi="Times New Roman" w:cs="Times New Roman"/>
          <w:noProof/>
          <w:sz w:val="22"/>
          <w:szCs w:val="22"/>
        </w:rPr>
      </w:pPr>
      <w:hyperlink w:anchor="_Toc100607929" w:history="1">
        <w:r w:rsidR="0069153B" w:rsidRPr="0069153B">
          <w:rPr>
            <w:rStyle w:val="Hyperlink"/>
            <w:rFonts w:ascii="Times New Roman" w:hAnsi="Times New Roman" w:cs="Times New Roman"/>
            <w:noProof/>
          </w:rPr>
          <w:t>VITA</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_Toc100607929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sidRPr="0069153B">
          <w:rPr>
            <w:rFonts w:ascii="Times New Roman" w:hAnsi="Times New Roman" w:cs="Times New Roman"/>
            <w:noProof/>
            <w:webHidden/>
          </w:rPr>
          <w:t>153</w:t>
        </w:r>
        <w:r w:rsidR="0069153B" w:rsidRPr="0069153B">
          <w:rPr>
            <w:rFonts w:ascii="Times New Roman" w:hAnsi="Times New Roman" w:cs="Times New Roman"/>
            <w:noProof/>
            <w:webHidden/>
          </w:rPr>
          <w:fldChar w:fldCharType="end"/>
        </w:r>
      </w:hyperlink>
    </w:p>
    <w:p w14:paraId="570C18B7" w14:textId="4CF3CA38" w:rsidR="00387656" w:rsidRPr="008F2EA4" w:rsidRDefault="00387656">
      <w:pPr>
        <w:rPr>
          <w:rFonts w:ascii="Times New Roman" w:hAnsi="Times New Roman" w:cs="Times New Roman"/>
        </w:rPr>
      </w:pPr>
      <w:r w:rsidRPr="008F2EA4">
        <w:rPr>
          <w:rFonts w:ascii="Times New Roman" w:hAnsi="Times New Roman" w:cs="Times New Roman"/>
          <w:b/>
          <w:bCs/>
          <w:noProof/>
        </w:rPr>
        <w:fldChar w:fldCharType="end"/>
      </w:r>
    </w:p>
    <w:p w14:paraId="061D1819" w14:textId="77777777" w:rsidR="00387656" w:rsidRPr="008F2EA4" w:rsidRDefault="009C755C" w:rsidP="00387656">
      <w:pPr>
        <w:pStyle w:val="Title"/>
        <w:rPr>
          <w:rFonts w:ascii="Times New Roman" w:hAnsi="Times New Roman" w:cs="Times New Roman"/>
          <w:sz w:val="24"/>
        </w:rPr>
      </w:pPr>
      <w:r w:rsidRPr="008F2EA4">
        <w:rPr>
          <w:rFonts w:ascii="Times New Roman" w:hAnsi="Times New Roman" w:cs="Times New Roman"/>
          <w:sz w:val="24"/>
        </w:rPr>
        <w:br w:type="page"/>
      </w:r>
    </w:p>
    <w:p w14:paraId="253234FA" w14:textId="77777777" w:rsidR="00387656" w:rsidRPr="008F2EA4" w:rsidRDefault="00387656" w:rsidP="00387656">
      <w:pPr>
        <w:pStyle w:val="Title"/>
        <w:rPr>
          <w:rFonts w:ascii="Times New Roman" w:hAnsi="Times New Roman" w:cs="Times New Roman"/>
          <w:szCs w:val="28"/>
        </w:rPr>
      </w:pPr>
      <w:r w:rsidRPr="008F2EA4">
        <w:rPr>
          <w:rFonts w:ascii="Times New Roman" w:hAnsi="Times New Roman" w:cs="Times New Roman"/>
          <w:szCs w:val="28"/>
        </w:rPr>
        <w:lastRenderedPageBreak/>
        <w:t>LIST OF TABLES</w:t>
      </w:r>
    </w:p>
    <w:p w14:paraId="12270FA6" w14:textId="77777777" w:rsidR="00387656" w:rsidRPr="008F2EA4" w:rsidRDefault="00387656" w:rsidP="00387656">
      <w:pPr>
        <w:pStyle w:val="Title"/>
        <w:rPr>
          <w:rFonts w:ascii="Times New Roman" w:hAnsi="Times New Roman" w:cs="Times New Roman"/>
          <w:sz w:val="24"/>
        </w:rPr>
      </w:pPr>
    </w:p>
    <w:p w14:paraId="3DBE8F98" w14:textId="55BA76FC" w:rsidR="005D3C8D" w:rsidRPr="008F2EA4" w:rsidRDefault="00387656">
      <w:pPr>
        <w:pStyle w:val="TableofFigures"/>
        <w:tabs>
          <w:tab w:val="right" w:leader="dot" w:pos="8630"/>
        </w:tabs>
        <w:rPr>
          <w:rFonts w:ascii="Times New Roman" w:eastAsiaTheme="minorEastAsia" w:hAnsi="Times New Roman" w:cs="Times New Roman"/>
          <w:noProof/>
          <w:sz w:val="22"/>
          <w:szCs w:val="22"/>
        </w:rPr>
      </w:pPr>
      <w:r w:rsidRPr="008F2EA4">
        <w:rPr>
          <w:rFonts w:ascii="Times New Roman" w:hAnsi="Times New Roman" w:cs="Times New Roman"/>
        </w:rPr>
        <w:fldChar w:fldCharType="begin"/>
      </w:r>
      <w:r w:rsidRPr="008F2EA4">
        <w:rPr>
          <w:rFonts w:ascii="Times New Roman" w:hAnsi="Times New Roman" w:cs="Times New Roman"/>
        </w:rPr>
        <w:instrText xml:space="preserve"> TOC \h \z \c "Table" </w:instrText>
      </w:r>
      <w:r w:rsidRPr="008F2EA4">
        <w:rPr>
          <w:rFonts w:ascii="Times New Roman" w:hAnsi="Times New Roman" w:cs="Times New Roman"/>
        </w:rPr>
        <w:fldChar w:fldCharType="separate"/>
      </w:r>
      <w:hyperlink w:anchor="_Toc93411172" w:history="1">
        <w:r w:rsidR="005D3C8D" w:rsidRPr="008F2EA4">
          <w:rPr>
            <w:rStyle w:val="Hyperlink"/>
            <w:rFonts w:ascii="Times New Roman" w:hAnsi="Times New Roman" w:cs="Times New Roman"/>
            <w:noProof/>
          </w:rPr>
          <w:t>Table 1 Description of freshwater phenology metrics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_Toc93411172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8</w:t>
        </w:r>
        <w:r w:rsidR="005D3C8D" w:rsidRPr="008F2EA4">
          <w:rPr>
            <w:rFonts w:ascii="Times New Roman" w:hAnsi="Times New Roman" w:cs="Times New Roman"/>
            <w:noProof/>
            <w:webHidden/>
          </w:rPr>
          <w:fldChar w:fldCharType="end"/>
        </w:r>
      </w:hyperlink>
    </w:p>
    <w:p w14:paraId="5297860C" w14:textId="04CF79EE"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3" w:history="1">
        <w:r w:rsidR="005D3C8D" w:rsidRPr="008F2EA4">
          <w:rPr>
            <w:rStyle w:val="Hyperlink"/>
            <w:rFonts w:ascii="Times New Roman" w:hAnsi="Times New Roman" w:cs="Times New Roman"/>
            <w:noProof/>
          </w:rPr>
          <w:t>Table 2. Environmental cues recorded in our review</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_Toc93411173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w:t>
        </w:r>
        <w:r w:rsidR="005D3C8D" w:rsidRPr="008F2EA4">
          <w:rPr>
            <w:rFonts w:ascii="Times New Roman" w:hAnsi="Times New Roman" w:cs="Times New Roman"/>
            <w:noProof/>
            <w:webHidden/>
          </w:rPr>
          <w:fldChar w:fldCharType="end"/>
        </w:r>
      </w:hyperlink>
    </w:p>
    <w:p w14:paraId="19FE4D4F" w14:textId="649A898C"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4" w:history="1">
        <w:r w:rsidR="005D3C8D" w:rsidRPr="008F2EA4">
          <w:rPr>
            <w:rStyle w:val="Hyperlink"/>
            <w:rFonts w:ascii="Times New Roman" w:hAnsi="Times New Roman" w:cs="Times New Roman"/>
            <w:noProof/>
          </w:rPr>
          <w:t>Table 3. Intrinsic traits investigated by our review</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_Toc93411174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10</w:t>
        </w:r>
        <w:r w:rsidR="005D3C8D" w:rsidRPr="008F2EA4">
          <w:rPr>
            <w:rFonts w:ascii="Times New Roman" w:hAnsi="Times New Roman" w:cs="Times New Roman"/>
            <w:noProof/>
            <w:webHidden/>
          </w:rPr>
          <w:fldChar w:fldCharType="end"/>
        </w:r>
      </w:hyperlink>
    </w:p>
    <w:p w14:paraId="4BE88619" w14:textId="48D9E8E3"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5" w:history="1">
        <w:r w:rsidR="005D3C8D" w:rsidRPr="008F2EA4">
          <w:rPr>
            <w:rStyle w:val="Hyperlink"/>
            <w:rFonts w:ascii="Times New Roman" w:hAnsi="Times New Roman" w:cs="Times New Roman"/>
            <w:noProof/>
          </w:rPr>
          <w:t>Table 4. Predictor variables included in all path models predicting fish biomass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_Toc93411175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67</w:t>
        </w:r>
        <w:r w:rsidR="005D3C8D" w:rsidRPr="008F2EA4">
          <w:rPr>
            <w:rFonts w:ascii="Times New Roman" w:hAnsi="Times New Roman" w:cs="Times New Roman"/>
            <w:noProof/>
            <w:webHidden/>
          </w:rPr>
          <w:fldChar w:fldCharType="end"/>
        </w:r>
      </w:hyperlink>
    </w:p>
    <w:p w14:paraId="326D41FA" w14:textId="1B94CE75"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6" w:history="1">
        <w:r w:rsidR="005D3C8D" w:rsidRPr="008F2EA4">
          <w:rPr>
            <w:rStyle w:val="Hyperlink"/>
            <w:rFonts w:ascii="Times New Roman" w:hAnsi="Times New Roman" w:cs="Times New Roman"/>
            <w:noProof/>
          </w:rPr>
          <w:t>Table 5. Functional traits used in the functional diversity analyses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_Toc93411176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70</w:t>
        </w:r>
        <w:r w:rsidR="005D3C8D" w:rsidRPr="008F2EA4">
          <w:rPr>
            <w:rFonts w:ascii="Times New Roman" w:hAnsi="Times New Roman" w:cs="Times New Roman"/>
            <w:noProof/>
            <w:webHidden/>
          </w:rPr>
          <w:fldChar w:fldCharType="end"/>
        </w:r>
      </w:hyperlink>
    </w:p>
    <w:p w14:paraId="2488E5F2" w14:textId="2BE66D4D"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7" w:history="1">
        <w:r w:rsidR="005D3C8D" w:rsidRPr="008F2EA4">
          <w:rPr>
            <w:rStyle w:val="Hyperlink"/>
            <w:rFonts w:ascii="Times New Roman" w:hAnsi="Times New Roman" w:cs="Times New Roman"/>
            <w:noProof/>
          </w:rPr>
          <w:t>Table 6. Results of the sensitivity analysis of beta coefficient estimates on alternative survey selection criteria.</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_Toc93411177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92</w:t>
        </w:r>
        <w:r w:rsidR="005D3C8D" w:rsidRPr="008F2EA4">
          <w:rPr>
            <w:rFonts w:ascii="Times New Roman" w:hAnsi="Times New Roman" w:cs="Times New Roman"/>
            <w:noProof/>
            <w:webHidden/>
          </w:rPr>
          <w:fldChar w:fldCharType="end"/>
        </w:r>
      </w:hyperlink>
    </w:p>
    <w:p w14:paraId="32EA2B63" w14:textId="7730767F"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8" w:history="1">
        <w:r w:rsidR="005D3C8D" w:rsidRPr="008F2EA4">
          <w:rPr>
            <w:rStyle w:val="Hyperlink"/>
            <w:rFonts w:ascii="Times New Roman" w:hAnsi="Times New Roman" w:cs="Times New Roman"/>
            <w:noProof/>
          </w:rPr>
          <w:t>Table 7. Path coefficients from the full (all predictor variables) endogenous models predicting biomass, species richness, and functional diversity as a function of environmental predictor variables, using HFI values from 1993 not presented in the main text</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_Toc93411178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93</w:t>
        </w:r>
        <w:r w:rsidR="005D3C8D" w:rsidRPr="008F2EA4">
          <w:rPr>
            <w:rFonts w:ascii="Times New Roman" w:hAnsi="Times New Roman" w:cs="Times New Roman"/>
            <w:noProof/>
            <w:webHidden/>
          </w:rPr>
          <w:fldChar w:fldCharType="end"/>
        </w:r>
      </w:hyperlink>
    </w:p>
    <w:p w14:paraId="5C8F50D3" w14:textId="1AB604C6"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79" w:history="1">
        <w:r w:rsidR="005D3C8D" w:rsidRPr="008F2EA4">
          <w:rPr>
            <w:rStyle w:val="Hyperlink"/>
            <w:rFonts w:ascii="Times New Roman" w:hAnsi="Times New Roman" w:cs="Times New Roman"/>
            <w:noProof/>
          </w:rPr>
          <w:t>Table 8. Path coefficients from the full (all predictor variables) model predicting biomass, species richness, and functional diversity as a function of environmental predictor variables, using sampling year as a covariate.</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_Toc93411179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94</w:t>
        </w:r>
        <w:r w:rsidR="005D3C8D" w:rsidRPr="008F2EA4">
          <w:rPr>
            <w:rFonts w:ascii="Times New Roman" w:hAnsi="Times New Roman" w:cs="Times New Roman"/>
            <w:noProof/>
            <w:webHidden/>
          </w:rPr>
          <w:fldChar w:fldCharType="end"/>
        </w:r>
      </w:hyperlink>
    </w:p>
    <w:p w14:paraId="011CA305" w14:textId="1924B235"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0" w:history="1">
        <w:r w:rsidR="005D3C8D" w:rsidRPr="008F2EA4">
          <w:rPr>
            <w:rStyle w:val="Hyperlink"/>
            <w:rFonts w:ascii="Times New Roman" w:hAnsi="Times New Roman" w:cs="Times New Roman"/>
            <w:noProof/>
          </w:rPr>
          <w:t>Table 9. Results of VIF analysis for the full models described in the main tex</w:t>
        </w:r>
        <w:r w:rsidR="000C6C73" w:rsidRPr="008F2EA4">
          <w:rPr>
            <w:rStyle w:val="Hyperlink"/>
            <w:rFonts w:ascii="Times New Roman" w:hAnsi="Times New Roman" w:cs="Times New Roman"/>
            <w:noProof/>
          </w:rPr>
          <w:t>t</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_Toc93411180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95</w:t>
        </w:r>
        <w:r w:rsidR="005D3C8D" w:rsidRPr="008F2EA4">
          <w:rPr>
            <w:rFonts w:ascii="Times New Roman" w:hAnsi="Times New Roman" w:cs="Times New Roman"/>
            <w:noProof/>
            <w:webHidden/>
          </w:rPr>
          <w:fldChar w:fldCharType="end"/>
        </w:r>
      </w:hyperlink>
    </w:p>
    <w:p w14:paraId="42A6ADAA" w14:textId="25D286C1"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1" w:history="1">
        <w:r w:rsidR="005D3C8D" w:rsidRPr="008F2EA4">
          <w:rPr>
            <w:rStyle w:val="Hyperlink"/>
            <w:rFonts w:ascii="Times New Roman" w:hAnsi="Times New Roman" w:cs="Times New Roman"/>
            <w:noProof/>
          </w:rPr>
          <w:t xml:space="preserve">Table 10. Evaluation of conditional independence claims in the </w:t>
        </w:r>
        <w:r w:rsidR="005D3C8D" w:rsidRPr="008F2EA4">
          <w:rPr>
            <w:rStyle w:val="Hyperlink"/>
            <w:rFonts w:ascii="Times New Roman" w:hAnsi="Times New Roman" w:cs="Times New Roman"/>
            <w:i/>
            <w:noProof/>
          </w:rPr>
          <w:t>total biodiversity</w:t>
        </w:r>
        <w:r w:rsidR="005D3C8D" w:rsidRPr="008F2EA4">
          <w:rPr>
            <w:rStyle w:val="Hyperlink"/>
            <w:rFonts w:ascii="Times New Roman" w:hAnsi="Times New Roman" w:cs="Times New Roman"/>
            <w:noProof/>
          </w:rPr>
          <w:t xml:space="preserve"> path model</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_Toc93411181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97</w:t>
        </w:r>
        <w:r w:rsidR="005D3C8D" w:rsidRPr="008F2EA4">
          <w:rPr>
            <w:rFonts w:ascii="Times New Roman" w:hAnsi="Times New Roman" w:cs="Times New Roman"/>
            <w:noProof/>
            <w:webHidden/>
          </w:rPr>
          <w:fldChar w:fldCharType="end"/>
        </w:r>
      </w:hyperlink>
    </w:p>
    <w:p w14:paraId="0F612B1A" w14:textId="41C77800"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2" w:history="1">
        <w:r w:rsidR="005D3C8D" w:rsidRPr="008F2EA4">
          <w:rPr>
            <w:rStyle w:val="Hyperlink"/>
            <w:rFonts w:ascii="Times New Roman" w:hAnsi="Times New Roman" w:cs="Times New Roman"/>
            <w:noProof/>
          </w:rPr>
          <w:t xml:space="preserve">Table 11. Evaluation of conditional independence claims in the </w:t>
        </w:r>
        <w:r w:rsidR="005D3C8D" w:rsidRPr="008F2EA4">
          <w:rPr>
            <w:rStyle w:val="Hyperlink"/>
            <w:rFonts w:ascii="Times New Roman" w:hAnsi="Times New Roman" w:cs="Times New Roman"/>
            <w:i/>
            <w:noProof/>
          </w:rPr>
          <w:t>partitioned biodiversity</w:t>
        </w:r>
        <w:r w:rsidR="005D3C8D" w:rsidRPr="008F2EA4">
          <w:rPr>
            <w:rStyle w:val="Hyperlink"/>
            <w:rFonts w:ascii="Times New Roman" w:hAnsi="Times New Roman" w:cs="Times New Roman"/>
            <w:noProof/>
          </w:rPr>
          <w:t xml:space="preserve"> path model</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_Toc93411182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98</w:t>
        </w:r>
        <w:r w:rsidR="005D3C8D" w:rsidRPr="008F2EA4">
          <w:rPr>
            <w:rFonts w:ascii="Times New Roman" w:hAnsi="Times New Roman" w:cs="Times New Roman"/>
            <w:noProof/>
            <w:webHidden/>
          </w:rPr>
          <w:fldChar w:fldCharType="end"/>
        </w:r>
      </w:hyperlink>
    </w:p>
    <w:p w14:paraId="1DBF494F" w14:textId="46ED062B"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3" w:history="1">
        <w:r w:rsidR="005D3C8D" w:rsidRPr="008F2EA4">
          <w:rPr>
            <w:rStyle w:val="Hyperlink"/>
            <w:rFonts w:ascii="Times New Roman" w:hAnsi="Times New Roman" w:cs="Times New Roman"/>
            <w:noProof/>
          </w:rPr>
          <w:t>Table 12. Hypothesized relationships with body size</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_Toc93411183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124</w:t>
        </w:r>
        <w:r w:rsidR="005D3C8D" w:rsidRPr="008F2EA4">
          <w:rPr>
            <w:rFonts w:ascii="Times New Roman" w:hAnsi="Times New Roman" w:cs="Times New Roman"/>
            <w:noProof/>
            <w:webHidden/>
          </w:rPr>
          <w:fldChar w:fldCharType="end"/>
        </w:r>
      </w:hyperlink>
    </w:p>
    <w:p w14:paraId="4E6C0C67" w14:textId="747A24AB"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4" w:history="1">
        <w:r w:rsidR="005D3C8D" w:rsidRPr="008F2EA4">
          <w:rPr>
            <w:rStyle w:val="Hyperlink"/>
            <w:rFonts w:ascii="Times New Roman" w:hAnsi="Times New Roman" w:cs="Times New Roman"/>
            <w:noProof/>
          </w:rPr>
          <w:t>Table 13. Top 10 models for the assemblage scale proximate model identified by multi-model inference model selection based on AICc.</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_Toc93411184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141</w:t>
        </w:r>
        <w:r w:rsidR="005D3C8D" w:rsidRPr="008F2EA4">
          <w:rPr>
            <w:rFonts w:ascii="Times New Roman" w:hAnsi="Times New Roman" w:cs="Times New Roman"/>
            <w:noProof/>
            <w:webHidden/>
          </w:rPr>
          <w:fldChar w:fldCharType="end"/>
        </w:r>
      </w:hyperlink>
    </w:p>
    <w:p w14:paraId="2224A7CF" w14:textId="2DCF232F"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5" w:history="1">
        <w:r w:rsidR="005D3C8D" w:rsidRPr="008F2EA4">
          <w:rPr>
            <w:rStyle w:val="Hyperlink"/>
            <w:rFonts w:ascii="Times New Roman" w:hAnsi="Times New Roman" w:cs="Times New Roman"/>
            <w:noProof/>
          </w:rPr>
          <w:t>Table 14. Top 10 models for the species scale proximate model identified by multi-model inference model selection based on AICc.</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_Toc93411185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142</w:t>
        </w:r>
        <w:r w:rsidR="005D3C8D" w:rsidRPr="008F2EA4">
          <w:rPr>
            <w:rFonts w:ascii="Times New Roman" w:hAnsi="Times New Roman" w:cs="Times New Roman"/>
            <w:noProof/>
            <w:webHidden/>
          </w:rPr>
          <w:fldChar w:fldCharType="end"/>
        </w:r>
      </w:hyperlink>
    </w:p>
    <w:p w14:paraId="73466240" w14:textId="63207B31"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6" w:history="1">
        <w:r w:rsidR="005D3C8D" w:rsidRPr="008F2EA4">
          <w:rPr>
            <w:rStyle w:val="Hyperlink"/>
            <w:rFonts w:ascii="Times New Roman" w:hAnsi="Times New Roman" w:cs="Times New Roman"/>
            <w:noProof/>
          </w:rPr>
          <w:t>Table 15. Top 10 models for the population scale proximate model identified by multi-model inference model selection based on AICc.</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_Toc93411186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143</w:t>
        </w:r>
        <w:r w:rsidR="005D3C8D" w:rsidRPr="008F2EA4">
          <w:rPr>
            <w:rFonts w:ascii="Times New Roman" w:hAnsi="Times New Roman" w:cs="Times New Roman"/>
            <w:noProof/>
            <w:webHidden/>
          </w:rPr>
          <w:fldChar w:fldCharType="end"/>
        </w:r>
      </w:hyperlink>
    </w:p>
    <w:p w14:paraId="6E3417F9" w14:textId="07C865F5"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7" w:history="1">
        <w:r w:rsidR="005D3C8D" w:rsidRPr="008F2EA4">
          <w:rPr>
            <w:rStyle w:val="Hyperlink"/>
            <w:rFonts w:ascii="Times New Roman" w:hAnsi="Times New Roman" w:cs="Times New Roman"/>
            <w:noProof/>
          </w:rPr>
          <w:t>Table 16. Assemblage piecewise path model coefficients.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_Toc93411187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144</w:t>
        </w:r>
        <w:r w:rsidR="005D3C8D" w:rsidRPr="008F2EA4">
          <w:rPr>
            <w:rFonts w:ascii="Times New Roman" w:hAnsi="Times New Roman" w:cs="Times New Roman"/>
            <w:noProof/>
            <w:webHidden/>
          </w:rPr>
          <w:fldChar w:fldCharType="end"/>
        </w:r>
      </w:hyperlink>
    </w:p>
    <w:p w14:paraId="5F88ACDB" w14:textId="3BAB8FE0"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8" w:history="1">
        <w:r w:rsidR="005D3C8D" w:rsidRPr="008F2EA4">
          <w:rPr>
            <w:rStyle w:val="Hyperlink"/>
            <w:rFonts w:ascii="Times New Roman" w:hAnsi="Times New Roman" w:cs="Times New Roman"/>
            <w:noProof/>
          </w:rPr>
          <w:t>Table 17. Species piecewise path model coefficients.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_Toc93411188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145</w:t>
        </w:r>
        <w:r w:rsidR="005D3C8D" w:rsidRPr="008F2EA4">
          <w:rPr>
            <w:rFonts w:ascii="Times New Roman" w:hAnsi="Times New Roman" w:cs="Times New Roman"/>
            <w:noProof/>
            <w:webHidden/>
          </w:rPr>
          <w:fldChar w:fldCharType="end"/>
        </w:r>
      </w:hyperlink>
    </w:p>
    <w:p w14:paraId="195C4213" w14:textId="0EC19C32"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89" w:history="1">
        <w:r w:rsidR="005D3C8D" w:rsidRPr="008F2EA4">
          <w:rPr>
            <w:rStyle w:val="Hyperlink"/>
            <w:rFonts w:ascii="Times New Roman" w:hAnsi="Times New Roman" w:cs="Times New Roman"/>
            <w:noProof/>
          </w:rPr>
          <w:t>Table 18. Population piecewise path model coefficients.</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_Toc93411189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146</w:t>
        </w:r>
        <w:r w:rsidR="005D3C8D" w:rsidRPr="008F2EA4">
          <w:rPr>
            <w:rFonts w:ascii="Times New Roman" w:hAnsi="Times New Roman" w:cs="Times New Roman"/>
            <w:noProof/>
            <w:webHidden/>
          </w:rPr>
          <w:fldChar w:fldCharType="end"/>
        </w:r>
      </w:hyperlink>
    </w:p>
    <w:p w14:paraId="035F97B1" w14:textId="5AF0AE40"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90" w:history="1">
        <w:r w:rsidR="005D3C8D" w:rsidRPr="008F2EA4">
          <w:rPr>
            <w:rStyle w:val="Hyperlink"/>
            <w:rFonts w:ascii="Times New Roman" w:hAnsi="Times New Roman" w:cs="Times New Roman"/>
            <w:noProof/>
          </w:rPr>
          <w:t>Table 19. Assemblage scale d sep test.</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_Toc93411190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147</w:t>
        </w:r>
        <w:r w:rsidR="005D3C8D" w:rsidRPr="008F2EA4">
          <w:rPr>
            <w:rFonts w:ascii="Times New Roman" w:hAnsi="Times New Roman" w:cs="Times New Roman"/>
            <w:noProof/>
            <w:webHidden/>
          </w:rPr>
          <w:fldChar w:fldCharType="end"/>
        </w:r>
      </w:hyperlink>
    </w:p>
    <w:p w14:paraId="054B0B0A" w14:textId="305AAFCE"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91" w:history="1">
        <w:r w:rsidR="005D3C8D" w:rsidRPr="008F2EA4">
          <w:rPr>
            <w:rStyle w:val="Hyperlink"/>
            <w:rFonts w:ascii="Times New Roman" w:hAnsi="Times New Roman" w:cs="Times New Roman"/>
            <w:noProof/>
          </w:rPr>
          <w:t>Table 20. Species scale d sep test.</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_Toc93411191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148</w:t>
        </w:r>
        <w:r w:rsidR="005D3C8D" w:rsidRPr="008F2EA4">
          <w:rPr>
            <w:rFonts w:ascii="Times New Roman" w:hAnsi="Times New Roman" w:cs="Times New Roman"/>
            <w:noProof/>
            <w:webHidden/>
          </w:rPr>
          <w:fldChar w:fldCharType="end"/>
        </w:r>
      </w:hyperlink>
    </w:p>
    <w:p w14:paraId="2AF338C7" w14:textId="70A295D5" w:rsidR="005D3C8D" w:rsidRPr="008F2EA4" w:rsidRDefault="001C7F13">
      <w:pPr>
        <w:pStyle w:val="TableofFigures"/>
        <w:tabs>
          <w:tab w:val="right" w:leader="dot" w:pos="8630"/>
        </w:tabs>
        <w:rPr>
          <w:rFonts w:ascii="Times New Roman" w:eastAsiaTheme="minorEastAsia" w:hAnsi="Times New Roman" w:cs="Times New Roman"/>
          <w:noProof/>
          <w:sz w:val="22"/>
          <w:szCs w:val="22"/>
        </w:rPr>
      </w:pPr>
      <w:hyperlink w:anchor="_Toc93411192" w:history="1">
        <w:r w:rsidR="005D3C8D" w:rsidRPr="008F2EA4">
          <w:rPr>
            <w:rStyle w:val="Hyperlink"/>
            <w:rFonts w:ascii="Times New Roman" w:hAnsi="Times New Roman" w:cs="Times New Roman"/>
            <w:noProof/>
          </w:rPr>
          <w:t>Table 21. Population scale d sep test.</w:t>
        </w:r>
        <w:r w:rsidR="005D3C8D" w:rsidRPr="008F2EA4">
          <w:rPr>
            <w:rFonts w:ascii="Times New Roman" w:hAnsi="Times New Roman" w:cs="Times New Roman"/>
            <w:noProof/>
            <w:webHidden/>
          </w:rPr>
          <w:tab/>
        </w:r>
        <w:r w:rsidR="005D3C8D" w:rsidRPr="008F2EA4">
          <w:rPr>
            <w:rFonts w:ascii="Times New Roman" w:hAnsi="Times New Roman" w:cs="Times New Roman"/>
            <w:noProof/>
            <w:webHidden/>
          </w:rPr>
          <w:fldChar w:fldCharType="begin"/>
        </w:r>
        <w:r w:rsidR="005D3C8D" w:rsidRPr="008F2EA4">
          <w:rPr>
            <w:rFonts w:ascii="Times New Roman" w:hAnsi="Times New Roman" w:cs="Times New Roman"/>
            <w:noProof/>
            <w:webHidden/>
          </w:rPr>
          <w:instrText xml:space="preserve"> PAGEREF _Toc93411192 \h </w:instrText>
        </w:r>
        <w:r w:rsidR="005D3C8D" w:rsidRPr="008F2EA4">
          <w:rPr>
            <w:rFonts w:ascii="Times New Roman" w:hAnsi="Times New Roman" w:cs="Times New Roman"/>
            <w:noProof/>
            <w:webHidden/>
          </w:rPr>
        </w:r>
        <w:r w:rsidR="005D3C8D" w:rsidRPr="008F2EA4">
          <w:rPr>
            <w:rFonts w:ascii="Times New Roman" w:hAnsi="Times New Roman" w:cs="Times New Roman"/>
            <w:noProof/>
            <w:webHidden/>
          </w:rPr>
          <w:fldChar w:fldCharType="separate"/>
        </w:r>
        <w:r w:rsidR="0069153B">
          <w:rPr>
            <w:rFonts w:ascii="Times New Roman" w:hAnsi="Times New Roman" w:cs="Times New Roman"/>
            <w:noProof/>
            <w:webHidden/>
          </w:rPr>
          <w:t>149</w:t>
        </w:r>
        <w:r w:rsidR="005D3C8D" w:rsidRPr="008F2EA4">
          <w:rPr>
            <w:rFonts w:ascii="Times New Roman" w:hAnsi="Times New Roman" w:cs="Times New Roman"/>
            <w:noProof/>
            <w:webHidden/>
          </w:rPr>
          <w:fldChar w:fldCharType="end"/>
        </w:r>
      </w:hyperlink>
    </w:p>
    <w:p w14:paraId="481D86CF" w14:textId="4FD60255" w:rsidR="00236E6D" w:rsidRPr="008F2EA4" w:rsidRDefault="00387656" w:rsidP="005E54E2">
      <w:pPr>
        <w:rPr>
          <w:rFonts w:ascii="Times New Roman" w:hAnsi="Times New Roman" w:cs="Times New Roman"/>
        </w:rPr>
      </w:pPr>
      <w:r w:rsidRPr="008F2EA4">
        <w:rPr>
          <w:rFonts w:ascii="Times New Roman" w:hAnsi="Times New Roman" w:cs="Times New Roman"/>
        </w:rPr>
        <w:fldChar w:fldCharType="end"/>
      </w:r>
    </w:p>
    <w:p w14:paraId="2FC99342" w14:textId="77777777" w:rsidR="00236E6D" w:rsidRPr="008F2EA4" w:rsidRDefault="00236E6D" w:rsidP="005E54E2">
      <w:pPr>
        <w:rPr>
          <w:rFonts w:ascii="Times New Roman" w:hAnsi="Times New Roman" w:cs="Times New Roman"/>
        </w:rPr>
      </w:pPr>
    </w:p>
    <w:p w14:paraId="63231F92" w14:textId="77777777" w:rsidR="00236E6D" w:rsidRPr="008F2EA4" w:rsidRDefault="00236E6D" w:rsidP="005E54E2">
      <w:pPr>
        <w:rPr>
          <w:rFonts w:ascii="Times New Roman" w:hAnsi="Times New Roman" w:cs="Times New Roman"/>
        </w:rPr>
      </w:pPr>
    </w:p>
    <w:p w14:paraId="557F00A6" w14:textId="77777777" w:rsidR="00236E6D" w:rsidRPr="008F2EA4" w:rsidRDefault="00236E6D" w:rsidP="00904969">
      <w:pPr>
        <w:rPr>
          <w:rFonts w:ascii="Times New Roman" w:hAnsi="Times New Roman" w:cs="Times New Roman"/>
        </w:rPr>
      </w:pPr>
    </w:p>
    <w:p w14:paraId="0448CDA1" w14:textId="77777777" w:rsidR="0085757D" w:rsidRPr="008F2EA4" w:rsidRDefault="0085757D" w:rsidP="00904969">
      <w:pPr>
        <w:rPr>
          <w:rFonts w:ascii="Times New Roman" w:hAnsi="Times New Roman" w:cs="Times New Roman"/>
        </w:rPr>
      </w:pPr>
    </w:p>
    <w:p w14:paraId="78054D7C" w14:textId="77777777" w:rsidR="0085757D" w:rsidRPr="008F2EA4" w:rsidRDefault="0085757D" w:rsidP="00904969">
      <w:pPr>
        <w:rPr>
          <w:rFonts w:ascii="Times New Roman" w:hAnsi="Times New Roman" w:cs="Times New Roman"/>
        </w:rPr>
      </w:pPr>
    </w:p>
    <w:p w14:paraId="7E7A907E" w14:textId="77777777" w:rsidR="0085757D" w:rsidRPr="008F2EA4" w:rsidRDefault="0085757D" w:rsidP="00904969">
      <w:pPr>
        <w:rPr>
          <w:rFonts w:ascii="Times New Roman" w:hAnsi="Times New Roman" w:cs="Times New Roman"/>
        </w:rPr>
      </w:pPr>
    </w:p>
    <w:p w14:paraId="3F063B1E" w14:textId="77777777" w:rsidR="0085757D" w:rsidRPr="008F2EA4" w:rsidRDefault="0085757D" w:rsidP="00904969">
      <w:pPr>
        <w:rPr>
          <w:rFonts w:ascii="Times New Roman" w:hAnsi="Times New Roman" w:cs="Times New Roman"/>
        </w:rPr>
      </w:pPr>
    </w:p>
    <w:p w14:paraId="6D16C5C9" w14:textId="77777777" w:rsidR="0085757D" w:rsidRPr="008F2EA4" w:rsidRDefault="0085757D" w:rsidP="00904969">
      <w:pPr>
        <w:rPr>
          <w:rFonts w:ascii="Times New Roman" w:hAnsi="Times New Roman" w:cs="Times New Roman"/>
        </w:rPr>
      </w:pPr>
    </w:p>
    <w:p w14:paraId="1DAEB2B2" w14:textId="77777777" w:rsidR="00904969" w:rsidRPr="008F2EA4" w:rsidRDefault="00236E6D" w:rsidP="00904969">
      <w:pPr>
        <w:pStyle w:val="Title"/>
        <w:rPr>
          <w:rFonts w:ascii="Times New Roman" w:hAnsi="Times New Roman" w:cs="Times New Roman"/>
          <w:szCs w:val="28"/>
        </w:rPr>
      </w:pPr>
      <w:r w:rsidRPr="008F2EA4">
        <w:rPr>
          <w:rFonts w:ascii="Times New Roman" w:hAnsi="Times New Roman" w:cs="Times New Roman"/>
          <w:sz w:val="24"/>
        </w:rPr>
        <w:br w:type="page"/>
      </w:r>
      <w:r w:rsidR="00904969" w:rsidRPr="008F2EA4">
        <w:rPr>
          <w:rFonts w:ascii="Times New Roman" w:hAnsi="Times New Roman" w:cs="Times New Roman"/>
          <w:szCs w:val="28"/>
        </w:rPr>
        <w:lastRenderedPageBreak/>
        <w:t>LIST OF FIGURES</w:t>
      </w:r>
    </w:p>
    <w:p w14:paraId="520A281C" w14:textId="77777777" w:rsidR="00C30D60" w:rsidRPr="008F2EA4" w:rsidRDefault="00C30D60" w:rsidP="00904969">
      <w:pPr>
        <w:pStyle w:val="Title"/>
        <w:rPr>
          <w:rFonts w:ascii="Times New Roman" w:hAnsi="Times New Roman" w:cs="Times New Roman"/>
          <w:sz w:val="24"/>
        </w:rPr>
      </w:pPr>
    </w:p>
    <w:p w14:paraId="6B5E1376" w14:textId="440B8091" w:rsidR="0069153B" w:rsidRPr="0069153B" w:rsidRDefault="00387656">
      <w:pPr>
        <w:pStyle w:val="TableofFigures"/>
        <w:tabs>
          <w:tab w:val="right" w:leader="dot" w:pos="8630"/>
        </w:tabs>
        <w:rPr>
          <w:rFonts w:ascii="Times New Roman" w:eastAsiaTheme="minorEastAsia" w:hAnsi="Times New Roman" w:cs="Times New Roman"/>
          <w:noProof/>
          <w:sz w:val="22"/>
          <w:szCs w:val="22"/>
        </w:rPr>
      </w:pPr>
      <w:r w:rsidRPr="008F2EA4">
        <w:rPr>
          <w:rFonts w:ascii="Times New Roman" w:hAnsi="Times New Roman" w:cs="Times New Roman"/>
        </w:rPr>
        <w:fldChar w:fldCharType="begin"/>
      </w:r>
      <w:r w:rsidRPr="008F2EA4">
        <w:rPr>
          <w:rFonts w:ascii="Times New Roman" w:hAnsi="Times New Roman" w:cs="Times New Roman"/>
        </w:rPr>
        <w:instrText xml:space="preserve"> TOC \h \z \c "Figure" </w:instrText>
      </w:r>
      <w:r w:rsidRPr="008F2EA4">
        <w:rPr>
          <w:rFonts w:ascii="Times New Roman" w:hAnsi="Times New Roman" w:cs="Times New Roman"/>
        </w:rPr>
        <w:fldChar w:fldCharType="separate"/>
      </w:r>
      <w:hyperlink w:anchor="_Toc100607930" w:history="1">
        <w:r w:rsidR="0069153B" w:rsidRPr="0069153B">
          <w:rPr>
            <w:rStyle w:val="Hyperlink"/>
            <w:rFonts w:ascii="Times New Roman" w:hAnsi="Times New Roman" w:cs="Times New Roman"/>
            <w:noProof/>
          </w:rPr>
          <w:t>Figure 1. Map of the distribution of contemporary freshwater phenology research</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12</w:t>
        </w:r>
        <w:r w:rsidR="0069153B" w:rsidRPr="0069153B">
          <w:rPr>
            <w:rFonts w:ascii="Times New Roman" w:hAnsi="Times New Roman" w:cs="Times New Roman"/>
            <w:noProof/>
            <w:webHidden/>
          </w:rPr>
          <w:fldChar w:fldCharType="end"/>
        </w:r>
      </w:hyperlink>
    </w:p>
    <w:p w14:paraId="131D8C55" w14:textId="04FBC8F0"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1" w:history="1">
        <w:r w:rsidR="0069153B" w:rsidRPr="0069153B">
          <w:rPr>
            <w:rStyle w:val="Hyperlink"/>
            <w:rFonts w:ascii="Times New Roman" w:hAnsi="Times New Roman" w:cs="Times New Roman"/>
            <w:noProof/>
          </w:rPr>
          <w:t>Figure 2. Locations of studies with known geographic coordinates.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13</w:t>
        </w:r>
        <w:r w:rsidR="0069153B" w:rsidRPr="0069153B">
          <w:rPr>
            <w:rFonts w:ascii="Times New Roman" w:hAnsi="Times New Roman" w:cs="Times New Roman"/>
            <w:noProof/>
            <w:webHidden/>
          </w:rPr>
          <w:fldChar w:fldCharType="end"/>
        </w:r>
      </w:hyperlink>
    </w:p>
    <w:p w14:paraId="6F9D5318" w14:textId="3842E29F"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2" w:history="1">
        <w:r w:rsidR="0069153B" w:rsidRPr="0069153B">
          <w:rPr>
            <w:rStyle w:val="Hyperlink"/>
            <w:rFonts w:ascii="Times New Roman" w:hAnsi="Times New Roman" w:cs="Times New Roman"/>
            <w:noProof/>
          </w:rPr>
          <w:t>Figure 3. The number of studies with reported measures of phenology for each group of taxa in lentic and lotic habitats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15</w:t>
        </w:r>
        <w:r w:rsidR="0069153B" w:rsidRPr="0069153B">
          <w:rPr>
            <w:rFonts w:ascii="Times New Roman" w:hAnsi="Times New Roman" w:cs="Times New Roman"/>
            <w:noProof/>
            <w:webHidden/>
          </w:rPr>
          <w:fldChar w:fldCharType="end"/>
        </w:r>
      </w:hyperlink>
    </w:p>
    <w:p w14:paraId="0189C518" w14:textId="1431B43E"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3" w:history="1">
        <w:r w:rsidR="0069153B" w:rsidRPr="0069153B">
          <w:rPr>
            <w:rStyle w:val="Hyperlink"/>
            <w:rFonts w:ascii="Times New Roman" w:hAnsi="Times New Roman" w:cs="Times New Roman"/>
            <w:noProof/>
          </w:rPr>
          <w:t>Figure 4. The number of taxa (top) and study length (bottom) reported in studies of lotic (light blue) and lentic (dark blue) phenology.</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16</w:t>
        </w:r>
        <w:r w:rsidR="0069153B" w:rsidRPr="0069153B">
          <w:rPr>
            <w:rFonts w:ascii="Times New Roman" w:hAnsi="Times New Roman" w:cs="Times New Roman"/>
            <w:noProof/>
            <w:webHidden/>
          </w:rPr>
          <w:fldChar w:fldCharType="end"/>
        </w:r>
      </w:hyperlink>
    </w:p>
    <w:p w14:paraId="1D5AE97C" w14:textId="0EA86BAD"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4" w:history="1">
        <w:r w:rsidR="0069153B" w:rsidRPr="0069153B">
          <w:rPr>
            <w:rStyle w:val="Hyperlink"/>
            <w:rFonts w:ascii="Times New Roman" w:hAnsi="Times New Roman" w:cs="Times New Roman"/>
            <w:noProof/>
          </w:rPr>
          <w:t>Figure 5. Temporal grain of analysis across studies identified in the review</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17</w:t>
        </w:r>
        <w:r w:rsidR="0069153B" w:rsidRPr="0069153B">
          <w:rPr>
            <w:rFonts w:ascii="Times New Roman" w:hAnsi="Times New Roman" w:cs="Times New Roman"/>
            <w:noProof/>
            <w:webHidden/>
          </w:rPr>
          <w:fldChar w:fldCharType="end"/>
        </w:r>
      </w:hyperlink>
    </w:p>
    <w:p w14:paraId="43BC03A1" w14:textId="620B2599"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5" w:history="1">
        <w:r w:rsidR="0069153B" w:rsidRPr="0069153B">
          <w:rPr>
            <w:rStyle w:val="Hyperlink"/>
            <w:rFonts w:ascii="Times New Roman" w:hAnsi="Times New Roman" w:cs="Times New Roman"/>
            <w:noProof/>
          </w:rPr>
          <w:t>Figure 6. Diagrams showing relationships between environmental cues and phenology metrics in lentic (a) and lotic (b) habitats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18</w:t>
        </w:r>
        <w:r w:rsidR="0069153B" w:rsidRPr="0069153B">
          <w:rPr>
            <w:rFonts w:ascii="Times New Roman" w:hAnsi="Times New Roman" w:cs="Times New Roman"/>
            <w:noProof/>
            <w:webHidden/>
          </w:rPr>
          <w:fldChar w:fldCharType="end"/>
        </w:r>
      </w:hyperlink>
    </w:p>
    <w:p w14:paraId="1EE404B4" w14:textId="1A5AAF02"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6" w:history="1">
        <w:r w:rsidR="0069153B" w:rsidRPr="0069153B">
          <w:rPr>
            <w:rStyle w:val="Hyperlink"/>
            <w:rFonts w:ascii="Times New Roman" w:hAnsi="Times New Roman" w:cs="Times New Roman"/>
            <w:noProof/>
          </w:rPr>
          <w:t>Figure 7. Intrinsic traits investigated by studies in our review.</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21</w:t>
        </w:r>
        <w:r w:rsidR="0069153B" w:rsidRPr="0069153B">
          <w:rPr>
            <w:rFonts w:ascii="Times New Roman" w:hAnsi="Times New Roman" w:cs="Times New Roman"/>
            <w:noProof/>
            <w:webHidden/>
          </w:rPr>
          <w:fldChar w:fldCharType="end"/>
        </w:r>
      </w:hyperlink>
    </w:p>
    <w:p w14:paraId="2C953B05" w14:textId="13423769"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7" w:history="1">
        <w:r w:rsidR="0069153B" w:rsidRPr="0069153B">
          <w:rPr>
            <w:rStyle w:val="Hyperlink"/>
            <w:rFonts w:ascii="Times New Roman" w:hAnsi="Times New Roman" w:cs="Times New Roman"/>
            <w:noProof/>
          </w:rPr>
          <w:t>Figure 8. Biotic interactions investigated by studies in our review.</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23</w:t>
        </w:r>
        <w:r w:rsidR="0069153B" w:rsidRPr="0069153B">
          <w:rPr>
            <w:rFonts w:ascii="Times New Roman" w:hAnsi="Times New Roman" w:cs="Times New Roman"/>
            <w:noProof/>
            <w:webHidden/>
          </w:rPr>
          <w:fldChar w:fldCharType="end"/>
        </w:r>
      </w:hyperlink>
    </w:p>
    <w:p w14:paraId="7405E92F" w14:textId="36EA2EAD"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8" w:history="1">
        <w:r w:rsidR="0069153B" w:rsidRPr="0069153B">
          <w:rPr>
            <w:rStyle w:val="Hyperlink"/>
            <w:rFonts w:ascii="Times New Roman" w:hAnsi="Times New Roman" w:cs="Times New Roman"/>
            <w:noProof/>
          </w:rPr>
          <w:t>Figure 9.  Map of fish sampling sites included in the analysis across French watersheds (grey polygons)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68</w:t>
        </w:r>
        <w:r w:rsidR="0069153B" w:rsidRPr="0069153B">
          <w:rPr>
            <w:rFonts w:ascii="Times New Roman" w:hAnsi="Times New Roman" w:cs="Times New Roman"/>
            <w:noProof/>
            <w:webHidden/>
          </w:rPr>
          <w:fldChar w:fldCharType="end"/>
        </w:r>
      </w:hyperlink>
    </w:p>
    <w:p w14:paraId="21CF9D06" w14:textId="0D80BD18"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39" w:history="1">
        <w:r w:rsidR="0069153B" w:rsidRPr="0069153B">
          <w:rPr>
            <w:rStyle w:val="Hyperlink"/>
            <w:rFonts w:ascii="Times New Roman" w:hAnsi="Times New Roman" w:cs="Times New Roman"/>
            <w:noProof/>
          </w:rPr>
          <w:t xml:space="preserve">Figure 10. Hypothesized path models showing all potential direct and indirect relationships of predictor variables on biomass for the (a) </w:t>
        </w:r>
        <w:r w:rsidR="0069153B" w:rsidRPr="0069153B">
          <w:rPr>
            <w:rStyle w:val="Hyperlink"/>
            <w:rFonts w:ascii="Times New Roman" w:hAnsi="Times New Roman" w:cs="Times New Roman"/>
            <w:i/>
            <w:noProof/>
          </w:rPr>
          <w:t>total biodiversity path model</w:t>
        </w:r>
        <w:r w:rsidR="0069153B" w:rsidRPr="0069153B">
          <w:rPr>
            <w:rStyle w:val="Hyperlink"/>
            <w:rFonts w:ascii="Times New Roman" w:hAnsi="Times New Roman" w:cs="Times New Roman"/>
            <w:noProof/>
          </w:rPr>
          <w:t xml:space="preserve"> and (b) </w:t>
        </w:r>
        <w:r w:rsidR="0069153B" w:rsidRPr="0069153B">
          <w:rPr>
            <w:rStyle w:val="Hyperlink"/>
            <w:rFonts w:ascii="Times New Roman" w:hAnsi="Times New Roman" w:cs="Times New Roman"/>
            <w:i/>
            <w:noProof/>
          </w:rPr>
          <w:t>partitioned biodiversity path model</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_Toc100607939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72</w:t>
        </w:r>
        <w:r w:rsidR="0069153B" w:rsidRPr="0069153B">
          <w:rPr>
            <w:rFonts w:ascii="Times New Roman" w:hAnsi="Times New Roman" w:cs="Times New Roman"/>
            <w:noProof/>
            <w:webHidden/>
          </w:rPr>
          <w:fldChar w:fldCharType="end"/>
        </w:r>
      </w:hyperlink>
    </w:p>
    <w:p w14:paraId="34C7A6DA" w14:textId="071B6BDA"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0" w:history="1">
        <w:r w:rsidR="0069153B" w:rsidRPr="0069153B">
          <w:rPr>
            <w:rStyle w:val="Hyperlink"/>
            <w:rFonts w:ascii="Times New Roman" w:hAnsi="Times New Roman" w:cs="Times New Roman"/>
            <w:noProof/>
          </w:rPr>
          <w:t xml:space="preserve">Figure 11.  Final piecewise path models showing abiotic and biotic influences on fish biomass for the (a) </w:t>
        </w:r>
        <w:r w:rsidR="0069153B" w:rsidRPr="0069153B">
          <w:rPr>
            <w:rStyle w:val="Hyperlink"/>
            <w:rFonts w:ascii="Times New Roman" w:hAnsi="Times New Roman" w:cs="Times New Roman"/>
            <w:i/>
            <w:noProof/>
          </w:rPr>
          <w:t>total biodiversity path model</w:t>
        </w:r>
        <w:r w:rsidR="0069153B" w:rsidRPr="0069153B">
          <w:rPr>
            <w:rStyle w:val="Hyperlink"/>
            <w:rFonts w:ascii="Times New Roman" w:hAnsi="Times New Roman" w:cs="Times New Roman"/>
            <w:noProof/>
          </w:rPr>
          <w:t xml:space="preserve"> and (b) </w:t>
        </w:r>
        <w:r w:rsidR="0069153B" w:rsidRPr="0069153B">
          <w:rPr>
            <w:rStyle w:val="Hyperlink"/>
            <w:rFonts w:ascii="Times New Roman" w:hAnsi="Times New Roman" w:cs="Times New Roman"/>
            <w:i/>
            <w:noProof/>
          </w:rPr>
          <w:t>partitioned biodiversity path model</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75</w:t>
        </w:r>
        <w:r w:rsidR="0069153B" w:rsidRPr="0069153B">
          <w:rPr>
            <w:rFonts w:ascii="Times New Roman" w:hAnsi="Times New Roman" w:cs="Times New Roman"/>
            <w:noProof/>
            <w:webHidden/>
          </w:rPr>
          <w:fldChar w:fldCharType="end"/>
        </w:r>
      </w:hyperlink>
    </w:p>
    <w:p w14:paraId="6A58D175" w14:textId="5FA2AF91"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1" w:history="1">
        <w:r w:rsidR="0069153B" w:rsidRPr="0069153B">
          <w:rPr>
            <w:rStyle w:val="Hyperlink"/>
            <w:rFonts w:ascii="Times New Roman" w:hAnsi="Times New Roman" w:cs="Times New Roman"/>
            <w:noProof/>
          </w:rPr>
          <w:t xml:space="preserve">Figure 12.  Direct and indirect effects of biodiversity and environmental factors on fish biomass from the path model for the (a) </w:t>
        </w:r>
        <w:r w:rsidR="0069153B" w:rsidRPr="0069153B">
          <w:rPr>
            <w:rStyle w:val="Hyperlink"/>
            <w:rFonts w:ascii="Times New Roman" w:hAnsi="Times New Roman" w:cs="Times New Roman"/>
            <w:i/>
            <w:noProof/>
          </w:rPr>
          <w:t>total biodiversity path model</w:t>
        </w:r>
        <w:r w:rsidR="0069153B" w:rsidRPr="0069153B">
          <w:rPr>
            <w:rStyle w:val="Hyperlink"/>
            <w:rFonts w:ascii="Times New Roman" w:hAnsi="Times New Roman" w:cs="Times New Roman"/>
            <w:noProof/>
          </w:rPr>
          <w:t xml:space="preserve"> and (b) </w:t>
        </w:r>
        <w:r w:rsidR="0069153B" w:rsidRPr="0069153B">
          <w:rPr>
            <w:rStyle w:val="Hyperlink"/>
            <w:rFonts w:ascii="Times New Roman" w:hAnsi="Times New Roman" w:cs="Times New Roman"/>
            <w:i/>
            <w:noProof/>
          </w:rPr>
          <w:t>partitioned biodiversity path model</w:t>
        </w:r>
        <w:r w:rsidR="0069153B" w:rsidRPr="0069153B">
          <w:rPr>
            <w:rStyle w:val="Hyperlink"/>
            <w:rFonts w:ascii="Times New Roman" w:hAnsi="Times New Roman" w:cs="Times New Roman"/>
            <w:noProof/>
          </w:rPr>
          <w: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76</w:t>
        </w:r>
        <w:r w:rsidR="0069153B" w:rsidRPr="0069153B">
          <w:rPr>
            <w:rFonts w:ascii="Times New Roman" w:hAnsi="Times New Roman" w:cs="Times New Roman"/>
            <w:noProof/>
            <w:webHidden/>
          </w:rPr>
          <w:fldChar w:fldCharType="end"/>
        </w:r>
      </w:hyperlink>
    </w:p>
    <w:p w14:paraId="6C6874A8" w14:textId="5DC46B89"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2" w:history="1">
        <w:r w:rsidR="0069153B" w:rsidRPr="0069153B">
          <w:rPr>
            <w:rStyle w:val="Hyperlink"/>
            <w:rFonts w:ascii="Times New Roman" w:hAnsi="Times New Roman" w:cs="Times New Roman"/>
            <w:noProof/>
          </w:rPr>
          <w:t>Figure 13.  Spline correlogram showing potential spatial autocorrelation in residuals from the best-fit biomass model.</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96</w:t>
        </w:r>
        <w:r w:rsidR="0069153B" w:rsidRPr="0069153B">
          <w:rPr>
            <w:rFonts w:ascii="Times New Roman" w:hAnsi="Times New Roman" w:cs="Times New Roman"/>
            <w:noProof/>
            <w:webHidden/>
          </w:rPr>
          <w:fldChar w:fldCharType="end"/>
        </w:r>
      </w:hyperlink>
    </w:p>
    <w:p w14:paraId="7E50343C" w14:textId="62BBE883"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3" w:history="1">
        <w:r w:rsidR="0069153B" w:rsidRPr="0069153B">
          <w:rPr>
            <w:rStyle w:val="Hyperlink"/>
            <w:rFonts w:ascii="Times New Roman" w:hAnsi="Times New Roman" w:cs="Times New Roman"/>
            <w:noProof/>
          </w:rPr>
          <w:t>Figure 14. Presence or absence of freshwater community science surveys within (a) states, (b) counties, and (c) watersheds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106</w:t>
        </w:r>
        <w:r w:rsidR="0069153B" w:rsidRPr="0069153B">
          <w:rPr>
            <w:rFonts w:ascii="Times New Roman" w:hAnsi="Times New Roman" w:cs="Times New Roman"/>
            <w:noProof/>
            <w:webHidden/>
          </w:rPr>
          <w:fldChar w:fldCharType="end"/>
        </w:r>
      </w:hyperlink>
    </w:p>
    <w:p w14:paraId="65F0CE84" w14:textId="24BA2E0F"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4" w:history="1">
        <w:r w:rsidR="0069153B" w:rsidRPr="0069153B">
          <w:rPr>
            <w:rStyle w:val="Hyperlink"/>
            <w:rFonts w:ascii="Times New Roman" w:hAnsi="Times New Roman" w:cs="Times New Roman"/>
            <w:noProof/>
          </w:rPr>
          <w:t>Figure 15. Freshwater CS survey effort across spatial scales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107</w:t>
        </w:r>
        <w:r w:rsidR="0069153B" w:rsidRPr="0069153B">
          <w:rPr>
            <w:rFonts w:ascii="Times New Roman" w:hAnsi="Times New Roman" w:cs="Times New Roman"/>
            <w:noProof/>
            <w:webHidden/>
          </w:rPr>
          <w:fldChar w:fldCharType="end"/>
        </w:r>
      </w:hyperlink>
    </w:p>
    <w:p w14:paraId="622F8D5F" w14:textId="47743251"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5" w:history="1">
        <w:r w:rsidR="0069153B" w:rsidRPr="0069153B">
          <w:rPr>
            <w:rStyle w:val="Hyperlink"/>
            <w:rFonts w:ascii="Times New Roman" w:hAnsi="Times New Roman" w:cs="Times New Roman"/>
            <w:noProof/>
          </w:rPr>
          <w:t>Figure 16. Program-level characteristics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108</w:t>
        </w:r>
        <w:r w:rsidR="0069153B" w:rsidRPr="0069153B">
          <w:rPr>
            <w:rFonts w:ascii="Times New Roman" w:hAnsi="Times New Roman" w:cs="Times New Roman"/>
            <w:noProof/>
            <w:webHidden/>
          </w:rPr>
          <w:fldChar w:fldCharType="end"/>
        </w:r>
      </w:hyperlink>
    </w:p>
    <w:p w14:paraId="554F532C" w14:textId="5942F45B"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6" w:history="1">
        <w:r w:rsidR="0069153B" w:rsidRPr="0069153B">
          <w:rPr>
            <w:rStyle w:val="Hyperlink"/>
            <w:rFonts w:ascii="Times New Roman" w:hAnsi="Times New Roman" w:cs="Times New Roman"/>
            <w:noProof/>
          </w:rPr>
          <w:t>Figure 17. Program characteristics related to organizing entities and spatial extents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_Toc100607946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109</w:t>
        </w:r>
        <w:r w:rsidR="0069153B" w:rsidRPr="0069153B">
          <w:rPr>
            <w:rFonts w:ascii="Times New Roman" w:hAnsi="Times New Roman" w:cs="Times New Roman"/>
            <w:noProof/>
            <w:webHidden/>
          </w:rPr>
          <w:fldChar w:fldCharType="end"/>
        </w:r>
      </w:hyperlink>
    </w:p>
    <w:p w14:paraId="5F369AC5" w14:textId="767534FA"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7" w:history="1">
        <w:r w:rsidR="0069153B" w:rsidRPr="0069153B">
          <w:rPr>
            <w:rStyle w:val="Hyperlink"/>
            <w:rFonts w:ascii="Times New Roman" w:hAnsi="Times New Roman" w:cs="Times New Roman"/>
            <w:noProof/>
          </w:rPr>
          <w:t>Figure 18. Maps of population density and CS site count across spatial scales.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_Toc100607947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110</w:t>
        </w:r>
        <w:r w:rsidR="0069153B" w:rsidRPr="0069153B">
          <w:rPr>
            <w:rFonts w:ascii="Times New Roman" w:hAnsi="Times New Roman" w:cs="Times New Roman"/>
            <w:noProof/>
            <w:webHidden/>
          </w:rPr>
          <w:fldChar w:fldCharType="end"/>
        </w:r>
      </w:hyperlink>
    </w:p>
    <w:p w14:paraId="4CDC64F6" w14:textId="4D20E1D3"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8" w:history="1">
        <w:r w:rsidR="0069153B" w:rsidRPr="0069153B">
          <w:rPr>
            <w:rStyle w:val="Hyperlink"/>
            <w:rFonts w:ascii="Times New Roman" w:hAnsi="Times New Roman" w:cs="Times New Roman"/>
            <w:noProof/>
          </w:rPr>
          <w:t>Figure 19. Maps of forest land-cover and CS site count across spatial scales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_Toc100607948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111</w:t>
        </w:r>
        <w:r w:rsidR="0069153B" w:rsidRPr="0069153B">
          <w:rPr>
            <w:rFonts w:ascii="Times New Roman" w:hAnsi="Times New Roman" w:cs="Times New Roman"/>
            <w:noProof/>
            <w:webHidden/>
          </w:rPr>
          <w:fldChar w:fldCharType="end"/>
        </w:r>
      </w:hyperlink>
    </w:p>
    <w:p w14:paraId="3E1A12B3" w14:textId="4AF8F26F"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49" w:history="1">
        <w:r w:rsidR="0069153B" w:rsidRPr="0069153B">
          <w:rPr>
            <w:rStyle w:val="Hyperlink"/>
            <w:rFonts w:ascii="Times New Roman" w:hAnsi="Times New Roman" w:cs="Times New Roman"/>
            <w:noProof/>
          </w:rPr>
          <w:t>Figure 20. Model diagnostic plots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_Toc100607949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117</w:t>
        </w:r>
        <w:r w:rsidR="0069153B" w:rsidRPr="0069153B">
          <w:rPr>
            <w:rFonts w:ascii="Times New Roman" w:hAnsi="Times New Roman" w:cs="Times New Roman"/>
            <w:noProof/>
            <w:webHidden/>
          </w:rPr>
          <w:fldChar w:fldCharType="end"/>
        </w:r>
      </w:hyperlink>
    </w:p>
    <w:p w14:paraId="094C34FF" w14:textId="09CD27DB"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0" w:history="1">
        <w:r w:rsidR="0069153B" w:rsidRPr="0069153B">
          <w:rPr>
            <w:rStyle w:val="Hyperlink"/>
            <w:rFonts w:ascii="Times New Roman" w:hAnsi="Times New Roman" w:cs="Times New Roman"/>
            <w:noProof/>
          </w:rPr>
          <w:t xml:space="preserve">Figure 21. </w:t>
        </w:r>
        <w:r w:rsidR="0069153B" w:rsidRPr="0069153B">
          <w:rPr>
            <w:rStyle w:val="Hyperlink"/>
            <w:rFonts w:ascii="Times New Roman" w:hAnsi="Times New Roman" w:cs="Times New Roman"/>
            <w:iCs/>
            <w:noProof/>
          </w:rPr>
          <w:t>Methods flowchart</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_Toc100607950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122</w:t>
        </w:r>
        <w:r w:rsidR="0069153B" w:rsidRPr="0069153B">
          <w:rPr>
            <w:rFonts w:ascii="Times New Roman" w:hAnsi="Times New Roman" w:cs="Times New Roman"/>
            <w:noProof/>
            <w:webHidden/>
          </w:rPr>
          <w:fldChar w:fldCharType="end"/>
        </w:r>
      </w:hyperlink>
    </w:p>
    <w:p w14:paraId="4B99D78E" w14:textId="7ED20851"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1" w:history="1">
        <w:r w:rsidR="0069153B" w:rsidRPr="0069153B">
          <w:rPr>
            <w:rStyle w:val="Hyperlink"/>
            <w:rFonts w:ascii="Times New Roman" w:hAnsi="Times New Roman" w:cs="Times New Roman"/>
            <w:noProof/>
          </w:rPr>
          <w:t xml:space="preserve">Figure 22. </w:t>
        </w:r>
        <w:r w:rsidR="0069153B" w:rsidRPr="0069153B">
          <w:rPr>
            <w:rStyle w:val="Hyperlink"/>
            <w:rFonts w:ascii="Times New Roman" w:hAnsi="Times New Roman" w:cs="Times New Roman"/>
            <w:iCs/>
            <w:noProof/>
          </w:rPr>
          <w:t>Dataset summary</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_Toc100607951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129</w:t>
        </w:r>
        <w:r w:rsidR="0069153B" w:rsidRPr="0069153B">
          <w:rPr>
            <w:rFonts w:ascii="Times New Roman" w:hAnsi="Times New Roman" w:cs="Times New Roman"/>
            <w:noProof/>
            <w:webHidden/>
          </w:rPr>
          <w:fldChar w:fldCharType="end"/>
        </w:r>
      </w:hyperlink>
    </w:p>
    <w:p w14:paraId="67EF2FE9" w14:textId="4685D10D"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2" w:history="1">
        <w:r w:rsidR="0069153B" w:rsidRPr="0069153B">
          <w:rPr>
            <w:rStyle w:val="Hyperlink"/>
            <w:rFonts w:ascii="Times New Roman" w:hAnsi="Times New Roman" w:cs="Times New Roman"/>
            <w:noProof/>
          </w:rPr>
          <w:t xml:space="preserve">Figure 23. </w:t>
        </w:r>
        <w:r w:rsidR="0069153B" w:rsidRPr="0069153B">
          <w:rPr>
            <w:rStyle w:val="Hyperlink"/>
            <w:rFonts w:ascii="Times New Roman" w:hAnsi="Times New Roman" w:cs="Times New Roman"/>
            <w:iCs/>
            <w:noProof/>
          </w:rPr>
          <w:t>Path model results.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_Toc100607952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131</w:t>
        </w:r>
        <w:r w:rsidR="0069153B" w:rsidRPr="0069153B">
          <w:rPr>
            <w:rFonts w:ascii="Times New Roman" w:hAnsi="Times New Roman" w:cs="Times New Roman"/>
            <w:noProof/>
            <w:webHidden/>
          </w:rPr>
          <w:fldChar w:fldCharType="end"/>
        </w:r>
      </w:hyperlink>
    </w:p>
    <w:p w14:paraId="5E0DE8DE" w14:textId="38D595C1"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3" w:history="1">
        <w:r w:rsidR="0069153B" w:rsidRPr="0069153B">
          <w:rPr>
            <w:rStyle w:val="Hyperlink"/>
            <w:rFonts w:ascii="Times New Roman" w:hAnsi="Times New Roman" w:cs="Times New Roman"/>
            <w:noProof/>
          </w:rPr>
          <w:t xml:space="preserve">Figure 24. </w:t>
        </w:r>
        <w:r w:rsidR="0069153B" w:rsidRPr="0069153B">
          <w:rPr>
            <w:rStyle w:val="Hyperlink"/>
            <w:rFonts w:ascii="Times New Roman" w:hAnsi="Times New Roman" w:cs="Times New Roman"/>
            <w:iCs/>
            <w:noProof/>
          </w:rPr>
          <w:t>Direct and indirect effects</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_Toc100607953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132</w:t>
        </w:r>
        <w:r w:rsidR="0069153B" w:rsidRPr="0069153B">
          <w:rPr>
            <w:rFonts w:ascii="Times New Roman" w:hAnsi="Times New Roman" w:cs="Times New Roman"/>
            <w:noProof/>
            <w:webHidden/>
          </w:rPr>
          <w:fldChar w:fldCharType="end"/>
        </w:r>
      </w:hyperlink>
    </w:p>
    <w:p w14:paraId="56AB63B7" w14:textId="27998171"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4" w:history="1">
        <w:r w:rsidR="0069153B" w:rsidRPr="0069153B">
          <w:rPr>
            <w:rStyle w:val="Hyperlink"/>
            <w:rFonts w:ascii="Times New Roman" w:hAnsi="Times New Roman" w:cs="Times New Roman"/>
            <w:noProof/>
          </w:rPr>
          <w:t xml:space="preserve">Figure 25. </w:t>
        </w:r>
        <w:r w:rsidR="0069153B" w:rsidRPr="0069153B">
          <w:rPr>
            <w:rStyle w:val="Hyperlink"/>
            <w:rFonts w:ascii="Times New Roman" w:hAnsi="Times New Roman" w:cs="Times New Roman"/>
            <w:iCs/>
            <w:noProof/>
          </w:rPr>
          <w:t>Moran’s correlogram</w:t>
        </w:r>
        <w:r w:rsidR="0069153B">
          <w:rPr>
            <w:rStyle w:val="Hyperlink"/>
            <w:rFonts w:ascii="Times New Roman" w:hAnsi="Times New Roman" w:cs="Times New Roman"/>
            <w:iCs/>
            <w:noProof/>
          </w:rPr>
          <w:t xml:space="preserve"> at the assemblage scale</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_Toc100607954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150</w:t>
        </w:r>
        <w:r w:rsidR="0069153B" w:rsidRPr="0069153B">
          <w:rPr>
            <w:rFonts w:ascii="Times New Roman" w:hAnsi="Times New Roman" w:cs="Times New Roman"/>
            <w:noProof/>
            <w:webHidden/>
          </w:rPr>
          <w:fldChar w:fldCharType="end"/>
        </w:r>
      </w:hyperlink>
    </w:p>
    <w:p w14:paraId="081D3FDF" w14:textId="095D458F" w:rsidR="0069153B" w:rsidRPr="0069153B" w:rsidRDefault="001C7F13">
      <w:pPr>
        <w:pStyle w:val="TableofFigures"/>
        <w:tabs>
          <w:tab w:val="right" w:leader="dot" w:pos="8630"/>
        </w:tabs>
        <w:rPr>
          <w:rFonts w:ascii="Times New Roman" w:eastAsiaTheme="minorEastAsia" w:hAnsi="Times New Roman" w:cs="Times New Roman"/>
          <w:noProof/>
          <w:sz w:val="22"/>
          <w:szCs w:val="22"/>
        </w:rPr>
      </w:pPr>
      <w:hyperlink w:anchor="_Toc100607955" w:history="1">
        <w:r w:rsidR="0069153B" w:rsidRPr="0069153B">
          <w:rPr>
            <w:rStyle w:val="Hyperlink"/>
            <w:rFonts w:ascii="Times New Roman" w:hAnsi="Times New Roman" w:cs="Times New Roman"/>
            <w:noProof/>
          </w:rPr>
          <w:t xml:space="preserve">Figure 26. </w:t>
        </w:r>
        <w:r w:rsidR="0069153B" w:rsidRPr="0069153B">
          <w:rPr>
            <w:rStyle w:val="Hyperlink"/>
            <w:rFonts w:ascii="Times New Roman" w:hAnsi="Times New Roman" w:cs="Times New Roman"/>
            <w:iCs/>
            <w:noProof/>
          </w:rPr>
          <w:t>Moran’s correlogram</w:t>
        </w:r>
        <w:r w:rsidR="0069153B">
          <w:rPr>
            <w:rStyle w:val="Hyperlink"/>
            <w:rFonts w:ascii="Times New Roman" w:hAnsi="Times New Roman" w:cs="Times New Roman"/>
            <w:iCs/>
            <w:noProof/>
          </w:rPr>
          <w:t xml:space="preserve"> at the population scale</w:t>
        </w:r>
        <w:r w:rsidR="0069153B" w:rsidRPr="0069153B">
          <w:rPr>
            <w:rFonts w:ascii="Times New Roman" w:hAnsi="Times New Roman" w:cs="Times New Roman"/>
            <w:noProof/>
            <w:webHidden/>
          </w:rPr>
          <w:tab/>
        </w:r>
        <w:r w:rsidR="0069153B" w:rsidRPr="0069153B">
          <w:rPr>
            <w:rFonts w:ascii="Times New Roman" w:hAnsi="Times New Roman" w:cs="Times New Roman"/>
            <w:noProof/>
            <w:webHidden/>
          </w:rPr>
          <w:fldChar w:fldCharType="begin"/>
        </w:r>
        <w:r w:rsidR="0069153B" w:rsidRPr="0069153B">
          <w:rPr>
            <w:rFonts w:ascii="Times New Roman" w:hAnsi="Times New Roman" w:cs="Times New Roman"/>
            <w:noProof/>
            <w:webHidden/>
          </w:rPr>
          <w:instrText xml:space="preserve"> PAGEREF _Toc100607955 \h </w:instrText>
        </w:r>
        <w:r w:rsidR="0069153B" w:rsidRPr="0069153B">
          <w:rPr>
            <w:rFonts w:ascii="Times New Roman" w:hAnsi="Times New Roman" w:cs="Times New Roman"/>
            <w:noProof/>
            <w:webHidden/>
          </w:rPr>
        </w:r>
        <w:r w:rsidR="0069153B" w:rsidRPr="0069153B">
          <w:rPr>
            <w:rFonts w:ascii="Times New Roman" w:hAnsi="Times New Roman" w:cs="Times New Roman"/>
            <w:noProof/>
            <w:webHidden/>
          </w:rPr>
          <w:fldChar w:fldCharType="separate"/>
        </w:r>
        <w:r w:rsidR="0069153B">
          <w:rPr>
            <w:rFonts w:ascii="Times New Roman" w:hAnsi="Times New Roman" w:cs="Times New Roman"/>
            <w:noProof/>
            <w:webHidden/>
          </w:rPr>
          <w:t>151</w:t>
        </w:r>
        <w:r w:rsidR="0069153B" w:rsidRPr="0069153B">
          <w:rPr>
            <w:rFonts w:ascii="Times New Roman" w:hAnsi="Times New Roman" w:cs="Times New Roman"/>
            <w:noProof/>
            <w:webHidden/>
          </w:rPr>
          <w:fldChar w:fldCharType="end"/>
        </w:r>
      </w:hyperlink>
    </w:p>
    <w:p w14:paraId="3C148B68" w14:textId="65280010" w:rsidR="00387656" w:rsidRPr="00DF7C87" w:rsidRDefault="00387656" w:rsidP="00387656">
      <w:pPr>
        <w:pStyle w:val="Title"/>
        <w:rPr>
          <w:rFonts w:ascii="Times New Roman" w:hAnsi="Times New Roman" w:cs="Times New Roman"/>
          <w:sz w:val="24"/>
        </w:rPr>
      </w:pPr>
      <w:r w:rsidRPr="008F2EA4">
        <w:rPr>
          <w:rFonts w:ascii="Times New Roman" w:hAnsi="Times New Roman" w:cs="Times New Roman"/>
          <w:sz w:val="24"/>
        </w:rPr>
        <w:fldChar w:fldCharType="end"/>
      </w:r>
      <w:r w:rsidRPr="00DF7C87">
        <w:rPr>
          <w:rFonts w:ascii="Times New Roman" w:hAnsi="Times New Roman" w:cs="Times New Roman"/>
          <w:sz w:val="24"/>
        </w:rPr>
        <w:t xml:space="preserve"> </w:t>
      </w:r>
    </w:p>
    <w:p w14:paraId="7B34DF68" w14:textId="77777777" w:rsidR="003C1575" w:rsidRPr="00DF7C87" w:rsidRDefault="003C1575" w:rsidP="005E54E2">
      <w:pPr>
        <w:rPr>
          <w:rFonts w:ascii="Times New Roman" w:hAnsi="Times New Roman" w:cs="Times New Roman"/>
        </w:rPr>
      </w:pPr>
    </w:p>
    <w:p w14:paraId="366B95B0" w14:textId="77777777" w:rsidR="0085757D" w:rsidRPr="00DF7C87" w:rsidRDefault="0085757D" w:rsidP="005E54E2">
      <w:pPr>
        <w:rPr>
          <w:rFonts w:ascii="Times New Roman" w:hAnsi="Times New Roman" w:cs="Times New Roman"/>
        </w:rPr>
      </w:pPr>
    </w:p>
    <w:p w14:paraId="585A52FC" w14:textId="77777777" w:rsidR="0085757D" w:rsidRPr="00DF7C87" w:rsidRDefault="0085757D" w:rsidP="005E54E2">
      <w:pPr>
        <w:rPr>
          <w:rFonts w:ascii="Times New Roman" w:hAnsi="Times New Roman" w:cs="Times New Roman"/>
        </w:rPr>
      </w:pPr>
    </w:p>
    <w:p w14:paraId="75E0E465" w14:textId="77777777" w:rsidR="0085757D" w:rsidRPr="00DF7C87" w:rsidRDefault="0085757D" w:rsidP="005E54E2">
      <w:pPr>
        <w:rPr>
          <w:rFonts w:ascii="Times New Roman" w:hAnsi="Times New Roman" w:cs="Times New Roman"/>
        </w:rPr>
        <w:sectPr w:rsidR="0085757D" w:rsidRPr="00DF7C87" w:rsidSect="001D4908">
          <w:footerReference w:type="default" r:id="rId8"/>
          <w:pgSz w:w="12240" w:h="15840" w:code="1"/>
          <w:pgMar w:top="1440" w:right="1800" w:bottom="1872" w:left="1800" w:header="720" w:footer="1440" w:gutter="0"/>
          <w:pgNumType w:fmt="lowerRoman" w:start="1"/>
          <w:cols w:space="720"/>
          <w:noEndnote/>
          <w:titlePg/>
        </w:sectPr>
      </w:pPr>
    </w:p>
    <w:p w14:paraId="4FA6FDC9" w14:textId="77777777" w:rsidR="004C2071" w:rsidRPr="00DF7C87" w:rsidRDefault="00526151" w:rsidP="005E54E2">
      <w:pPr>
        <w:pStyle w:val="Heading1"/>
        <w:rPr>
          <w:rFonts w:ascii="Times New Roman" w:hAnsi="Times New Roman" w:cs="Times New Roman"/>
          <w:szCs w:val="28"/>
        </w:rPr>
      </w:pPr>
      <w:bookmarkStart w:id="0" w:name="_Toc289175819"/>
      <w:bookmarkStart w:id="1" w:name="_Toc100607870"/>
      <w:r w:rsidRPr="00DF7C87">
        <w:rPr>
          <w:rFonts w:ascii="Times New Roman" w:hAnsi="Times New Roman" w:cs="Times New Roman"/>
          <w:szCs w:val="28"/>
        </w:rPr>
        <w:lastRenderedPageBreak/>
        <w:t>INTRODUCTION</w:t>
      </w:r>
      <w:bookmarkEnd w:id="0"/>
      <w:bookmarkEnd w:id="1"/>
      <w:r w:rsidR="00EE334C" w:rsidRPr="00DF7C87">
        <w:rPr>
          <w:rFonts w:ascii="Times New Roman" w:hAnsi="Times New Roman" w:cs="Times New Roman"/>
          <w:szCs w:val="28"/>
        </w:rPr>
        <w:t xml:space="preserve"> </w:t>
      </w:r>
    </w:p>
    <w:p w14:paraId="5462F50A" w14:textId="77777777" w:rsidR="00236E6D" w:rsidRPr="00DF7C87" w:rsidRDefault="00236E6D" w:rsidP="005E54E2">
      <w:pPr>
        <w:rPr>
          <w:rFonts w:ascii="Times New Roman" w:hAnsi="Times New Roman" w:cs="Times New Roman"/>
        </w:rPr>
      </w:pPr>
    </w:p>
    <w:p w14:paraId="7C43429D" w14:textId="53518139" w:rsidR="00485A15" w:rsidRDefault="00617498" w:rsidP="004317A3">
      <w:pPr>
        <w:ind w:firstLine="720"/>
        <w:jc w:val="both"/>
        <w:rPr>
          <w:rFonts w:ascii="Times New Roman" w:hAnsi="Times New Roman" w:cs="Times New Roman"/>
        </w:rPr>
      </w:pPr>
      <w:r>
        <w:rPr>
          <w:rFonts w:ascii="Times New Roman" w:hAnsi="Times New Roman" w:cs="Times New Roman"/>
        </w:rPr>
        <w:t xml:space="preserve">Macroecology is </w:t>
      </w:r>
      <w:r w:rsidR="00E55A77">
        <w:rPr>
          <w:rFonts w:ascii="Times New Roman" w:hAnsi="Times New Roman" w:cs="Times New Roman"/>
        </w:rPr>
        <w:t xml:space="preserve">a relatively young discipline among the ecological sciences. Since seminal papers </w:t>
      </w:r>
      <w:r w:rsidR="00B64068">
        <w:rPr>
          <w:rFonts w:ascii="Times New Roman" w:hAnsi="Times New Roman" w:cs="Times New Roman"/>
        </w:rPr>
        <w:t xml:space="preserve">that defined </w:t>
      </w:r>
      <w:r w:rsidR="00CD77B6">
        <w:rPr>
          <w:rFonts w:ascii="Times New Roman" w:hAnsi="Times New Roman" w:cs="Times New Roman"/>
        </w:rPr>
        <w:t>the field</w:t>
      </w:r>
      <w:r w:rsidR="00B64068">
        <w:rPr>
          <w:rFonts w:ascii="Times New Roman" w:hAnsi="Times New Roman" w:cs="Times New Roman"/>
        </w:rPr>
        <w:t xml:space="preserve"> in the 1980s</w:t>
      </w:r>
      <w:r w:rsidR="004F0324">
        <w:rPr>
          <w:rFonts w:ascii="Times New Roman" w:hAnsi="Times New Roman" w:cs="Times New Roman"/>
        </w:rPr>
        <w:t xml:space="preserve"> </w:t>
      </w:r>
      <w:r w:rsidR="004F0324" w:rsidRPr="00410D94">
        <w:rPr>
          <w:rFonts w:ascii="Times New Roman" w:hAnsi="Times New Roman" w:cs="Times New Roman"/>
        </w:rPr>
        <w:t>(</w:t>
      </w:r>
      <w:r w:rsidR="00C23C85">
        <w:rPr>
          <w:rFonts w:ascii="Times New Roman" w:hAnsi="Times New Roman" w:cs="Times New Roman"/>
        </w:rPr>
        <w:t xml:space="preserve">Brown 1981, </w:t>
      </w:r>
      <w:r w:rsidR="00C9206E">
        <w:rPr>
          <w:rFonts w:ascii="Times New Roman" w:hAnsi="Times New Roman" w:cs="Times New Roman"/>
        </w:rPr>
        <w:t>Rabinowitz 1984,</w:t>
      </w:r>
      <w:r w:rsidR="00402A13">
        <w:rPr>
          <w:rFonts w:ascii="Times New Roman" w:hAnsi="Times New Roman" w:cs="Times New Roman"/>
        </w:rPr>
        <w:t xml:space="preserve"> </w:t>
      </w:r>
      <w:r w:rsidR="004F0324">
        <w:rPr>
          <w:rFonts w:ascii="Times New Roman" w:hAnsi="Times New Roman" w:cs="Times New Roman"/>
        </w:rPr>
        <w:t>Brown</w:t>
      </w:r>
      <w:r w:rsidR="004F0324" w:rsidRPr="00410D94">
        <w:rPr>
          <w:rFonts w:ascii="Times New Roman" w:hAnsi="Times New Roman" w:cs="Times New Roman"/>
        </w:rPr>
        <w:t xml:space="preserve"> and </w:t>
      </w:r>
      <w:r w:rsidR="004F0324">
        <w:rPr>
          <w:rFonts w:ascii="Times New Roman" w:hAnsi="Times New Roman" w:cs="Times New Roman"/>
        </w:rPr>
        <w:t>Maurer</w:t>
      </w:r>
      <w:r w:rsidR="004F0324" w:rsidRPr="00410D94">
        <w:rPr>
          <w:rFonts w:ascii="Times New Roman" w:hAnsi="Times New Roman" w:cs="Times New Roman"/>
        </w:rPr>
        <w:t xml:space="preserve"> </w:t>
      </w:r>
      <w:r w:rsidR="004F0324">
        <w:rPr>
          <w:rFonts w:ascii="Times New Roman" w:hAnsi="Times New Roman" w:cs="Times New Roman"/>
        </w:rPr>
        <w:t>1989</w:t>
      </w:r>
      <w:r w:rsidR="008D3E27">
        <w:rPr>
          <w:rFonts w:ascii="Times New Roman" w:hAnsi="Times New Roman" w:cs="Times New Roman"/>
        </w:rPr>
        <w:t>, Brown and Nicoletto 1991</w:t>
      </w:r>
      <w:r w:rsidR="00C23C85">
        <w:rPr>
          <w:rFonts w:ascii="Times New Roman" w:hAnsi="Times New Roman" w:cs="Times New Roman"/>
        </w:rPr>
        <w:t>, Gaston 1998</w:t>
      </w:r>
      <w:r w:rsidR="004F0324">
        <w:rPr>
          <w:rFonts w:ascii="Times New Roman" w:hAnsi="Times New Roman" w:cs="Times New Roman"/>
        </w:rPr>
        <w:t>)</w:t>
      </w:r>
      <w:r w:rsidR="00B64068">
        <w:rPr>
          <w:rFonts w:ascii="Times New Roman" w:hAnsi="Times New Roman" w:cs="Times New Roman"/>
        </w:rPr>
        <w:t xml:space="preserve">, </w:t>
      </w:r>
      <w:r w:rsidR="00072544">
        <w:rPr>
          <w:rFonts w:ascii="Times New Roman" w:hAnsi="Times New Roman" w:cs="Times New Roman"/>
        </w:rPr>
        <w:t xml:space="preserve">macroecological research has </w:t>
      </w:r>
      <w:r w:rsidR="00C1681A">
        <w:rPr>
          <w:rFonts w:ascii="Times New Roman" w:hAnsi="Times New Roman" w:cs="Times New Roman"/>
        </w:rPr>
        <w:t>narrowed knowledge gaps in</w:t>
      </w:r>
      <w:r w:rsidR="004D61EC">
        <w:rPr>
          <w:rFonts w:ascii="Times New Roman" w:hAnsi="Times New Roman" w:cs="Times New Roman"/>
        </w:rPr>
        <w:t xml:space="preserve"> processes </w:t>
      </w:r>
      <w:r w:rsidR="00FE4B25">
        <w:rPr>
          <w:rFonts w:ascii="Times New Roman" w:hAnsi="Times New Roman" w:cs="Times New Roman"/>
        </w:rPr>
        <w:t>underlying biodiversity</w:t>
      </w:r>
      <w:r w:rsidR="004D61EC">
        <w:rPr>
          <w:rFonts w:ascii="Times New Roman" w:hAnsi="Times New Roman" w:cs="Times New Roman"/>
        </w:rPr>
        <w:t xml:space="preserve"> patterns at large (regional </w:t>
      </w:r>
      <w:r w:rsidR="00327AA7">
        <w:rPr>
          <w:rFonts w:ascii="Times New Roman" w:hAnsi="Times New Roman" w:cs="Times New Roman"/>
        </w:rPr>
        <w:t>to global</w:t>
      </w:r>
      <w:r w:rsidR="004D61EC">
        <w:rPr>
          <w:rFonts w:ascii="Times New Roman" w:hAnsi="Times New Roman" w:cs="Times New Roman"/>
        </w:rPr>
        <w:t>) spatial scales.</w:t>
      </w:r>
      <w:r w:rsidR="00A3798E">
        <w:rPr>
          <w:rFonts w:ascii="Times New Roman" w:hAnsi="Times New Roman" w:cs="Times New Roman"/>
        </w:rPr>
        <w:t xml:space="preserve"> </w:t>
      </w:r>
      <w:r w:rsidR="00C40804">
        <w:rPr>
          <w:rFonts w:ascii="Times New Roman" w:hAnsi="Times New Roman" w:cs="Times New Roman"/>
        </w:rPr>
        <w:t xml:space="preserve">Macroecology has also </w:t>
      </w:r>
      <w:r w:rsidR="00483B1D">
        <w:rPr>
          <w:rFonts w:ascii="Times New Roman" w:hAnsi="Times New Roman" w:cs="Times New Roman"/>
        </w:rPr>
        <w:t>made substantial contributions to</w:t>
      </w:r>
      <w:r w:rsidR="00C40804">
        <w:rPr>
          <w:rFonts w:ascii="Times New Roman" w:hAnsi="Times New Roman" w:cs="Times New Roman"/>
        </w:rPr>
        <w:t xml:space="preserve"> biological conservation. </w:t>
      </w:r>
      <w:r w:rsidR="00C038D7">
        <w:rPr>
          <w:rFonts w:ascii="Times New Roman" w:hAnsi="Times New Roman" w:cs="Times New Roman"/>
        </w:rPr>
        <w:t xml:space="preserve">For example, </w:t>
      </w:r>
      <w:r w:rsidR="004A3321">
        <w:rPr>
          <w:rFonts w:ascii="Times New Roman" w:hAnsi="Times New Roman" w:cs="Times New Roman"/>
        </w:rPr>
        <w:t>large-scale approach</w:t>
      </w:r>
      <w:r w:rsidR="005703D3">
        <w:rPr>
          <w:rFonts w:ascii="Times New Roman" w:hAnsi="Times New Roman" w:cs="Times New Roman"/>
        </w:rPr>
        <w:t>es</w:t>
      </w:r>
      <w:r w:rsidR="004A3321">
        <w:rPr>
          <w:rFonts w:ascii="Times New Roman" w:hAnsi="Times New Roman" w:cs="Times New Roman"/>
        </w:rPr>
        <w:t xml:space="preserve"> </w:t>
      </w:r>
      <w:r w:rsidR="005703D3">
        <w:rPr>
          <w:rFonts w:ascii="Times New Roman" w:hAnsi="Times New Roman" w:cs="Times New Roman"/>
        </w:rPr>
        <w:t>can</w:t>
      </w:r>
      <w:r w:rsidR="004A3321">
        <w:rPr>
          <w:rFonts w:ascii="Times New Roman" w:hAnsi="Times New Roman" w:cs="Times New Roman"/>
        </w:rPr>
        <w:t xml:space="preserve"> elucidate</w:t>
      </w:r>
      <w:r w:rsidR="005703D3">
        <w:rPr>
          <w:rFonts w:ascii="Times New Roman" w:hAnsi="Times New Roman" w:cs="Times New Roman"/>
        </w:rPr>
        <w:t xml:space="preserve"> spatial patterns</w:t>
      </w:r>
      <w:r w:rsidR="004A3321">
        <w:rPr>
          <w:rFonts w:ascii="Times New Roman" w:hAnsi="Times New Roman" w:cs="Times New Roman"/>
        </w:rPr>
        <w:t xml:space="preserve"> in threatened biodiversity</w:t>
      </w:r>
      <w:r w:rsidR="00BF482F">
        <w:rPr>
          <w:rFonts w:ascii="Times New Roman" w:hAnsi="Times New Roman" w:cs="Times New Roman"/>
        </w:rPr>
        <w:t xml:space="preserve"> and inform placement of protected areas, globally (Brooks et al. 2006, Venter et al. 2014)</w:t>
      </w:r>
      <w:r w:rsidR="00C23C85">
        <w:rPr>
          <w:rFonts w:ascii="Times New Roman" w:hAnsi="Times New Roman" w:cs="Times New Roman"/>
        </w:rPr>
        <w:t xml:space="preserve">. </w:t>
      </w:r>
    </w:p>
    <w:p w14:paraId="2B880F8C" w14:textId="000E2AAB" w:rsidR="00C849D4" w:rsidRDefault="00CA7E51" w:rsidP="004317A3">
      <w:pPr>
        <w:ind w:firstLine="720"/>
        <w:jc w:val="both"/>
        <w:rPr>
          <w:rFonts w:ascii="Times New Roman" w:hAnsi="Times New Roman" w:cs="Times New Roman"/>
        </w:rPr>
      </w:pPr>
      <w:r>
        <w:rPr>
          <w:rFonts w:ascii="Times New Roman" w:hAnsi="Times New Roman" w:cs="Times New Roman"/>
        </w:rPr>
        <w:t xml:space="preserve">Despite </w:t>
      </w:r>
      <w:r w:rsidR="00AE2963">
        <w:rPr>
          <w:rFonts w:ascii="Times New Roman" w:hAnsi="Times New Roman" w:cs="Times New Roman"/>
        </w:rPr>
        <w:t>these advances</w:t>
      </w:r>
      <w:r>
        <w:rPr>
          <w:rFonts w:ascii="Times New Roman" w:hAnsi="Times New Roman" w:cs="Times New Roman"/>
        </w:rPr>
        <w:t>, macroecolog</w:t>
      </w:r>
      <w:r w:rsidR="007C3C43">
        <w:rPr>
          <w:rFonts w:ascii="Times New Roman" w:hAnsi="Times New Roman" w:cs="Times New Roman"/>
        </w:rPr>
        <w:t xml:space="preserve">ical research has </w:t>
      </w:r>
      <w:r w:rsidR="00AE2963">
        <w:rPr>
          <w:rFonts w:ascii="Times New Roman" w:hAnsi="Times New Roman" w:cs="Times New Roman"/>
        </w:rPr>
        <w:t xml:space="preserve">not been evenly distributed among ecological </w:t>
      </w:r>
      <w:r w:rsidR="00224560">
        <w:rPr>
          <w:rFonts w:ascii="Times New Roman" w:hAnsi="Times New Roman" w:cs="Times New Roman"/>
        </w:rPr>
        <w:t>system</w:t>
      </w:r>
      <w:r w:rsidR="00AE2963">
        <w:rPr>
          <w:rFonts w:ascii="Times New Roman" w:hAnsi="Times New Roman" w:cs="Times New Roman"/>
        </w:rPr>
        <w:t>s</w:t>
      </w:r>
      <w:r w:rsidR="00F05DFB">
        <w:rPr>
          <w:rFonts w:ascii="Times New Roman" w:hAnsi="Times New Roman" w:cs="Times New Roman"/>
        </w:rPr>
        <w:t xml:space="preserve">. </w:t>
      </w:r>
      <w:r w:rsidR="004448FA">
        <w:rPr>
          <w:rFonts w:ascii="Times New Roman" w:hAnsi="Times New Roman" w:cs="Times New Roman"/>
        </w:rPr>
        <w:t xml:space="preserve">While large-scale studies of terrestrial bird, mammal, and plant biodiversity are common, </w:t>
      </w:r>
      <w:r w:rsidR="00237690">
        <w:rPr>
          <w:rFonts w:ascii="Times New Roman" w:hAnsi="Times New Roman" w:cs="Times New Roman"/>
        </w:rPr>
        <w:t xml:space="preserve">less is known about processes underlying regional to global biodiversity patterns in freshwaters. </w:t>
      </w:r>
      <w:r w:rsidR="00483DE8">
        <w:rPr>
          <w:rFonts w:ascii="Times New Roman" w:hAnsi="Times New Roman" w:cs="Times New Roman"/>
        </w:rPr>
        <w:t xml:space="preserve">One freshwater context that is particularly interesting is riverine systems. </w:t>
      </w:r>
      <w:r w:rsidR="00717B2A">
        <w:rPr>
          <w:rFonts w:ascii="Times New Roman" w:hAnsi="Times New Roman" w:cs="Times New Roman"/>
        </w:rPr>
        <w:t>These habitats present exciting opportunities for macroecology research. For example, riverine fish biodiversity is the most biodiverse, per unit area among habitats on Earth</w:t>
      </w:r>
      <w:r w:rsidR="005703D3">
        <w:rPr>
          <w:rFonts w:ascii="Times New Roman" w:hAnsi="Times New Roman" w:cs="Times New Roman"/>
        </w:rPr>
        <w:t xml:space="preserve"> (Dudgeon et al. 2006)</w:t>
      </w:r>
      <w:r w:rsidR="00717B2A">
        <w:rPr>
          <w:rFonts w:ascii="Times New Roman" w:hAnsi="Times New Roman" w:cs="Times New Roman"/>
        </w:rPr>
        <w:t xml:space="preserve">. </w:t>
      </w:r>
      <w:r w:rsidR="00663184">
        <w:rPr>
          <w:rFonts w:ascii="Times New Roman" w:hAnsi="Times New Roman" w:cs="Times New Roman"/>
        </w:rPr>
        <w:t xml:space="preserve">Further, these systems are characterized by ectothermic organisms </w:t>
      </w:r>
      <w:r w:rsidR="00486B79">
        <w:rPr>
          <w:rFonts w:ascii="Times New Roman" w:hAnsi="Times New Roman" w:cs="Times New Roman"/>
        </w:rPr>
        <w:t>which may be disproportionately affected by global change</w:t>
      </w:r>
      <w:r w:rsidR="00541D36">
        <w:rPr>
          <w:rFonts w:ascii="Times New Roman" w:hAnsi="Times New Roman" w:cs="Times New Roman"/>
        </w:rPr>
        <w:t xml:space="preserve"> </w:t>
      </w:r>
      <w:r w:rsidR="00086A62">
        <w:rPr>
          <w:rFonts w:ascii="Times New Roman" w:hAnsi="Times New Roman" w:cs="Times New Roman"/>
        </w:rPr>
        <w:t xml:space="preserve">relative to endothermic taxa </w:t>
      </w:r>
      <w:r w:rsidR="00541D36">
        <w:rPr>
          <w:rFonts w:ascii="Times New Roman" w:hAnsi="Times New Roman" w:cs="Times New Roman"/>
        </w:rPr>
        <w:t>(Thackeray et al. 201</w:t>
      </w:r>
      <w:r w:rsidR="00242B7C">
        <w:rPr>
          <w:rFonts w:ascii="Times New Roman" w:hAnsi="Times New Roman" w:cs="Times New Roman"/>
        </w:rPr>
        <w:t>6</w:t>
      </w:r>
      <w:r w:rsidR="00541D36">
        <w:rPr>
          <w:rFonts w:ascii="Times New Roman" w:hAnsi="Times New Roman" w:cs="Times New Roman"/>
        </w:rPr>
        <w:t>)</w:t>
      </w:r>
      <w:r w:rsidR="00486B79">
        <w:rPr>
          <w:rFonts w:ascii="Times New Roman" w:hAnsi="Times New Roman" w:cs="Times New Roman"/>
        </w:rPr>
        <w:t xml:space="preserve">. </w:t>
      </w:r>
    </w:p>
    <w:p w14:paraId="6F153AF4" w14:textId="466E7C7A" w:rsidR="00843B03" w:rsidRDefault="00C849D4" w:rsidP="004317A3">
      <w:pPr>
        <w:ind w:firstLine="720"/>
        <w:jc w:val="both"/>
        <w:rPr>
          <w:rFonts w:ascii="Times New Roman" w:hAnsi="Times New Roman" w:cs="Times New Roman"/>
        </w:rPr>
      </w:pPr>
      <w:r>
        <w:rPr>
          <w:rFonts w:ascii="Times New Roman" w:hAnsi="Times New Roman" w:cs="Times New Roman"/>
        </w:rPr>
        <w:t xml:space="preserve"> </w:t>
      </w:r>
      <w:r w:rsidR="003E2A0E">
        <w:rPr>
          <w:rFonts w:ascii="Times New Roman" w:hAnsi="Times New Roman" w:cs="Times New Roman"/>
        </w:rPr>
        <w:t xml:space="preserve">Recent increases in publicly available </w:t>
      </w:r>
      <w:r w:rsidR="00705BDE">
        <w:rPr>
          <w:rFonts w:ascii="Times New Roman" w:hAnsi="Times New Roman" w:cs="Times New Roman"/>
        </w:rPr>
        <w:t xml:space="preserve">freshwater </w:t>
      </w:r>
      <w:r w:rsidR="003E2A0E">
        <w:rPr>
          <w:rFonts w:ascii="Times New Roman" w:hAnsi="Times New Roman" w:cs="Times New Roman"/>
        </w:rPr>
        <w:t xml:space="preserve">datasets </w:t>
      </w:r>
      <w:r w:rsidR="00705BDE">
        <w:rPr>
          <w:rFonts w:ascii="Times New Roman" w:hAnsi="Times New Roman" w:cs="Times New Roman"/>
        </w:rPr>
        <w:t>present</w:t>
      </w:r>
      <w:r w:rsidR="003E2A0E">
        <w:rPr>
          <w:rFonts w:ascii="Times New Roman" w:hAnsi="Times New Roman" w:cs="Times New Roman"/>
        </w:rPr>
        <w:t xml:space="preserve"> prime opportunities to </w:t>
      </w:r>
      <w:r w:rsidR="006A65FF">
        <w:rPr>
          <w:rFonts w:ascii="Times New Roman" w:hAnsi="Times New Roman" w:cs="Times New Roman"/>
        </w:rPr>
        <w:t>apply</w:t>
      </w:r>
      <w:r w:rsidR="003E2A0E">
        <w:rPr>
          <w:rFonts w:ascii="Times New Roman" w:hAnsi="Times New Roman" w:cs="Times New Roman"/>
        </w:rPr>
        <w:t xml:space="preserve"> macroecological concepts established in </w:t>
      </w:r>
      <w:r w:rsidR="006A65FF">
        <w:rPr>
          <w:rFonts w:ascii="Times New Roman" w:hAnsi="Times New Roman" w:cs="Times New Roman"/>
        </w:rPr>
        <w:t>other</w:t>
      </w:r>
      <w:r w:rsidR="003E2A0E">
        <w:rPr>
          <w:rFonts w:ascii="Times New Roman" w:hAnsi="Times New Roman" w:cs="Times New Roman"/>
        </w:rPr>
        <w:t xml:space="preserve"> systems</w:t>
      </w:r>
      <w:r w:rsidR="006A65FF">
        <w:rPr>
          <w:rFonts w:ascii="Times New Roman" w:hAnsi="Times New Roman" w:cs="Times New Roman"/>
        </w:rPr>
        <w:t xml:space="preserve"> to freshwaters</w:t>
      </w:r>
      <w:r w:rsidR="003E2A0E">
        <w:rPr>
          <w:rFonts w:ascii="Times New Roman" w:hAnsi="Times New Roman" w:cs="Times New Roman"/>
        </w:rPr>
        <w:t xml:space="preserve">. </w:t>
      </w:r>
      <w:r w:rsidR="00705BDE">
        <w:rPr>
          <w:rFonts w:ascii="Times New Roman" w:hAnsi="Times New Roman" w:cs="Times New Roman"/>
        </w:rPr>
        <w:t>This dissertation uses these novel datasets to advance macroecology</w:t>
      </w:r>
      <w:r w:rsidR="00451A25">
        <w:rPr>
          <w:rFonts w:ascii="Times New Roman" w:hAnsi="Times New Roman" w:cs="Times New Roman"/>
        </w:rPr>
        <w:t xml:space="preserve"> with a focus on</w:t>
      </w:r>
      <w:r w:rsidR="00705BDE">
        <w:rPr>
          <w:rFonts w:ascii="Times New Roman" w:hAnsi="Times New Roman" w:cs="Times New Roman"/>
        </w:rPr>
        <w:t xml:space="preserve"> temperate riverine </w:t>
      </w:r>
      <w:r w:rsidR="00451A25">
        <w:rPr>
          <w:rFonts w:ascii="Times New Roman" w:hAnsi="Times New Roman" w:cs="Times New Roman"/>
        </w:rPr>
        <w:t>systems</w:t>
      </w:r>
      <w:r w:rsidR="00705BDE">
        <w:rPr>
          <w:rFonts w:ascii="Times New Roman" w:hAnsi="Times New Roman" w:cs="Times New Roman"/>
        </w:rPr>
        <w:t>.</w:t>
      </w:r>
      <w:r w:rsidR="00451A25">
        <w:rPr>
          <w:rFonts w:ascii="Times New Roman" w:hAnsi="Times New Roman" w:cs="Times New Roman"/>
        </w:rPr>
        <w:t xml:space="preserve"> </w:t>
      </w:r>
      <w:r w:rsidR="006D551C">
        <w:rPr>
          <w:rFonts w:ascii="Times New Roman" w:hAnsi="Times New Roman" w:cs="Times New Roman"/>
        </w:rPr>
        <w:t>The chapters address common macroecological themes including patterns in biodiversity, body size, and phenology</w:t>
      </w:r>
      <w:r w:rsidR="00663184">
        <w:rPr>
          <w:rFonts w:ascii="Times New Roman" w:hAnsi="Times New Roman" w:cs="Times New Roman"/>
        </w:rPr>
        <w:t xml:space="preserve"> </w:t>
      </w:r>
      <w:r w:rsidR="00361099">
        <w:rPr>
          <w:rFonts w:ascii="Times New Roman" w:hAnsi="Times New Roman" w:cs="Times New Roman"/>
        </w:rPr>
        <w:t>in flowing waters</w:t>
      </w:r>
      <w:r w:rsidR="006D551C">
        <w:rPr>
          <w:rFonts w:ascii="Times New Roman" w:hAnsi="Times New Roman" w:cs="Times New Roman"/>
        </w:rPr>
        <w:t>.</w:t>
      </w:r>
      <w:r w:rsidR="00361099">
        <w:rPr>
          <w:rFonts w:ascii="Times New Roman" w:hAnsi="Times New Roman" w:cs="Times New Roman"/>
        </w:rPr>
        <w:t xml:space="preserve"> </w:t>
      </w:r>
      <w:r w:rsidR="009925A7">
        <w:rPr>
          <w:rFonts w:ascii="Times New Roman" w:hAnsi="Times New Roman" w:cs="Times New Roman"/>
        </w:rPr>
        <w:t>I</w:t>
      </w:r>
      <w:r w:rsidR="0038242F">
        <w:rPr>
          <w:rFonts w:ascii="Times New Roman" w:hAnsi="Times New Roman" w:cs="Times New Roman"/>
        </w:rPr>
        <w:t xml:space="preserve"> explore</w:t>
      </w:r>
      <w:r w:rsidR="00454DEF">
        <w:rPr>
          <w:rFonts w:ascii="Times New Roman" w:hAnsi="Times New Roman" w:cs="Times New Roman"/>
        </w:rPr>
        <w:t xml:space="preserve"> these patterns</w:t>
      </w:r>
      <w:r w:rsidR="00D118AB">
        <w:rPr>
          <w:rFonts w:ascii="Times New Roman" w:hAnsi="Times New Roman" w:cs="Times New Roman"/>
        </w:rPr>
        <w:t xml:space="preserve"> and seek</w:t>
      </w:r>
      <w:r w:rsidR="00454DEF">
        <w:rPr>
          <w:rFonts w:ascii="Times New Roman" w:hAnsi="Times New Roman" w:cs="Times New Roman"/>
        </w:rPr>
        <w:t xml:space="preserve"> to understand </w:t>
      </w:r>
      <w:r w:rsidR="00D118AB">
        <w:rPr>
          <w:rFonts w:ascii="Times New Roman" w:hAnsi="Times New Roman" w:cs="Times New Roman"/>
        </w:rPr>
        <w:t>they may be altered by</w:t>
      </w:r>
      <w:r w:rsidR="00454DEF">
        <w:rPr>
          <w:rFonts w:ascii="Times New Roman" w:hAnsi="Times New Roman" w:cs="Times New Roman"/>
        </w:rPr>
        <w:t xml:space="preserve"> multiple global change stressors.</w:t>
      </w:r>
      <w:r w:rsidR="002934C5">
        <w:rPr>
          <w:rFonts w:ascii="Times New Roman" w:hAnsi="Times New Roman" w:cs="Times New Roman"/>
        </w:rPr>
        <w:t xml:space="preserve"> </w:t>
      </w:r>
      <w:r w:rsidR="009925A7">
        <w:rPr>
          <w:rFonts w:ascii="Times New Roman" w:hAnsi="Times New Roman" w:cs="Times New Roman"/>
        </w:rPr>
        <w:t>I</w:t>
      </w:r>
      <w:r w:rsidR="002934C5">
        <w:rPr>
          <w:rFonts w:ascii="Times New Roman" w:hAnsi="Times New Roman" w:cs="Times New Roman"/>
        </w:rPr>
        <w:t xml:space="preserve"> synthesize current literature on freshwater phenology to identify knowledge gaps and pathways for future research to incorporate novel data sources to fill gaps. </w:t>
      </w:r>
      <w:r w:rsidR="009925A7">
        <w:rPr>
          <w:rFonts w:ascii="Times New Roman" w:hAnsi="Times New Roman" w:cs="Times New Roman"/>
        </w:rPr>
        <w:t>I</w:t>
      </w:r>
      <w:r w:rsidR="002934C5">
        <w:rPr>
          <w:rFonts w:ascii="Times New Roman" w:hAnsi="Times New Roman" w:cs="Times New Roman"/>
        </w:rPr>
        <w:t xml:space="preserve"> test the biodiversity-ecosystem functioning relationship in riverine fish assemblages. </w:t>
      </w:r>
      <w:r w:rsidR="009925A7">
        <w:rPr>
          <w:rFonts w:ascii="Times New Roman" w:hAnsi="Times New Roman" w:cs="Times New Roman"/>
        </w:rPr>
        <w:t>I</w:t>
      </w:r>
      <w:r w:rsidR="002934C5">
        <w:rPr>
          <w:rFonts w:ascii="Times New Roman" w:hAnsi="Times New Roman" w:cs="Times New Roman"/>
        </w:rPr>
        <w:t xml:space="preserve"> </w:t>
      </w:r>
      <w:r w:rsidR="00B67062">
        <w:rPr>
          <w:rFonts w:ascii="Times New Roman" w:hAnsi="Times New Roman" w:cs="Times New Roman"/>
        </w:rPr>
        <w:t xml:space="preserve">detail survey efforts in underutilized freshwater community science datasets to identify where freshwater macroecologists can leverage these novel data sources and inform priority areas for community science programs to recruit future participants. </w:t>
      </w:r>
      <w:r w:rsidR="009925A7">
        <w:rPr>
          <w:rFonts w:ascii="Times New Roman" w:hAnsi="Times New Roman" w:cs="Times New Roman"/>
        </w:rPr>
        <w:t>I</w:t>
      </w:r>
      <w:r w:rsidR="00B67062">
        <w:rPr>
          <w:rFonts w:ascii="Times New Roman" w:hAnsi="Times New Roman" w:cs="Times New Roman"/>
        </w:rPr>
        <w:t xml:space="preserve"> unify riverine fish body size patterns across biological scales with the aid of a comprehensive, individual body mass dataset. </w:t>
      </w:r>
      <w:r w:rsidR="00D06B25">
        <w:rPr>
          <w:rFonts w:ascii="Times New Roman" w:hAnsi="Times New Roman" w:cs="Times New Roman"/>
        </w:rPr>
        <w:t xml:space="preserve">These chapters indicate how robust analyses of macroecological concepts previously unexplored in freshwater contexts </w:t>
      </w:r>
      <w:r w:rsidR="00D17C0A">
        <w:rPr>
          <w:rFonts w:ascii="Times New Roman" w:hAnsi="Times New Roman" w:cs="Times New Roman"/>
        </w:rPr>
        <w:t>warrant urgent attention considering the rise of novel publicly available datasets.</w:t>
      </w:r>
    </w:p>
    <w:p w14:paraId="7FA97A0B" w14:textId="77777777" w:rsidR="00843B03" w:rsidRDefault="00843B03">
      <w:pPr>
        <w:rPr>
          <w:rFonts w:ascii="Times New Roman" w:hAnsi="Times New Roman" w:cs="Times New Roman"/>
        </w:rPr>
      </w:pPr>
      <w:r>
        <w:rPr>
          <w:rFonts w:ascii="Times New Roman" w:hAnsi="Times New Roman" w:cs="Times New Roman"/>
        </w:rPr>
        <w:br w:type="page"/>
      </w:r>
    </w:p>
    <w:p w14:paraId="0B8967EB" w14:textId="77777777" w:rsidR="00843B03" w:rsidRPr="00DF7C87" w:rsidRDefault="00843B03" w:rsidP="00843B03">
      <w:pPr>
        <w:pStyle w:val="Heading2"/>
        <w:rPr>
          <w:rFonts w:ascii="Times New Roman" w:hAnsi="Times New Roman" w:cs="Times New Roman"/>
        </w:rPr>
      </w:pPr>
      <w:bookmarkStart w:id="2" w:name="_Toc100607871"/>
      <w:r w:rsidRPr="00DF7C87">
        <w:rPr>
          <w:rFonts w:ascii="Times New Roman" w:hAnsi="Times New Roman" w:cs="Times New Roman"/>
        </w:rPr>
        <w:lastRenderedPageBreak/>
        <w:t>R</w:t>
      </w:r>
      <w:r>
        <w:rPr>
          <w:rFonts w:ascii="Times New Roman" w:hAnsi="Times New Roman" w:cs="Times New Roman"/>
        </w:rPr>
        <w:t>eferences</w:t>
      </w:r>
      <w:bookmarkEnd w:id="2"/>
    </w:p>
    <w:p w14:paraId="4DC9C801" w14:textId="74B2BFF3"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 xml:space="preserve">Brooks, T. M., Mittermeier, R. A., Da Fonseca, G. A. B., Gerlach, J., Hoffmann, M., Lamoreux, J. F., … Rodrigues, A. S. L. (2006). Global biodiversity conservation priorities. Science, 313(5783), 58–61. </w:t>
      </w:r>
    </w:p>
    <w:p w14:paraId="08D09385" w14:textId="73411184"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Brown, J. H. (1981). Two Decades of Homage to Santa Rosalia: Toward a General Theory of Diversity. American Zoologist, 21, 877–888.</w:t>
      </w:r>
    </w:p>
    <w:p w14:paraId="2249FCCD" w14:textId="67C854D8"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Brown, J. H., &amp; Maurer, B. A. (1987). Evolution of Species Assemblages: Effects of Energetic Constraints and Species Dynamics on the Diversification of the North American Avifauna. The American Naturalist, 130(1), 1–17.</w:t>
      </w:r>
    </w:p>
    <w:p w14:paraId="0B6BE080" w14:textId="13463BDC"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Brown, J., &amp; Nicoletto, P. (1991). Spatial scaling of species composition: body masses of North American land mammals. The American Naturalist, 138(6), 1478–1512.</w:t>
      </w:r>
    </w:p>
    <w:p w14:paraId="0873123C" w14:textId="0601F684"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 xml:space="preserve">Dudgeon, D., Arthington, A. H., Gessner, M. O., Kawabata, Z. I., Knowler, D. J., Lévêque, C., … Sullivan, C. A. (2006). Freshwater biodiversity: Importance, threats, status and conservation challenges. Biological Reviews of the Cambridge Philosophical Society, 81(2), 163–182. </w:t>
      </w:r>
    </w:p>
    <w:p w14:paraId="145ACEA4" w14:textId="6BC77EFD"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 xml:space="preserve">Gaston, K. J. (1998). Species-range size distributions: products of speciation, extinction and transformation. Philosophical Transactions of the Royal Society B: Biological Sciences, 353(1366), 219–230. </w:t>
      </w:r>
    </w:p>
    <w:p w14:paraId="5F5FB25C" w14:textId="3A878ACF" w:rsidR="007800BF" w:rsidRDefault="007800BF" w:rsidP="00242B7C">
      <w:pPr>
        <w:ind w:left="720" w:hanging="720"/>
        <w:jc w:val="both"/>
        <w:rPr>
          <w:rFonts w:ascii="Times New Roman" w:hAnsi="Times New Roman" w:cs="Times New Roman"/>
        </w:rPr>
      </w:pPr>
      <w:r w:rsidRPr="007800BF">
        <w:rPr>
          <w:rFonts w:ascii="Times New Roman" w:hAnsi="Times New Roman" w:cs="Times New Roman"/>
        </w:rPr>
        <w:t xml:space="preserve">Rabinowitz, D. (1984). Seven forms of rarity. In The biological aspects of rare plant conservation (pp. 205–217). </w:t>
      </w:r>
    </w:p>
    <w:p w14:paraId="7CE4F2E0" w14:textId="5BA74BBA" w:rsidR="00242B7C" w:rsidRDefault="00242B7C" w:rsidP="00242B7C">
      <w:pPr>
        <w:ind w:left="720" w:hanging="720"/>
        <w:jc w:val="both"/>
        <w:rPr>
          <w:rFonts w:ascii="Times New Roman" w:hAnsi="Times New Roman" w:cs="Times New Roman"/>
        </w:rPr>
      </w:pPr>
      <w:r w:rsidRPr="00242B7C">
        <w:rPr>
          <w:rFonts w:ascii="Times New Roman" w:hAnsi="Times New Roman" w:cs="Times New Roman"/>
        </w:rPr>
        <w:t xml:space="preserve">Thackeray, S. J., Henrys, P. A., Hemming, D., Bell, J. R., Botham, M. S., Burthe, S., … Wanless, S. (2016). Phenological sensitivity to climate across taxa and trophic levels. Nature, 535(7611), 241–245. </w:t>
      </w:r>
    </w:p>
    <w:p w14:paraId="0185620E" w14:textId="087ABD99" w:rsidR="003D07F7" w:rsidRPr="00DF7C87" w:rsidRDefault="007800BF" w:rsidP="00242B7C">
      <w:pPr>
        <w:ind w:left="720" w:hanging="720"/>
        <w:jc w:val="both"/>
        <w:rPr>
          <w:rFonts w:ascii="Times New Roman" w:hAnsi="Times New Roman" w:cs="Times New Roman"/>
        </w:rPr>
      </w:pPr>
      <w:r w:rsidRPr="007800BF">
        <w:rPr>
          <w:rFonts w:ascii="Times New Roman" w:hAnsi="Times New Roman" w:cs="Times New Roman"/>
        </w:rPr>
        <w:t xml:space="preserve">Venter, O., Fuller, R. A., Segan, D. B., Carwardine, J., Brooks, T., Butchart, S. H. M., … Watson, J. E. M. (2014). Targeting Global Protected Area Expansion for Imperiled Biodiversity. PLoS Biology, 12(6). </w:t>
      </w:r>
      <w:r w:rsidR="00DD00DE" w:rsidRPr="00DF7C87">
        <w:rPr>
          <w:rFonts w:ascii="Times New Roman" w:hAnsi="Times New Roman" w:cs="Times New Roman"/>
        </w:rPr>
        <w:br w:type="page"/>
      </w:r>
    </w:p>
    <w:p w14:paraId="750F551A" w14:textId="6B85BFE5" w:rsidR="00003F6A" w:rsidRPr="00DF7C87" w:rsidRDefault="003C7FC5" w:rsidP="005E54E2">
      <w:pPr>
        <w:pStyle w:val="Heading1"/>
        <w:rPr>
          <w:rFonts w:ascii="Times New Roman" w:hAnsi="Times New Roman" w:cs="Times New Roman"/>
          <w:szCs w:val="28"/>
        </w:rPr>
      </w:pPr>
      <w:bookmarkStart w:id="3" w:name="_Toc289175825"/>
      <w:bookmarkStart w:id="4" w:name="_Toc100607872"/>
      <w:r w:rsidRPr="00DF7C87">
        <w:rPr>
          <w:rFonts w:ascii="Times New Roman" w:hAnsi="Times New Roman" w:cs="Times New Roman"/>
          <w:szCs w:val="28"/>
        </w:rPr>
        <w:lastRenderedPageBreak/>
        <w:t xml:space="preserve">CHAPTER </w:t>
      </w:r>
      <w:r w:rsidR="0088689E">
        <w:rPr>
          <w:rFonts w:ascii="Times New Roman" w:hAnsi="Times New Roman" w:cs="Times New Roman"/>
          <w:szCs w:val="28"/>
        </w:rPr>
        <w:t>1</w:t>
      </w:r>
      <w:r w:rsidR="00FF1665" w:rsidRPr="00DF7C87">
        <w:rPr>
          <w:rFonts w:ascii="Times New Roman" w:hAnsi="Times New Roman" w:cs="Times New Roman"/>
          <w:szCs w:val="28"/>
        </w:rPr>
        <w:br/>
      </w:r>
      <w:bookmarkEnd w:id="3"/>
      <w:r w:rsidR="00A4446A">
        <w:rPr>
          <w:rFonts w:ascii="Times New Roman" w:hAnsi="Times New Roman" w:cs="Times New Roman"/>
          <w:szCs w:val="28"/>
        </w:rPr>
        <w:t>PHENOLOGY IN FRESHWATERS: A REVIEW AND RECOMMENDATIONS</w:t>
      </w:r>
      <w:bookmarkEnd w:id="4"/>
    </w:p>
    <w:p w14:paraId="6840B21E" w14:textId="77777777" w:rsidR="00060A6A" w:rsidRPr="00DF7C87" w:rsidRDefault="00060A6A" w:rsidP="005E54E2">
      <w:pPr>
        <w:rPr>
          <w:rFonts w:ascii="Times New Roman" w:hAnsi="Times New Roman" w:cs="Times New Roman"/>
        </w:rPr>
      </w:pPr>
    </w:p>
    <w:p w14:paraId="14FE0F07" w14:textId="2746F3D2" w:rsidR="00FF1665" w:rsidRPr="00DF7C87" w:rsidRDefault="00FF1665" w:rsidP="005E54E2">
      <w:pPr>
        <w:rPr>
          <w:rFonts w:ascii="Times New Roman" w:hAnsi="Times New Roman" w:cs="Times New Roman"/>
        </w:rPr>
      </w:pPr>
    </w:p>
    <w:p w14:paraId="7193491F" w14:textId="77777777" w:rsidR="00003F6A" w:rsidRPr="00DF7C87" w:rsidRDefault="00003F6A" w:rsidP="00334400">
      <w:pPr>
        <w:pStyle w:val="Heading3"/>
        <w:rPr>
          <w:rFonts w:ascii="Times New Roman" w:hAnsi="Times New Roman" w:cs="Times New Roman"/>
          <w:szCs w:val="24"/>
        </w:rPr>
      </w:pPr>
      <w:r w:rsidRPr="00DF7C87">
        <w:rPr>
          <w:rFonts w:ascii="Times New Roman" w:hAnsi="Times New Roman" w:cs="Times New Roman"/>
          <w:szCs w:val="24"/>
        </w:rPr>
        <w:br w:type="page"/>
      </w:r>
    </w:p>
    <w:p w14:paraId="3A691256" w14:textId="26E30085" w:rsidR="00FA75A5" w:rsidRPr="00DF7C87" w:rsidRDefault="00FA75A5" w:rsidP="004317A3">
      <w:pPr>
        <w:jc w:val="both"/>
        <w:rPr>
          <w:rFonts w:ascii="Times New Roman" w:hAnsi="Times New Roman" w:cs="Times New Roman"/>
        </w:rPr>
      </w:pPr>
      <w:r w:rsidRPr="00DF7C87">
        <w:rPr>
          <w:rFonts w:ascii="Times New Roman" w:hAnsi="Times New Roman" w:cs="Times New Roman"/>
        </w:rPr>
        <w:lastRenderedPageBreak/>
        <w:tab/>
        <w:t xml:space="preserve">A version of this chapter was originally published by </w:t>
      </w:r>
      <w:r w:rsidR="00A4446A">
        <w:rPr>
          <w:rFonts w:ascii="Times New Roman" w:hAnsi="Times New Roman" w:cs="Times New Roman"/>
        </w:rPr>
        <w:t>Taylor Woods, Anna Kaz, and Xingli Giam</w:t>
      </w:r>
      <w:r w:rsidRPr="00DF7C87">
        <w:rPr>
          <w:rFonts w:ascii="Times New Roman" w:hAnsi="Times New Roman" w:cs="Times New Roman"/>
        </w:rPr>
        <w:t>:</w:t>
      </w:r>
    </w:p>
    <w:p w14:paraId="6BF1529E" w14:textId="18D03B46" w:rsidR="00FA75A5" w:rsidRPr="00DF7C87" w:rsidRDefault="00FA75A5" w:rsidP="004317A3">
      <w:pPr>
        <w:jc w:val="both"/>
        <w:rPr>
          <w:rFonts w:ascii="Times New Roman" w:hAnsi="Times New Roman" w:cs="Times New Roman"/>
        </w:rPr>
      </w:pPr>
      <w:r w:rsidRPr="00DF7C87">
        <w:rPr>
          <w:rFonts w:ascii="Times New Roman" w:hAnsi="Times New Roman" w:cs="Times New Roman"/>
        </w:rPr>
        <w:tab/>
      </w:r>
      <w:r w:rsidR="005C5F8D">
        <w:rPr>
          <w:rFonts w:ascii="Times New Roman" w:hAnsi="Times New Roman" w:cs="Times New Roman"/>
        </w:rPr>
        <w:t>Taylor Woods</w:t>
      </w:r>
      <w:r w:rsidRPr="00DF7C87">
        <w:rPr>
          <w:rFonts w:ascii="Times New Roman" w:hAnsi="Times New Roman" w:cs="Times New Roman"/>
        </w:rPr>
        <w:t xml:space="preserve">, </w:t>
      </w:r>
      <w:r w:rsidR="005C5F8D">
        <w:rPr>
          <w:rFonts w:ascii="Times New Roman" w:hAnsi="Times New Roman" w:cs="Times New Roman"/>
        </w:rPr>
        <w:t>Anna Kaz, Xingli Giam</w:t>
      </w:r>
      <w:r w:rsidRPr="00DF7C87">
        <w:rPr>
          <w:rFonts w:ascii="Times New Roman" w:hAnsi="Times New Roman" w:cs="Times New Roman"/>
        </w:rPr>
        <w:t>. “</w:t>
      </w:r>
      <w:r w:rsidR="005C5F8D">
        <w:rPr>
          <w:rFonts w:ascii="Times New Roman" w:hAnsi="Times New Roman" w:cs="Times New Roman"/>
        </w:rPr>
        <w:t>Phenology in Freshwaters: A Review and Recommendations</w:t>
      </w:r>
      <w:r w:rsidRPr="00DF7C87">
        <w:rPr>
          <w:rFonts w:ascii="Times New Roman" w:hAnsi="Times New Roman" w:cs="Times New Roman"/>
        </w:rPr>
        <w:t xml:space="preserve">.” </w:t>
      </w:r>
      <w:r w:rsidR="005C5F8D">
        <w:rPr>
          <w:rFonts w:ascii="Times New Roman" w:hAnsi="Times New Roman" w:cs="Times New Roman"/>
          <w:i/>
        </w:rPr>
        <w:t>Ecography</w:t>
      </w:r>
      <w:r w:rsidRPr="00DF7C87">
        <w:rPr>
          <w:rFonts w:ascii="Times New Roman" w:hAnsi="Times New Roman" w:cs="Times New Roman"/>
          <w:i/>
        </w:rPr>
        <w:t xml:space="preserve"> </w:t>
      </w:r>
      <w:r w:rsidRPr="00DF7C87">
        <w:rPr>
          <w:rFonts w:ascii="Times New Roman" w:hAnsi="Times New Roman" w:cs="Times New Roman"/>
        </w:rPr>
        <w:t>(</w:t>
      </w:r>
      <w:r w:rsidR="005C5F8D">
        <w:rPr>
          <w:rFonts w:ascii="Times New Roman" w:hAnsi="Times New Roman" w:cs="Times New Roman"/>
        </w:rPr>
        <w:t>2021</w:t>
      </w:r>
      <w:r w:rsidRPr="00DF7C87">
        <w:rPr>
          <w:rFonts w:ascii="Times New Roman" w:hAnsi="Times New Roman" w:cs="Times New Roman"/>
        </w:rPr>
        <w:t xml:space="preserve">). </w:t>
      </w:r>
    </w:p>
    <w:p w14:paraId="23FB6E63" w14:textId="77777777" w:rsidR="00387656" w:rsidRPr="00DF7C87" w:rsidRDefault="00387656" w:rsidP="004317A3">
      <w:pPr>
        <w:jc w:val="both"/>
        <w:rPr>
          <w:rFonts w:ascii="Times New Roman" w:hAnsi="Times New Roman" w:cs="Times New Roman"/>
        </w:rPr>
      </w:pPr>
    </w:p>
    <w:p w14:paraId="7FC69085" w14:textId="0A978A58" w:rsidR="00FA75A5" w:rsidRPr="00DF7C87" w:rsidRDefault="00FF1665" w:rsidP="004317A3">
      <w:pPr>
        <w:ind w:firstLine="720"/>
        <w:jc w:val="both"/>
        <w:rPr>
          <w:rFonts w:ascii="Times New Roman" w:hAnsi="Times New Roman" w:cs="Times New Roman"/>
        </w:rPr>
      </w:pPr>
      <w:r w:rsidRPr="00DF7C87">
        <w:rPr>
          <w:rFonts w:ascii="Times New Roman" w:hAnsi="Times New Roman" w:cs="Times New Roman"/>
        </w:rPr>
        <w:t>T</w:t>
      </w:r>
      <w:r w:rsidR="008E356C">
        <w:rPr>
          <w:rFonts w:ascii="Times New Roman" w:hAnsi="Times New Roman" w:cs="Times New Roman"/>
        </w:rPr>
        <w:t>aylor Woods, Anna Kaz, and Xingli Giam conceptualized the project. Taylor Woods and Anna Kaz performed the literature review. Taylor Woods led the writing and created figures. All authors contributed to manuscript revisions and editing.</w:t>
      </w:r>
    </w:p>
    <w:p w14:paraId="7FA3463C" w14:textId="77777777" w:rsidR="00FA75A5" w:rsidRPr="00DF7C87" w:rsidRDefault="00FA75A5" w:rsidP="005E54E2">
      <w:pPr>
        <w:rPr>
          <w:rFonts w:ascii="Times New Roman" w:hAnsi="Times New Roman" w:cs="Times New Roman"/>
        </w:rPr>
      </w:pPr>
    </w:p>
    <w:p w14:paraId="2EBE2EDB" w14:textId="30A94901" w:rsidR="00FF1665" w:rsidRPr="00463612" w:rsidRDefault="00060A6A" w:rsidP="00463612">
      <w:pPr>
        <w:pStyle w:val="Heading2"/>
        <w:rPr>
          <w:rFonts w:ascii="Times New Roman" w:hAnsi="Times New Roman" w:cs="Times New Roman"/>
          <w:sz w:val="24"/>
          <w:szCs w:val="24"/>
        </w:rPr>
      </w:pPr>
      <w:bookmarkStart w:id="5" w:name="_Toc289175826"/>
      <w:r>
        <w:rPr>
          <w:rFonts w:ascii="Times New Roman" w:hAnsi="Times New Roman" w:cs="Times New Roman"/>
          <w:sz w:val="24"/>
          <w:szCs w:val="24"/>
        </w:rPr>
        <w:t xml:space="preserve">    </w:t>
      </w:r>
      <w:bookmarkStart w:id="6" w:name="_Toc100607873"/>
      <w:r w:rsidR="00FA75A5" w:rsidRPr="00DF7C87">
        <w:rPr>
          <w:rFonts w:ascii="Times New Roman" w:hAnsi="Times New Roman" w:cs="Times New Roman"/>
          <w:sz w:val="24"/>
          <w:szCs w:val="24"/>
        </w:rPr>
        <w:t>A</w:t>
      </w:r>
      <w:r w:rsidR="00FF1665" w:rsidRPr="00DF7C87">
        <w:rPr>
          <w:rFonts w:ascii="Times New Roman" w:hAnsi="Times New Roman" w:cs="Times New Roman"/>
          <w:sz w:val="24"/>
          <w:szCs w:val="24"/>
        </w:rPr>
        <w:t>bstract</w:t>
      </w:r>
      <w:bookmarkEnd w:id="5"/>
      <w:bookmarkEnd w:id="6"/>
      <w:r w:rsidR="003C7FC5" w:rsidRPr="00DF7C87">
        <w:rPr>
          <w:rFonts w:ascii="Times New Roman" w:hAnsi="Times New Roman" w:cs="Times New Roman"/>
          <w:sz w:val="24"/>
          <w:szCs w:val="24"/>
        </w:rPr>
        <w:tab/>
      </w:r>
    </w:p>
    <w:p w14:paraId="511854BC" w14:textId="1866BE3E" w:rsidR="00FF1665" w:rsidRPr="00CA017E" w:rsidRDefault="00CA017E" w:rsidP="001E223F">
      <w:pPr>
        <w:ind w:firstLine="720"/>
        <w:jc w:val="both"/>
        <w:rPr>
          <w:rFonts w:ascii="Times New Roman" w:hAnsi="Times New Roman" w:cs="Times New Roman"/>
        </w:rPr>
      </w:pPr>
      <w:r w:rsidRPr="00CA017E">
        <w:rPr>
          <w:rFonts w:ascii="Times New Roman" w:hAnsi="Times New Roman" w:cs="Times New Roman"/>
        </w:rPr>
        <w:t>Phenology changes are increasingly recognized as a common response of species to ongoing global change. Phenology can be influenced by environmental cues that impact the initiation or duration of life history events as well as intrinsic organismal traits that may affect how different species respond to such environmental cues. Despite the importance of phenology for biodiversity conservation as demonstrated by terrestrial and marine research, freshwater phenology is understudied. Therefore, we conducted a literature review on freshwater phenology research to summarize the spatial, taxonomic, and temporal biases of studies; as well as relationships between phenology metrics, environmental cues, and intrinsic species traits studied in these systems. We find that phenology research in freshwaters may be limited by a lack of long-term time-series data, especially in lotic habitats. Phenology metrics studied differed between lotic and lentic habitats, with limnological research focused on planktonic population growth whereas macroinvertebrate emergence and fish spawning seasons are the most frequently studied aspects of phenology in streams and rivers. Across habitats, temperature is the most investigated environmental cue, with additional research attention to resources and hydrology in influencing phenology events in lentic and lotic environments, respectively. Knowledge gaps in contemporary freshwater phenology research include relationships between phenology and environmental cues in tropical systems, understanding of non-salmonid fish phenology, and testing hypotheses related to intrinsic traits. We recommend that future research broaden the biological, spatial</w:t>
      </w:r>
      <w:r w:rsidR="006F5DDC">
        <w:rPr>
          <w:rFonts w:ascii="Times New Roman" w:hAnsi="Times New Roman" w:cs="Times New Roman"/>
        </w:rPr>
        <w:t>,</w:t>
      </w:r>
      <w:r w:rsidRPr="00CA017E">
        <w:rPr>
          <w:rFonts w:ascii="Times New Roman" w:hAnsi="Times New Roman" w:cs="Times New Roman"/>
        </w:rPr>
        <w:t xml:space="preserve"> and temporal scales of phenology studies in these systems, and make use of novel data sources, methods, and technologies to address contemporary research gaps.</w:t>
      </w:r>
    </w:p>
    <w:p w14:paraId="5E7F6C70" w14:textId="612A7877" w:rsidR="003C7FC5" w:rsidRPr="00463612" w:rsidRDefault="00410D94" w:rsidP="00463612">
      <w:pPr>
        <w:pStyle w:val="Heading2"/>
        <w:rPr>
          <w:rFonts w:ascii="Times New Roman" w:hAnsi="Times New Roman" w:cs="Times New Roman"/>
          <w:sz w:val="24"/>
          <w:szCs w:val="24"/>
        </w:rPr>
      </w:pPr>
      <w:bookmarkStart w:id="7" w:name="_Toc100607874"/>
      <w:r>
        <w:rPr>
          <w:rFonts w:ascii="Times New Roman" w:hAnsi="Times New Roman" w:cs="Times New Roman"/>
          <w:sz w:val="24"/>
          <w:szCs w:val="24"/>
        </w:rPr>
        <w:t>Introduction</w:t>
      </w:r>
      <w:bookmarkEnd w:id="7"/>
    </w:p>
    <w:p w14:paraId="0E276115" w14:textId="114E1316" w:rsidR="00410D94" w:rsidRPr="00410D94" w:rsidRDefault="00410D94" w:rsidP="001E223F">
      <w:pPr>
        <w:ind w:firstLine="720"/>
        <w:jc w:val="both"/>
        <w:rPr>
          <w:rFonts w:ascii="Times New Roman" w:hAnsi="Times New Roman" w:cs="Times New Roman"/>
        </w:rPr>
      </w:pPr>
      <w:r w:rsidRPr="00410D94">
        <w:rPr>
          <w:rFonts w:ascii="Times New Roman" w:hAnsi="Times New Roman" w:cs="Times New Roman"/>
        </w:rPr>
        <w:t xml:space="preserve">Changes in the timing of seasonal life history events (i.e., phenology) are recognized as a common response of organisms to ongoing global change (Stenseth et al. 2002, Parmesan and Yohe 2003, Root et al. 2003, Visser and Both 2005, Menzel et al. 2006, Parmesan 2006). Quantifying shifts in organisms’ phenology is important because these responses can scale up to impact population dynamics and demography (Miller-Rushing et al. 2010) and community structure and function (Diez et al. 2012). For example, phenology responses to changing environmental contexts may skew community size distributions towards smaller-bodied individuals (Lurgi et al. 2012), disrupt synchrony between species and trophic resources (e.g., trophic mismatch) (Stenseth et al. 2002, Visser </w:t>
      </w:r>
      <w:r w:rsidRPr="00410D94">
        <w:rPr>
          <w:rFonts w:ascii="Times New Roman" w:hAnsi="Times New Roman" w:cs="Times New Roman"/>
        </w:rPr>
        <w:lastRenderedPageBreak/>
        <w:t xml:space="preserve">and Both 2005, Kharouba et al. 2018, Renner and Zohner 2018), alter the relative strengths of competitive interactions between coexisting species (Yang and Rudolf 2010, Carter et al. 2018, Rudolf 2019), and determine range shifts via physiological limits to species redistribution (Chuine 2010, Walther 2010, Macgregor et al. 2019). </w:t>
      </w:r>
    </w:p>
    <w:p w14:paraId="17C42E76" w14:textId="77777777" w:rsidR="00410D94" w:rsidRPr="00410D94" w:rsidRDefault="00410D94" w:rsidP="004317A3">
      <w:pPr>
        <w:jc w:val="both"/>
        <w:rPr>
          <w:rFonts w:ascii="Times New Roman" w:hAnsi="Times New Roman" w:cs="Times New Roman"/>
        </w:rPr>
      </w:pPr>
      <w:r w:rsidRPr="00410D94">
        <w:rPr>
          <w:rFonts w:ascii="Times New Roman" w:hAnsi="Times New Roman" w:cs="Times New Roman"/>
        </w:rPr>
        <w:tab/>
        <w:t xml:space="preserve">Studies of species phenology can be informed by knowledge of external abiotic and biotic cues that indicate optimal environmental conditions for fitness, reproduction, and survival (Visser and Both 2005, Mcnamara et al. 2011) and intrinsic traits that may affect organismal responses to such external cues (Altermatt 2010a, Walther 2010, Chmura et al. 2019). For example, phenology changes in response to increasing temperature are documented in terrestrial ectotherms (Scranton and Amarasekare 2017, Davies 2019), endotherms (Gordo and Sanz 2006, Moyes et al. 2011), and plants (Menzel et al. 2006, Vitasse et al. 2018, Heberling et al. 2019, Piao et al. 2019). Additionally, phenological regimes may vary among species in relation to the trophic characteristics (Visser and Both 2005, Altermatt 2010a, Thackeray et al. 2010, 2016), reproductive timing (e.g., early or late season species) (Menzel et al. 2006, Sherry et al. 2007), or generation time (Macgregor et al. 2019) of the species considered. While some of these traits may indeed affect phenology and phenological shifts directly (e.g., generation time), other traits such as reproductive timing and trophic characteristics might be linked to phenology at least in part because they are correlated with differential exposure to environmental cues and/or other unmeasured traits (e.g., physiological sensitivity to environmental cues) that may affect organismal responses to these cues (Chmura et al. 2019). Therefore, to advance our understanding on how phenology might respond to global change, we will need to account for both the environmental cues and the intrinsic traits that can jointly inform our knowledge of the timing of seasonal life history events. </w:t>
      </w:r>
    </w:p>
    <w:p w14:paraId="5C371173" w14:textId="77777777" w:rsidR="00410D94" w:rsidRPr="00410D94" w:rsidRDefault="00410D94" w:rsidP="001E223F">
      <w:pPr>
        <w:ind w:firstLine="720"/>
        <w:jc w:val="both"/>
        <w:rPr>
          <w:rFonts w:ascii="Times New Roman" w:hAnsi="Times New Roman" w:cs="Times New Roman"/>
        </w:rPr>
      </w:pPr>
      <w:r w:rsidRPr="00410D94">
        <w:rPr>
          <w:rFonts w:ascii="Times New Roman" w:hAnsi="Times New Roman" w:cs="Times New Roman"/>
        </w:rPr>
        <w:t>Quantifying how extrinsic environmental conditions and intrinsic traits may inform species phenology can also contribute to biodiversity conservation. For example, drivers of life history events can be used to understand and predict the introduction, success, and expansion of invasive species in novel habitats (Chapman et al. 2014, Capellini et al. 2015), and extinction risk may be informed, in part, by reproductive and life history characteristics that affect population growth rates and ability to recover from perturbations (Purvis et al. 2000, Hutchings et al. 2013). Differential shifts in the phenology across interacting species or between species and the abiotic conditions they require may alter species demography and population dynamics, potentially affecting species persistence (Miller-Rushing et al. 2010). Therefore, knowledge of species’ phenology related to extrinsic cues and intrinsic traits will play an important role in mitigating contemporary and future biodiversity loss from multiple stressors.</w:t>
      </w:r>
    </w:p>
    <w:p w14:paraId="47A5458A" w14:textId="77777777" w:rsidR="00410D94" w:rsidRPr="00410D94" w:rsidRDefault="00410D94" w:rsidP="004317A3">
      <w:pPr>
        <w:ind w:firstLine="720"/>
        <w:jc w:val="both"/>
        <w:rPr>
          <w:rFonts w:ascii="Times New Roman" w:hAnsi="Times New Roman" w:cs="Times New Roman"/>
        </w:rPr>
      </w:pPr>
      <w:r w:rsidRPr="00410D94">
        <w:rPr>
          <w:rFonts w:ascii="Times New Roman" w:hAnsi="Times New Roman" w:cs="Times New Roman"/>
        </w:rPr>
        <w:t xml:space="preserve">Despite the demonstrated importance of phenology for the maintenance and conservation of biodiversity, species phenology in freshwater systems remains relatively understudied (Thackeray et al. 2010) compared to terrestrial (Tang et al. 2016, Renner and Zohner 2018, Piao et al. 2019) and marine (Staudinger et al. 2019, Ardyna and Arrigo 2020) systems. This is surprising because freshwater systems represent an interesting context for phenology research. Freshwaters are dominated by ectothermic organisms which are more sensitive to changes in environmental temperature and, therefore, likely to experience stronger impacts to phenology from global change, compared to endotherms </w:t>
      </w:r>
      <w:r w:rsidRPr="00410D94">
        <w:rPr>
          <w:rFonts w:ascii="Times New Roman" w:hAnsi="Times New Roman" w:cs="Times New Roman"/>
        </w:rPr>
        <w:lastRenderedPageBreak/>
        <w:t>(Thackeray et al. 2010, Chmura et al. 2019). Organisms in freshwater food webs are generalizable into three main trophic levels (predators, herbivorous consumers, and primary producers) each of which undergo seasonal life history events, which may indicate potential for trophic mismatches. Freshwater phenology may depend on environmental cues from allochthonous inputs, hydrology, riparian shading, and temperature.  Differences between species can be informed by intrinsic traits such as generation time, reproductive timing, thermal sensitivity, or trophic level. However, we lack a consensus on prevalent cues and traits across studies and taxa. Finally, freshwaters harbor greater biodiversity per unit area, of which disproportionately more taxa are threatened, than terrestrial and marine systems (Dudgeon et al. 2006, Harrison et al. 2018) and a synthesis of phenology research is urgently needed to better understand risks posed to these organisms. These characteristics suggest that the environmental cues important for species phenology and the magnitude of global change impacts on phenology regimes in freshwaters may differ from patterns observed in other, well-studied systems and have potential to provide novel insights into our understanding of ongoing phenology shifts.</w:t>
      </w:r>
    </w:p>
    <w:p w14:paraId="0AA65882" w14:textId="3CE2B301" w:rsidR="00975E37" w:rsidRPr="00DF7C87" w:rsidRDefault="00410D94" w:rsidP="004317A3">
      <w:pPr>
        <w:ind w:firstLine="720"/>
        <w:jc w:val="both"/>
        <w:rPr>
          <w:rFonts w:ascii="Times New Roman" w:hAnsi="Times New Roman" w:cs="Times New Roman"/>
        </w:rPr>
      </w:pPr>
      <w:r w:rsidRPr="00410D94">
        <w:rPr>
          <w:rFonts w:ascii="Times New Roman" w:hAnsi="Times New Roman" w:cs="Times New Roman"/>
        </w:rPr>
        <w:t xml:space="preserve">Given the importance of conserving freshwater systems and their potential to provide unique insights into impacts of shifts in species phenology on biodiversity, we contend that there is an urgent need to synthesize and summarize existing freshwater phenology research as a first step toward identifying current research biases and potential knowledge gaps. Synthesizing freshwater phenology may also help identify whether phenology responses to global change observed in terrestrial and marine communities are generalizable across other systems and may therefore be informative to make robust assessments about threats to biodiversity, globally. Here, we conducted a systematic literature review to summarize the: (1) spatial, taxonomic, and temporal scopes, (2) phenological metrics, (3) environmental cues; and (4) intrinsic species traits investigated in freshwater phenological research. Our synthesis aims to provide a research agenda to advance the understanding of species phenology in freshwater ecosystems and the implications of global change on biodiversity persistence via its effects on phenology. </w:t>
      </w:r>
    </w:p>
    <w:p w14:paraId="18CC41DC" w14:textId="07A1B1B1" w:rsidR="00D94B60" w:rsidRPr="00463612" w:rsidRDefault="00D94B60" w:rsidP="00463612">
      <w:pPr>
        <w:pStyle w:val="Heading2"/>
        <w:rPr>
          <w:rFonts w:ascii="Times New Roman" w:hAnsi="Times New Roman" w:cs="Times New Roman"/>
          <w:sz w:val="24"/>
          <w:szCs w:val="24"/>
        </w:rPr>
      </w:pPr>
      <w:bookmarkStart w:id="8" w:name="_Toc100607875"/>
      <w:r>
        <w:rPr>
          <w:rFonts w:ascii="Times New Roman" w:hAnsi="Times New Roman" w:cs="Times New Roman"/>
          <w:sz w:val="24"/>
          <w:szCs w:val="24"/>
        </w:rPr>
        <w:t>Literature review</w:t>
      </w:r>
      <w:bookmarkEnd w:id="8"/>
    </w:p>
    <w:p w14:paraId="5D1FF1B7" w14:textId="390F6F2C"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 xml:space="preserve">We conducted a systematic review of species phenology research in freshwater systems by conducting Web of Science and Google Scholar searches for published papers using the query: ((stream* OR river* OR lake* OR freshwater* OR lotic OR lentic OR aquatic OR creek*) AND (phenology)). These search terms were decided after exploring alternative keyword combinations because we found them to identify a large number of potentially relevant studies, while minimizing the number of studies beyond the scope of our review. We exported all returned articles from Web of Science and the first 150 articles from the Google Scholar search (sorted by relevance; titles of articles ranked above 150 indicated that they were of no or minimal relevance), which resulted in 2,409 candidate articles for our literature review. </w:t>
      </w:r>
    </w:p>
    <w:p w14:paraId="2D88F39E" w14:textId="2E7AE82D"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 xml:space="preserve">We initially inspected the title and abstract of each of these studies, and papers identified as potentially relevant to our review were read in full. Specifically, we included primary literature that analyzed temporal variation in seasonal life history or life cycle events (i.e., phenology) of freshwater organisms using field, laboratory, or model-based </w:t>
      </w:r>
      <w:r w:rsidRPr="00796D6E">
        <w:rPr>
          <w:rFonts w:ascii="Times New Roman" w:hAnsi="Times New Roman" w:cs="Times New Roman"/>
        </w:rPr>
        <w:lastRenderedPageBreak/>
        <w:t>methods. We omitted studies that quantified seasonal changes in community composition without associated life history events, those which measured solely abiotic ecosystem phenology (e.g., lake stratification, hydrologic events), or those from estuaries because environmental cues in brackish systems may differ from freshwaters. We included anadromous and amphidromous fish taxa in our review as these species provide resources for freshwater environments (Samways et al. 2018). After filtering the original list of 2,409 articles, we identified 419 studies that met the above criteria for inclusion in our literature review (Appendix</w:t>
      </w:r>
      <w:r w:rsidR="00743924">
        <w:rPr>
          <w:rFonts w:ascii="Times New Roman" w:hAnsi="Times New Roman" w:cs="Times New Roman"/>
        </w:rPr>
        <w:t>,</w:t>
      </w:r>
      <w:r w:rsidRPr="00796D6E">
        <w:rPr>
          <w:rFonts w:ascii="Times New Roman" w:hAnsi="Times New Roman" w:cs="Times New Roman"/>
        </w:rPr>
        <w:t xml:space="preserve"> List A1).</w:t>
      </w:r>
    </w:p>
    <w:p w14:paraId="79F6B91B" w14:textId="407062FD"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For each study included in our review, we recorded information on the spatial, taxonomic, and temporal scope, as well as the phenological metrics, environmental cues, intrinsic species traits, and biotic interactions investigated by the study (</w:t>
      </w:r>
      <w:r w:rsidRPr="00446D99">
        <w:rPr>
          <w:rFonts w:ascii="Times New Roman" w:hAnsi="Times New Roman" w:cs="Times New Roman"/>
        </w:rPr>
        <w:t>Table</w:t>
      </w:r>
      <w:r w:rsidR="00743924" w:rsidRPr="00446D99">
        <w:rPr>
          <w:rFonts w:ascii="Times New Roman" w:hAnsi="Times New Roman" w:cs="Times New Roman"/>
        </w:rPr>
        <w:t xml:space="preserve">s </w:t>
      </w:r>
      <w:r w:rsidRPr="00446D99">
        <w:rPr>
          <w:rFonts w:ascii="Times New Roman" w:hAnsi="Times New Roman" w:cs="Times New Roman"/>
        </w:rPr>
        <w:t>1–3</w:t>
      </w:r>
      <w:r w:rsidRPr="00796D6E">
        <w:rPr>
          <w:rFonts w:ascii="Times New Roman" w:hAnsi="Times New Roman" w:cs="Times New Roman"/>
        </w:rPr>
        <w:t>). For spatial variables, we recorded the country, geographic coordinates, and habitat (lotic [flowing water; streams, rivers, creeks] or lentic [non-flowing water; lakes, ponds]) of the study. For wetland studies, we classified habitats according to descriptions of individual study sites sampled within the system. In cases where coordinates were not provided, we approximated locations when possible based on named features (e.g., National Park, research station, or named waterbody) to visualize the distribution of phenological studies. For temporal variables, we recorded the start year, end year, length of study (number of years from first sample to the last sample in the dataset), and the temporal grain of the analysis on an annual scale as: daily, weekly, monthly, or seasonal (sampling occurred during certain months of the year).</w:t>
      </w:r>
    </w:p>
    <w:p w14:paraId="0928304E" w14:textId="77777777"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 xml:space="preserve">To characterize the organisms investigated, we recorded the identities of taxa as well as the total number of taxa examined in each study. For groups of organisms where species-level identifications were less frequently reported (e.g., phytoplankton and zooplankton), the number of taxa often reflected broader taxonomic resolution (e.g., genera, diatoms, or copepods) rather than the number of species. We recorded the group(s) of taxa studied as: amphibians/aquatic reptiles, crustaceans/mollusks (excluding zooplankton), fish, macroinvertebrates, primary producers (majority phytoplankton and diatoms, with fewer observations from macrophytes), vertebrates other than fish (e.g., waterfowl, beavers), or zooplankton. For studies of fish phenology, we also recorded whether the study focused on salmonids (family Salmonidae) or non-salmonids. Additionally, we recorded whether a biotic interaction was hypothesized or tested, and if so, classified this interaction as trophic (e.g., predation, parasitism), competition, mutualism, commensalism, ammensalism, or an interaction between aquatic and terrestrial organisms (e.g., trophic interactions between aquatic and terrestrial organisms). </w:t>
      </w:r>
    </w:p>
    <w:p w14:paraId="65D1DE99" w14:textId="33B34577"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Next, we characterized the phenological metrics measured into functional categories based on a priori knowledge of freshwater seasonal life history events across freshwater taxa: egg/hatching characteristics (e.g., time to hatch, date of hatching), emergence, juvenile recruitment, metamorphosis, migrations, primary production/growing season, or reproductive season (</w:t>
      </w:r>
      <w:r w:rsidR="00743924">
        <w:rPr>
          <w:rFonts w:ascii="Times New Roman" w:hAnsi="Times New Roman" w:cs="Times New Roman"/>
        </w:rPr>
        <w:t>Table 1</w:t>
      </w:r>
      <w:r w:rsidRPr="00796D6E">
        <w:rPr>
          <w:rFonts w:ascii="Times New Roman" w:hAnsi="Times New Roman" w:cs="Times New Roman"/>
        </w:rPr>
        <w:t xml:space="preserve">). Although these metrics may have submetrics (e.g., date of start, date of peak, duration of event), we focused on these broader functional categories to investigate general links between phenological </w:t>
      </w:r>
      <w:r w:rsidR="005F0835" w:rsidRPr="00796D6E">
        <w:rPr>
          <w:rFonts w:ascii="Times New Roman" w:hAnsi="Times New Roman" w:cs="Times New Roman"/>
        </w:rPr>
        <w:t>metrics,</w:t>
      </w:r>
      <w:r w:rsidRPr="00796D6E">
        <w:rPr>
          <w:rFonts w:ascii="Times New Roman" w:hAnsi="Times New Roman" w:cs="Times New Roman"/>
        </w:rPr>
        <w:t xml:space="preserve"> and their potential environmental drivers (see below) investigated in the literature. </w:t>
      </w:r>
    </w:p>
    <w:p w14:paraId="77FB8937" w14:textId="77777777" w:rsidR="004B700B" w:rsidRDefault="004B700B">
      <w:pPr>
        <w:rPr>
          <w:rFonts w:ascii="Times New Roman" w:hAnsi="Times New Roman" w:cs="Times New Roman"/>
        </w:rPr>
      </w:pPr>
      <w:r>
        <w:rPr>
          <w:rFonts w:ascii="Times New Roman" w:hAnsi="Times New Roman" w:cs="Times New Roman"/>
        </w:rPr>
        <w:br w:type="page"/>
      </w:r>
    </w:p>
    <w:p w14:paraId="1BEE5A23" w14:textId="7BB4ED1F" w:rsidR="00434A73" w:rsidRPr="00C77F57" w:rsidRDefault="004B700B" w:rsidP="00C77F57">
      <w:pPr>
        <w:pStyle w:val="Caption"/>
        <w:jc w:val="both"/>
        <w:rPr>
          <w:rFonts w:ascii="Times New Roman" w:hAnsi="Times New Roman" w:cs="Times New Roman"/>
          <w:b w:val="0"/>
          <w:bCs w:val="0"/>
        </w:rPr>
      </w:pPr>
      <w:bookmarkStart w:id="9" w:name="_Toc93411172"/>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sidRPr="00DF7C87">
        <w:rPr>
          <w:rFonts w:ascii="Times New Roman" w:hAnsi="Times New Roman" w:cs="Times New Roman"/>
          <w:noProof/>
        </w:rPr>
        <w:t>1</w:t>
      </w:r>
      <w:r w:rsidRPr="00DF7C87">
        <w:rPr>
          <w:rFonts w:ascii="Times New Roman" w:hAnsi="Times New Roman" w:cs="Times New Roman"/>
        </w:rPr>
        <w:fldChar w:fldCharType="end"/>
      </w:r>
      <w:r w:rsidRPr="00DF7C87">
        <w:rPr>
          <w:rFonts w:ascii="Times New Roman" w:hAnsi="Times New Roman" w:cs="Times New Roman"/>
        </w:rPr>
        <w:t xml:space="preserve"> </w:t>
      </w:r>
      <w:r w:rsidR="00D05514">
        <w:rPr>
          <w:rFonts w:ascii="Times New Roman" w:hAnsi="Times New Roman" w:cs="Times New Roman"/>
        </w:rPr>
        <w:t>Description of freshwater phenology metrics</w:t>
      </w:r>
      <w:r w:rsidRPr="00DF7C87">
        <w:rPr>
          <w:rFonts w:ascii="Times New Roman" w:hAnsi="Times New Roman" w:cs="Times New Roman"/>
        </w:rPr>
        <w:t>.</w:t>
      </w:r>
      <w:r w:rsidR="002471D7">
        <w:rPr>
          <w:rFonts w:ascii="Times New Roman" w:hAnsi="Times New Roman" w:cs="Times New Roman"/>
        </w:rPr>
        <w:t xml:space="preserve"> </w:t>
      </w:r>
      <w:r w:rsidR="002471D7" w:rsidRPr="002471D7">
        <w:rPr>
          <w:rFonts w:ascii="Times New Roman" w:hAnsi="Times New Roman" w:cs="Times New Roman"/>
          <w:b w:val="0"/>
          <w:bCs w:val="0"/>
        </w:rPr>
        <w:t>For each functional class of phenology metric, the taxa for which it may apply are provided, as well as taxon-specific metrics (variables measured in studies).</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83"/>
        <w:gridCol w:w="2877"/>
      </w:tblGrid>
      <w:tr w:rsidR="00D05514" w14:paraId="293275F7" w14:textId="77777777" w:rsidTr="00F7658B">
        <w:tc>
          <w:tcPr>
            <w:tcW w:w="2970" w:type="dxa"/>
            <w:tcBorders>
              <w:top w:val="single" w:sz="4" w:space="0" w:color="auto"/>
              <w:bottom w:val="single" w:sz="4" w:space="0" w:color="auto"/>
            </w:tcBorders>
          </w:tcPr>
          <w:p w14:paraId="308C61AC" w14:textId="02DB7D82" w:rsidR="00D05514" w:rsidRDefault="00D05514" w:rsidP="00F7658B">
            <w:pPr>
              <w:rPr>
                <w:rFonts w:ascii="Times New Roman" w:hAnsi="Times New Roman" w:cs="Times New Roman"/>
              </w:rPr>
            </w:pPr>
            <w:r>
              <w:rPr>
                <w:rFonts w:ascii="Times New Roman" w:hAnsi="Times New Roman" w:cs="Times New Roman"/>
                <w:b/>
              </w:rPr>
              <w:t>Phenology metric</w:t>
            </w:r>
          </w:p>
        </w:tc>
        <w:tc>
          <w:tcPr>
            <w:tcW w:w="2783" w:type="dxa"/>
            <w:tcBorders>
              <w:top w:val="single" w:sz="4" w:space="0" w:color="auto"/>
              <w:bottom w:val="single" w:sz="4" w:space="0" w:color="auto"/>
            </w:tcBorders>
          </w:tcPr>
          <w:p w14:paraId="148BDEC0" w14:textId="396A8558" w:rsidR="00D05514" w:rsidRDefault="00D05514" w:rsidP="00F7658B">
            <w:pPr>
              <w:rPr>
                <w:rFonts w:ascii="Times New Roman" w:hAnsi="Times New Roman" w:cs="Times New Roman"/>
              </w:rPr>
            </w:pPr>
            <w:r>
              <w:rPr>
                <w:rFonts w:ascii="Times New Roman" w:hAnsi="Times New Roman" w:cs="Times New Roman"/>
                <w:b/>
              </w:rPr>
              <w:t>Taxa</w:t>
            </w:r>
          </w:p>
        </w:tc>
        <w:tc>
          <w:tcPr>
            <w:tcW w:w="2877" w:type="dxa"/>
            <w:tcBorders>
              <w:top w:val="single" w:sz="4" w:space="0" w:color="auto"/>
              <w:bottom w:val="single" w:sz="4" w:space="0" w:color="auto"/>
            </w:tcBorders>
          </w:tcPr>
          <w:p w14:paraId="54ED285E" w14:textId="468A65C0" w:rsidR="00D05514" w:rsidRDefault="00D05514" w:rsidP="00F7658B">
            <w:pPr>
              <w:rPr>
                <w:rFonts w:ascii="Times New Roman" w:hAnsi="Times New Roman" w:cs="Times New Roman"/>
              </w:rPr>
            </w:pPr>
            <w:r>
              <w:rPr>
                <w:rFonts w:ascii="Times New Roman" w:hAnsi="Times New Roman" w:cs="Times New Roman"/>
                <w:b/>
              </w:rPr>
              <w:t>Taxon metric</w:t>
            </w:r>
          </w:p>
        </w:tc>
      </w:tr>
      <w:tr w:rsidR="00D05514" w14:paraId="13F8584A" w14:textId="77777777" w:rsidTr="00F7658B">
        <w:tc>
          <w:tcPr>
            <w:tcW w:w="2970" w:type="dxa"/>
            <w:tcBorders>
              <w:top w:val="single" w:sz="4" w:space="0" w:color="auto"/>
            </w:tcBorders>
          </w:tcPr>
          <w:p w14:paraId="0FE45A14" w14:textId="466E4CFE" w:rsidR="00D05514" w:rsidRDefault="00D05514" w:rsidP="00F7658B">
            <w:pPr>
              <w:rPr>
                <w:rFonts w:ascii="Times New Roman" w:hAnsi="Times New Roman" w:cs="Times New Roman"/>
              </w:rPr>
            </w:pPr>
            <w:r>
              <w:rPr>
                <w:rFonts w:ascii="Times New Roman" w:hAnsi="Times New Roman" w:cs="Times New Roman"/>
              </w:rPr>
              <w:t>Egg/hatching</w:t>
            </w:r>
          </w:p>
        </w:tc>
        <w:tc>
          <w:tcPr>
            <w:tcW w:w="2783" w:type="dxa"/>
            <w:tcBorders>
              <w:top w:val="single" w:sz="4" w:space="0" w:color="auto"/>
            </w:tcBorders>
          </w:tcPr>
          <w:p w14:paraId="46606078" w14:textId="108C88BD" w:rsidR="00D05514" w:rsidRDefault="00D05514" w:rsidP="00F7658B">
            <w:pPr>
              <w:rPr>
                <w:rFonts w:ascii="Times New Roman" w:hAnsi="Times New Roman" w:cs="Times New Roman"/>
              </w:rPr>
            </w:pPr>
            <w:r>
              <w:rPr>
                <w:rFonts w:ascii="Times New Roman" w:hAnsi="Times New Roman" w:cs="Times New Roman"/>
              </w:rPr>
              <w:t>All</w:t>
            </w:r>
          </w:p>
        </w:tc>
        <w:tc>
          <w:tcPr>
            <w:tcW w:w="2877" w:type="dxa"/>
            <w:tcBorders>
              <w:top w:val="single" w:sz="4" w:space="0" w:color="auto"/>
            </w:tcBorders>
          </w:tcPr>
          <w:p w14:paraId="7A61C610" w14:textId="7A6673AD" w:rsidR="00D05514" w:rsidRDefault="00D05514" w:rsidP="00F7658B">
            <w:pPr>
              <w:rPr>
                <w:rFonts w:ascii="Times New Roman" w:hAnsi="Times New Roman" w:cs="Times New Roman"/>
              </w:rPr>
            </w:pPr>
            <w:r>
              <w:rPr>
                <w:rFonts w:ascii="Times New Roman" w:hAnsi="Times New Roman" w:cs="Times New Roman"/>
              </w:rPr>
              <w:t>Hatching</w:t>
            </w:r>
          </w:p>
        </w:tc>
      </w:tr>
      <w:tr w:rsidR="00D05514" w14:paraId="342E75FF" w14:textId="77777777" w:rsidTr="00F7658B">
        <w:tc>
          <w:tcPr>
            <w:tcW w:w="2970" w:type="dxa"/>
          </w:tcPr>
          <w:p w14:paraId="395FC7C1" w14:textId="4770BCD1" w:rsidR="00D05514" w:rsidRDefault="00D05514" w:rsidP="00F7658B">
            <w:pPr>
              <w:rPr>
                <w:rFonts w:ascii="Times New Roman" w:hAnsi="Times New Roman" w:cs="Times New Roman"/>
              </w:rPr>
            </w:pPr>
            <w:r>
              <w:rPr>
                <w:rFonts w:ascii="Times New Roman" w:hAnsi="Times New Roman" w:cs="Times New Roman"/>
              </w:rPr>
              <w:t>Emergence</w:t>
            </w:r>
          </w:p>
        </w:tc>
        <w:tc>
          <w:tcPr>
            <w:tcW w:w="2783" w:type="dxa"/>
          </w:tcPr>
          <w:p w14:paraId="2A7F0BC9" w14:textId="4B087943" w:rsidR="00D05514" w:rsidRDefault="00D05514" w:rsidP="00F7658B">
            <w:pPr>
              <w:rPr>
                <w:rFonts w:ascii="Times New Roman" w:hAnsi="Times New Roman" w:cs="Times New Roman"/>
              </w:rPr>
            </w:pPr>
            <w:r>
              <w:rPr>
                <w:rFonts w:ascii="Times New Roman" w:hAnsi="Times New Roman" w:cs="Times New Roman"/>
              </w:rPr>
              <w:t>Macroinvertebrate</w:t>
            </w:r>
          </w:p>
        </w:tc>
        <w:tc>
          <w:tcPr>
            <w:tcW w:w="2877" w:type="dxa"/>
          </w:tcPr>
          <w:p w14:paraId="66F3DB3C" w14:textId="1F20E94A" w:rsidR="00D05514" w:rsidRDefault="00D05514" w:rsidP="00F7658B">
            <w:pPr>
              <w:rPr>
                <w:rFonts w:ascii="Times New Roman" w:hAnsi="Times New Roman" w:cs="Times New Roman"/>
              </w:rPr>
            </w:pPr>
            <w:r>
              <w:rPr>
                <w:rFonts w:ascii="Times New Roman" w:hAnsi="Times New Roman" w:cs="Times New Roman"/>
              </w:rPr>
              <w:t>Emergence</w:t>
            </w:r>
          </w:p>
        </w:tc>
      </w:tr>
      <w:tr w:rsidR="00D05514" w14:paraId="2233E529" w14:textId="77777777" w:rsidTr="00F7658B">
        <w:tc>
          <w:tcPr>
            <w:tcW w:w="2970" w:type="dxa"/>
          </w:tcPr>
          <w:p w14:paraId="7571925F" w14:textId="77777777" w:rsidR="00D05514" w:rsidRDefault="00D05514" w:rsidP="00F7658B">
            <w:pPr>
              <w:rPr>
                <w:rFonts w:ascii="Times New Roman" w:hAnsi="Times New Roman" w:cs="Times New Roman"/>
              </w:rPr>
            </w:pPr>
          </w:p>
        </w:tc>
        <w:tc>
          <w:tcPr>
            <w:tcW w:w="2783" w:type="dxa"/>
          </w:tcPr>
          <w:p w14:paraId="21094571" w14:textId="4CA28F94" w:rsidR="00D05514" w:rsidRDefault="00D05514" w:rsidP="00F7658B">
            <w:pPr>
              <w:rPr>
                <w:rFonts w:ascii="Times New Roman" w:hAnsi="Times New Roman" w:cs="Times New Roman"/>
              </w:rPr>
            </w:pPr>
            <w:r>
              <w:rPr>
                <w:rFonts w:ascii="Times New Roman" w:hAnsi="Times New Roman" w:cs="Times New Roman"/>
              </w:rPr>
              <w:t>Macroinvertebrate</w:t>
            </w:r>
          </w:p>
        </w:tc>
        <w:tc>
          <w:tcPr>
            <w:tcW w:w="2877" w:type="dxa"/>
          </w:tcPr>
          <w:p w14:paraId="7BB9CE7F" w14:textId="136AF67D" w:rsidR="00D05514" w:rsidRDefault="00D05514" w:rsidP="00F7658B">
            <w:pPr>
              <w:rPr>
                <w:rFonts w:ascii="Times New Roman" w:hAnsi="Times New Roman" w:cs="Times New Roman"/>
              </w:rPr>
            </w:pPr>
            <w:r>
              <w:rPr>
                <w:rFonts w:ascii="Times New Roman" w:hAnsi="Times New Roman" w:cs="Times New Roman"/>
              </w:rPr>
              <w:t>Flight period</w:t>
            </w:r>
          </w:p>
        </w:tc>
      </w:tr>
      <w:tr w:rsidR="00F7658B" w14:paraId="6B4703B5" w14:textId="77777777" w:rsidTr="00F7658B">
        <w:tc>
          <w:tcPr>
            <w:tcW w:w="2970" w:type="dxa"/>
            <w:vMerge w:val="restart"/>
          </w:tcPr>
          <w:p w14:paraId="097EC519" w14:textId="77777777" w:rsidR="00F7658B" w:rsidRDefault="00F7658B" w:rsidP="00F7658B">
            <w:pPr>
              <w:widowControl w:val="0"/>
              <w:rPr>
                <w:rFonts w:ascii="Times New Roman" w:hAnsi="Times New Roman" w:cs="Times New Roman"/>
              </w:rPr>
            </w:pPr>
            <w:r>
              <w:rPr>
                <w:rFonts w:ascii="Times New Roman" w:hAnsi="Times New Roman" w:cs="Times New Roman"/>
              </w:rPr>
              <w:t>Population growth or</w:t>
            </w:r>
          </w:p>
          <w:p w14:paraId="3BEB15A9" w14:textId="5F5BFF96" w:rsidR="00F7658B" w:rsidRDefault="00F7658B" w:rsidP="00F7658B">
            <w:pPr>
              <w:rPr>
                <w:rFonts w:ascii="Times New Roman" w:hAnsi="Times New Roman" w:cs="Times New Roman"/>
              </w:rPr>
            </w:pPr>
            <w:r>
              <w:rPr>
                <w:rFonts w:ascii="Times New Roman" w:hAnsi="Times New Roman" w:cs="Times New Roman"/>
              </w:rPr>
              <w:t>production season</w:t>
            </w:r>
          </w:p>
        </w:tc>
        <w:tc>
          <w:tcPr>
            <w:tcW w:w="2783" w:type="dxa"/>
          </w:tcPr>
          <w:p w14:paraId="44AABDF9" w14:textId="6768FD79" w:rsidR="00F7658B" w:rsidRDefault="00F7658B" w:rsidP="00F7658B">
            <w:pPr>
              <w:rPr>
                <w:rFonts w:ascii="Times New Roman" w:hAnsi="Times New Roman" w:cs="Times New Roman"/>
              </w:rPr>
            </w:pPr>
            <w:r>
              <w:rPr>
                <w:rFonts w:ascii="Times New Roman" w:hAnsi="Times New Roman" w:cs="Times New Roman"/>
              </w:rPr>
              <w:t>Macrophytes</w:t>
            </w:r>
          </w:p>
        </w:tc>
        <w:tc>
          <w:tcPr>
            <w:tcW w:w="2877" w:type="dxa"/>
          </w:tcPr>
          <w:p w14:paraId="6546E188" w14:textId="41D0FEF2" w:rsidR="00F7658B" w:rsidRDefault="00F7658B" w:rsidP="00F7658B">
            <w:pPr>
              <w:rPr>
                <w:rFonts w:ascii="Times New Roman" w:hAnsi="Times New Roman" w:cs="Times New Roman"/>
              </w:rPr>
            </w:pPr>
            <w:r>
              <w:rPr>
                <w:rFonts w:ascii="Times New Roman" w:hAnsi="Times New Roman" w:cs="Times New Roman"/>
              </w:rPr>
              <w:t>Biomass, Cover</w:t>
            </w:r>
          </w:p>
        </w:tc>
      </w:tr>
      <w:tr w:rsidR="00F7658B" w14:paraId="36ED747B" w14:textId="77777777" w:rsidTr="00F7658B">
        <w:tc>
          <w:tcPr>
            <w:tcW w:w="2970" w:type="dxa"/>
            <w:vMerge/>
          </w:tcPr>
          <w:p w14:paraId="1E6626C6" w14:textId="77777777" w:rsidR="00F7658B" w:rsidRDefault="00F7658B" w:rsidP="00F7658B">
            <w:pPr>
              <w:rPr>
                <w:rFonts w:ascii="Times New Roman" w:hAnsi="Times New Roman" w:cs="Times New Roman"/>
              </w:rPr>
            </w:pPr>
          </w:p>
        </w:tc>
        <w:tc>
          <w:tcPr>
            <w:tcW w:w="2783" w:type="dxa"/>
          </w:tcPr>
          <w:p w14:paraId="4FEA42AF" w14:textId="09D16AA6" w:rsidR="00F7658B" w:rsidRDefault="00F7658B" w:rsidP="00F7658B">
            <w:pPr>
              <w:rPr>
                <w:rFonts w:ascii="Times New Roman" w:hAnsi="Times New Roman" w:cs="Times New Roman"/>
              </w:rPr>
            </w:pPr>
            <w:r>
              <w:rPr>
                <w:rFonts w:ascii="Times New Roman" w:hAnsi="Times New Roman" w:cs="Times New Roman"/>
              </w:rPr>
              <w:t>Phytoplankton</w:t>
            </w:r>
          </w:p>
        </w:tc>
        <w:tc>
          <w:tcPr>
            <w:tcW w:w="2877" w:type="dxa"/>
          </w:tcPr>
          <w:p w14:paraId="690D1BB9" w14:textId="41F528E3" w:rsidR="00F7658B" w:rsidRDefault="00F7658B" w:rsidP="00F7658B">
            <w:pPr>
              <w:rPr>
                <w:rFonts w:ascii="Times New Roman" w:hAnsi="Times New Roman" w:cs="Times New Roman"/>
              </w:rPr>
            </w:pPr>
            <w:r>
              <w:rPr>
                <w:rFonts w:ascii="Times New Roman" w:hAnsi="Times New Roman" w:cs="Times New Roman"/>
              </w:rPr>
              <w:t>Abundance</w:t>
            </w:r>
          </w:p>
        </w:tc>
      </w:tr>
      <w:tr w:rsidR="00F7658B" w14:paraId="40A32345" w14:textId="77777777" w:rsidTr="00F7658B">
        <w:tc>
          <w:tcPr>
            <w:tcW w:w="2970" w:type="dxa"/>
            <w:vMerge/>
          </w:tcPr>
          <w:p w14:paraId="4E9A5837" w14:textId="77777777" w:rsidR="00F7658B" w:rsidRDefault="00F7658B" w:rsidP="00F7658B">
            <w:pPr>
              <w:rPr>
                <w:rFonts w:ascii="Times New Roman" w:hAnsi="Times New Roman" w:cs="Times New Roman"/>
              </w:rPr>
            </w:pPr>
          </w:p>
        </w:tc>
        <w:tc>
          <w:tcPr>
            <w:tcW w:w="2783" w:type="dxa"/>
          </w:tcPr>
          <w:p w14:paraId="12372567" w14:textId="752E6A59" w:rsidR="00F7658B" w:rsidRDefault="00F7658B" w:rsidP="00F7658B">
            <w:pPr>
              <w:rPr>
                <w:rFonts w:ascii="Times New Roman" w:hAnsi="Times New Roman" w:cs="Times New Roman"/>
              </w:rPr>
            </w:pPr>
            <w:r>
              <w:rPr>
                <w:rFonts w:ascii="Times New Roman" w:hAnsi="Times New Roman" w:cs="Times New Roman"/>
              </w:rPr>
              <w:t>Zooplankton</w:t>
            </w:r>
          </w:p>
        </w:tc>
        <w:tc>
          <w:tcPr>
            <w:tcW w:w="2877" w:type="dxa"/>
          </w:tcPr>
          <w:p w14:paraId="68A297B7" w14:textId="10B2C907" w:rsidR="00F7658B" w:rsidRDefault="00F7658B" w:rsidP="00F7658B">
            <w:pPr>
              <w:rPr>
                <w:rFonts w:ascii="Times New Roman" w:hAnsi="Times New Roman" w:cs="Times New Roman"/>
              </w:rPr>
            </w:pPr>
            <w:r>
              <w:rPr>
                <w:rFonts w:ascii="Times New Roman" w:hAnsi="Times New Roman" w:cs="Times New Roman"/>
              </w:rPr>
              <w:t>Abundance</w:t>
            </w:r>
          </w:p>
        </w:tc>
      </w:tr>
      <w:tr w:rsidR="00D05514" w14:paraId="3780603D" w14:textId="77777777" w:rsidTr="00F7658B">
        <w:tc>
          <w:tcPr>
            <w:tcW w:w="2970" w:type="dxa"/>
          </w:tcPr>
          <w:p w14:paraId="4D8CD519" w14:textId="35D6CC36" w:rsidR="00D05514" w:rsidRDefault="00D05514" w:rsidP="00F7658B">
            <w:pPr>
              <w:rPr>
                <w:rFonts w:ascii="Times New Roman" w:hAnsi="Times New Roman" w:cs="Times New Roman"/>
              </w:rPr>
            </w:pPr>
            <w:r>
              <w:rPr>
                <w:rFonts w:ascii="Times New Roman" w:hAnsi="Times New Roman" w:cs="Times New Roman"/>
              </w:rPr>
              <w:t>Juvenile recruitment</w:t>
            </w:r>
          </w:p>
        </w:tc>
        <w:tc>
          <w:tcPr>
            <w:tcW w:w="2783" w:type="dxa"/>
          </w:tcPr>
          <w:p w14:paraId="2ED8016A" w14:textId="0C651614" w:rsidR="00D05514" w:rsidRDefault="00D05514" w:rsidP="00F7658B">
            <w:pPr>
              <w:rPr>
                <w:rFonts w:ascii="Times New Roman" w:hAnsi="Times New Roman" w:cs="Times New Roman"/>
              </w:rPr>
            </w:pPr>
            <w:r>
              <w:rPr>
                <w:rFonts w:ascii="Times New Roman" w:hAnsi="Times New Roman" w:cs="Times New Roman"/>
              </w:rPr>
              <w:t>Fish</w:t>
            </w:r>
          </w:p>
        </w:tc>
        <w:tc>
          <w:tcPr>
            <w:tcW w:w="2877" w:type="dxa"/>
          </w:tcPr>
          <w:p w14:paraId="2FBB177A" w14:textId="1D0CA44E" w:rsidR="00D05514" w:rsidRDefault="00D05514" w:rsidP="00F7658B">
            <w:pPr>
              <w:rPr>
                <w:rFonts w:ascii="Times New Roman" w:hAnsi="Times New Roman" w:cs="Times New Roman"/>
              </w:rPr>
            </w:pPr>
            <w:r>
              <w:rPr>
                <w:rFonts w:ascii="Times New Roman" w:hAnsi="Times New Roman" w:cs="Times New Roman"/>
              </w:rPr>
              <w:t>Young-of-year arrival</w:t>
            </w:r>
          </w:p>
        </w:tc>
      </w:tr>
      <w:tr w:rsidR="00D05514" w14:paraId="35B13FBD" w14:textId="77777777" w:rsidTr="00F7658B">
        <w:tc>
          <w:tcPr>
            <w:tcW w:w="2970" w:type="dxa"/>
          </w:tcPr>
          <w:p w14:paraId="52F8D17C" w14:textId="77777777" w:rsidR="00D05514" w:rsidRDefault="00D05514" w:rsidP="00F7658B">
            <w:pPr>
              <w:rPr>
                <w:rFonts w:ascii="Times New Roman" w:hAnsi="Times New Roman" w:cs="Times New Roman"/>
              </w:rPr>
            </w:pPr>
          </w:p>
        </w:tc>
        <w:tc>
          <w:tcPr>
            <w:tcW w:w="2783" w:type="dxa"/>
          </w:tcPr>
          <w:p w14:paraId="2E896D45" w14:textId="0908102B" w:rsidR="00D05514" w:rsidRDefault="00D05514" w:rsidP="00F7658B">
            <w:pPr>
              <w:rPr>
                <w:rFonts w:ascii="Times New Roman" w:hAnsi="Times New Roman" w:cs="Times New Roman"/>
              </w:rPr>
            </w:pPr>
            <w:r>
              <w:rPr>
                <w:rFonts w:ascii="Times New Roman" w:hAnsi="Times New Roman" w:cs="Times New Roman"/>
              </w:rPr>
              <w:t>All</w:t>
            </w:r>
          </w:p>
        </w:tc>
        <w:tc>
          <w:tcPr>
            <w:tcW w:w="2877" w:type="dxa"/>
          </w:tcPr>
          <w:p w14:paraId="6931C722" w14:textId="1560EE35" w:rsidR="00D05514" w:rsidRDefault="00D05514" w:rsidP="00F7658B">
            <w:pPr>
              <w:rPr>
                <w:rFonts w:ascii="Times New Roman" w:hAnsi="Times New Roman" w:cs="Times New Roman"/>
              </w:rPr>
            </w:pPr>
            <w:r>
              <w:rPr>
                <w:rFonts w:ascii="Times New Roman" w:hAnsi="Times New Roman" w:cs="Times New Roman"/>
              </w:rPr>
              <w:t>First juvenile appearance</w:t>
            </w:r>
          </w:p>
        </w:tc>
      </w:tr>
      <w:tr w:rsidR="00D05514" w14:paraId="7DA5751D" w14:textId="77777777" w:rsidTr="00F7658B">
        <w:tc>
          <w:tcPr>
            <w:tcW w:w="2970" w:type="dxa"/>
          </w:tcPr>
          <w:p w14:paraId="6BE70E13" w14:textId="429F1DA7" w:rsidR="00D05514" w:rsidRDefault="00D05514" w:rsidP="00F7658B">
            <w:pPr>
              <w:rPr>
                <w:rFonts w:ascii="Times New Roman" w:hAnsi="Times New Roman" w:cs="Times New Roman"/>
              </w:rPr>
            </w:pPr>
            <w:r>
              <w:rPr>
                <w:rFonts w:ascii="Times New Roman" w:hAnsi="Times New Roman" w:cs="Times New Roman"/>
              </w:rPr>
              <w:t>Metamorphosis</w:t>
            </w:r>
          </w:p>
        </w:tc>
        <w:tc>
          <w:tcPr>
            <w:tcW w:w="2783" w:type="dxa"/>
          </w:tcPr>
          <w:p w14:paraId="1A13D5A2" w14:textId="6D41648F" w:rsidR="00D05514" w:rsidRDefault="00D05514" w:rsidP="00F7658B">
            <w:pPr>
              <w:rPr>
                <w:rFonts w:ascii="Times New Roman" w:hAnsi="Times New Roman" w:cs="Times New Roman"/>
              </w:rPr>
            </w:pPr>
            <w:r>
              <w:rPr>
                <w:rFonts w:ascii="Times New Roman" w:hAnsi="Times New Roman" w:cs="Times New Roman"/>
              </w:rPr>
              <w:t>Amphibian</w:t>
            </w:r>
          </w:p>
        </w:tc>
        <w:tc>
          <w:tcPr>
            <w:tcW w:w="2877" w:type="dxa"/>
          </w:tcPr>
          <w:p w14:paraId="05F75C88" w14:textId="00BBBA70" w:rsidR="00D05514" w:rsidRDefault="00D05514" w:rsidP="00F7658B">
            <w:pPr>
              <w:rPr>
                <w:rFonts w:ascii="Times New Roman" w:hAnsi="Times New Roman" w:cs="Times New Roman"/>
              </w:rPr>
            </w:pPr>
            <w:r>
              <w:rPr>
                <w:rFonts w:ascii="Times New Roman" w:hAnsi="Times New Roman" w:cs="Times New Roman"/>
              </w:rPr>
              <w:t>Metamorphosis</w:t>
            </w:r>
          </w:p>
        </w:tc>
      </w:tr>
      <w:tr w:rsidR="00D05514" w14:paraId="662FCA29" w14:textId="77777777" w:rsidTr="00F7658B">
        <w:tc>
          <w:tcPr>
            <w:tcW w:w="2970" w:type="dxa"/>
          </w:tcPr>
          <w:p w14:paraId="4F8AE414" w14:textId="3CEC1129" w:rsidR="00D05514" w:rsidRDefault="00D05514" w:rsidP="00F7658B">
            <w:pPr>
              <w:rPr>
                <w:rFonts w:ascii="Times New Roman" w:hAnsi="Times New Roman" w:cs="Times New Roman"/>
              </w:rPr>
            </w:pPr>
            <w:r>
              <w:rPr>
                <w:rFonts w:ascii="Times New Roman" w:hAnsi="Times New Roman" w:cs="Times New Roman"/>
              </w:rPr>
              <w:t>Migration</w:t>
            </w:r>
          </w:p>
        </w:tc>
        <w:tc>
          <w:tcPr>
            <w:tcW w:w="2783" w:type="dxa"/>
          </w:tcPr>
          <w:p w14:paraId="1E5CA790" w14:textId="475B2DC2" w:rsidR="00D05514" w:rsidRDefault="00D05514" w:rsidP="00F7658B">
            <w:pPr>
              <w:rPr>
                <w:rFonts w:ascii="Times New Roman" w:hAnsi="Times New Roman" w:cs="Times New Roman"/>
              </w:rPr>
            </w:pPr>
            <w:r>
              <w:rPr>
                <w:rFonts w:ascii="Times New Roman" w:hAnsi="Times New Roman" w:cs="Times New Roman"/>
              </w:rPr>
              <w:t>Amphibian, Reptiles, Waterfowl</w:t>
            </w:r>
          </w:p>
        </w:tc>
        <w:tc>
          <w:tcPr>
            <w:tcW w:w="2877" w:type="dxa"/>
          </w:tcPr>
          <w:p w14:paraId="6395000C" w14:textId="0FF744F2" w:rsidR="00D05514" w:rsidRDefault="00D05514" w:rsidP="00F7658B">
            <w:pPr>
              <w:rPr>
                <w:rFonts w:ascii="Times New Roman" w:hAnsi="Times New Roman" w:cs="Times New Roman"/>
              </w:rPr>
            </w:pPr>
            <w:r>
              <w:rPr>
                <w:rFonts w:ascii="Times New Roman" w:hAnsi="Times New Roman" w:cs="Times New Roman"/>
              </w:rPr>
              <w:t>Breeding</w:t>
            </w:r>
          </w:p>
        </w:tc>
      </w:tr>
      <w:tr w:rsidR="00D05514" w14:paraId="4E8D5474" w14:textId="77777777" w:rsidTr="00F7658B">
        <w:tc>
          <w:tcPr>
            <w:tcW w:w="2970" w:type="dxa"/>
          </w:tcPr>
          <w:p w14:paraId="526B861F" w14:textId="77777777" w:rsidR="00D05514" w:rsidRDefault="00D05514" w:rsidP="00F7658B">
            <w:pPr>
              <w:rPr>
                <w:rFonts w:ascii="Times New Roman" w:hAnsi="Times New Roman" w:cs="Times New Roman"/>
              </w:rPr>
            </w:pPr>
          </w:p>
        </w:tc>
        <w:tc>
          <w:tcPr>
            <w:tcW w:w="2783" w:type="dxa"/>
          </w:tcPr>
          <w:p w14:paraId="02053D70" w14:textId="1C1CA6BF" w:rsidR="00D05514" w:rsidRDefault="00D05514" w:rsidP="00F7658B">
            <w:pPr>
              <w:rPr>
                <w:rFonts w:ascii="Times New Roman" w:hAnsi="Times New Roman" w:cs="Times New Roman"/>
              </w:rPr>
            </w:pPr>
            <w:r>
              <w:rPr>
                <w:rFonts w:ascii="Times New Roman" w:hAnsi="Times New Roman" w:cs="Times New Roman"/>
              </w:rPr>
              <w:t>Fish</w:t>
            </w:r>
          </w:p>
        </w:tc>
        <w:tc>
          <w:tcPr>
            <w:tcW w:w="2877" w:type="dxa"/>
          </w:tcPr>
          <w:p w14:paraId="1E12B3ED" w14:textId="1235B505" w:rsidR="00D05514" w:rsidRDefault="00D05514" w:rsidP="00F7658B">
            <w:pPr>
              <w:rPr>
                <w:rFonts w:ascii="Times New Roman" w:hAnsi="Times New Roman" w:cs="Times New Roman"/>
              </w:rPr>
            </w:pPr>
            <w:r>
              <w:rPr>
                <w:rFonts w:ascii="Times New Roman" w:hAnsi="Times New Roman" w:cs="Times New Roman"/>
              </w:rPr>
              <w:t>Spawning, smolting</w:t>
            </w:r>
          </w:p>
        </w:tc>
      </w:tr>
      <w:tr w:rsidR="00D05514" w14:paraId="7DAB5FB4" w14:textId="77777777" w:rsidTr="00F7658B">
        <w:tc>
          <w:tcPr>
            <w:tcW w:w="2970" w:type="dxa"/>
          </w:tcPr>
          <w:p w14:paraId="1EEDD051" w14:textId="316E4D2B" w:rsidR="00D05514" w:rsidRDefault="00D05514" w:rsidP="00F7658B">
            <w:pPr>
              <w:rPr>
                <w:rFonts w:ascii="Times New Roman" w:hAnsi="Times New Roman" w:cs="Times New Roman"/>
              </w:rPr>
            </w:pPr>
            <w:r>
              <w:rPr>
                <w:rFonts w:ascii="Times New Roman" w:hAnsi="Times New Roman" w:cs="Times New Roman"/>
              </w:rPr>
              <w:t>Reproductive season</w:t>
            </w:r>
          </w:p>
        </w:tc>
        <w:tc>
          <w:tcPr>
            <w:tcW w:w="2783" w:type="dxa"/>
          </w:tcPr>
          <w:p w14:paraId="245D75AA" w14:textId="6F9347FB" w:rsidR="00D05514" w:rsidRDefault="00D05514" w:rsidP="00F7658B">
            <w:pPr>
              <w:rPr>
                <w:rFonts w:ascii="Times New Roman" w:hAnsi="Times New Roman" w:cs="Times New Roman"/>
              </w:rPr>
            </w:pPr>
            <w:r>
              <w:rPr>
                <w:rFonts w:ascii="Times New Roman" w:hAnsi="Times New Roman" w:cs="Times New Roman"/>
              </w:rPr>
              <w:t>Amphibian</w:t>
            </w:r>
          </w:p>
        </w:tc>
        <w:tc>
          <w:tcPr>
            <w:tcW w:w="2877" w:type="dxa"/>
          </w:tcPr>
          <w:p w14:paraId="3077C41D" w14:textId="003D4E77" w:rsidR="00D05514" w:rsidRDefault="00D05514" w:rsidP="00F7658B">
            <w:pPr>
              <w:rPr>
                <w:rFonts w:ascii="Times New Roman" w:hAnsi="Times New Roman" w:cs="Times New Roman"/>
              </w:rPr>
            </w:pPr>
            <w:r>
              <w:rPr>
                <w:rFonts w:ascii="Times New Roman" w:hAnsi="Times New Roman" w:cs="Times New Roman"/>
              </w:rPr>
              <w:t>Breeding, calling</w:t>
            </w:r>
          </w:p>
        </w:tc>
      </w:tr>
      <w:tr w:rsidR="00D05514" w14:paraId="4BCF0D1F" w14:textId="77777777" w:rsidTr="00F7658B">
        <w:tc>
          <w:tcPr>
            <w:tcW w:w="2970" w:type="dxa"/>
          </w:tcPr>
          <w:p w14:paraId="32836E0F" w14:textId="77777777" w:rsidR="00D05514" w:rsidRDefault="00D05514" w:rsidP="00F7658B">
            <w:pPr>
              <w:rPr>
                <w:rFonts w:ascii="Times New Roman" w:hAnsi="Times New Roman" w:cs="Times New Roman"/>
              </w:rPr>
            </w:pPr>
          </w:p>
        </w:tc>
        <w:tc>
          <w:tcPr>
            <w:tcW w:w="2783" w:type="dxa"/>
          </w:tcPr>
          <w:p w14:paraId="7721FE0D" w14:textId="4AF7DC75" w:rsidR="00D05514" w:rsidRDefault="00D05514" w:rsidP="00F7658B">
            <w:pPr>
              <w:rPr>
                <w:rFonts w:ascii="Times New Roman" w:hAnsi="Times New Roman" w:cs="Times New Roman"/>
              </w:rPr>
            </w:pPr>
            <w:r>
              <w:rPr>
                <w:rFonts w:ascii="Times New Roman" w:hAnsi="Times New Roman" w:cs="Times New Roman"/>
              </w:rPr>
              <w:t>Amphibian, macroinvertebrate</w:t>
            </w:r>
          </w:p>
        </w:tc>
        <w:tc>
          <w:tcPr>
            <w:tcW w:w="2877" w:type="dxa"/>
          </w:tcPr>
          <w:p w14:paraId="6E1C394C" w14:textId="21D15B4F" w:rsidR="00D05514" w:rsidRDefault="00D05514" w:rsidP="00F7658B">
            <w:pPr>
              <w:rPr>
                <w:rFonts w:ascii="Times New Roman" w:hAnsi="Times New Roman" w:cs="Times New Roman"/>
              </w:rPr>
            </w:pPr>
            <w:r>
              <w:rPr>
                <w:rFonts w:ascii="Times New Roman" w:hAnsi="Times New Roman" w:cs="Times New Roman"/>
              </w:rPr>
              <w:t>Oviposition</w:t>
            </w:r>
          </w:p>
        </w:tc>
      </w:tr>
      <w:tr w:rsidR="00D05514" w14:paraId="52AC5326" w14:textId="77777777" w:rsidTr="00F7658B">
        <w:tc>
          <w:tcPr>
            <w:tcW w:w="2970" w:type="dxa"/>
          </w:tcPr>
          <w:p w14:paraId="6137497B" w14:textId="77777777" w:rsidR="00D05514" w:rsidRDefault="00D05514" w:rsidP="00F7658B">
            <w:pPr>
              <w:rPr>
                <w:rFonts w:ascii="Times New Roman" w:hAnsi="Times New Roman" w:cs="Times New Roman"/>
              </w:rPr>
            </w:pPr>
          </w:p>
        </w:tc>
        <w:tc>
          <w:tcPr>
            <w:tcW w:w="2783" w:type="dxa"/>
          </w:tcPr>
          <w:p w14:paraId="210AF11E" w14:textId="77A8AFA6" w:rsidR="00D05514" w:rsidRDefault="00D05514" w:rsidP="00F7658B">
            <w:pPr>
              <w:rPr>
                <w:rFonts w:ascii="Times New Roman" w:hAnsi="Times New Roman" w:cs="Times New Roman"/>
              </w:rPr>
            </w:pPr>
            <w:r>
              <w:rPr>
                <w:rFonts w:ascii="Times New Roman" w:hAnsi="Times New Roman" w:cs="Times New Roman"/>
              </w:rPr>
              <w:t>Crustaceans and mollusks</w:t>
            </w:r>
          </w:p>
        </w:tc>
        <w:tc>
          <w:tcPr>
            <w:tcW w:w="2877" w:type="dxa"/>
          </w:tcPr>
          <w:p w14:paraId="3BD0C1EC" w14:textId="1D677E39" w:rsidR="00D05514" w:rsidRDefault="00D05514" w:rsidP="00F7658B">
            <w:pPr>
              <w:rPr>
                <w:rFonts w:ascii="Times New Roman" w:hAnsi="Times New Roman" w:cs="Times New Roman"/>
              </w:rPr>
            </w:pPr>
            <w:r>
              <w:rPr>
                <w:rFonts w:ascii="Times New Roman" w:hAnsi="Times New Roman" w:cs="Times New Roman"/>
              </w:rPr>
              <w:t>Brooding, spawning</w:t>
            </w:r>
          </w:p>
        </w:tc>
      </w:tr>
      <w:tr w:rsidR="00D05514" w14:paraId="1AFC83B4" w14:textId="77777777" w:rsidTr="00F7658B">
        <w:tc>
          <w:tcPr>
            <w:tcW w:w="2970" w:type="dxa"/>
          </w:tcPr>
          <w:p w14:paraId="37FEBF88" w14:textId="77777777" w:rsidR="00D05514" w:rsidRDefault="00D05514" w:rsidP="00F7658B">
            <w:pPr>
              <w:rPr>
                <w:rFonts w:ascii="Times New Roman" w:hAnsi="Times New Roman" w:cs="Times New Roman"/>
              </w:rPr>
            </w:pPr>
          </w:p>
        </w:tc>
        <w:tc>
          <w:tcPr>
            <w:tcW w:w="2783" w:type="dxa"/>
          </w:tcPr>
          <w:p w14:paraId="43069F5F" w14:textId="2662218E" w:rsidR="00D05514" w:rsidRDefault="00D05514" w:rsidP="00F7658B">
            <w:pPr>
              <w:rPr>
                <w:rFonts w:ascii="Times New Roman" w:hAnsi="Times New Roman" w:cs="Times New Roman"/>
              </w:rPr>
            </w:pPr>
            <w:r>
              <w:rPr>
                <w:rFonts w:ascii="Times New Roman" w:hAnsi="Times New Roman" w:cs="Times New Roman"/>
              </w:rPr>
              <w:t>Crustaceans and mollusks, fish</w:t>
            </w:r>
          </w:p>
        </w:tc>
        <w:tc>
          <w:tcPr>
            <w:tcW w:w="2877" w:type="dxa"/>
          </w:tcPr>
          <w:p w14:paraId="701CC69E" w14:textId="1DAE1E0E" w:rsidR="00D05514" w:rsidRDefault="00D05514" w:rsidP="00F7658B">
            <w:pPr>
              <w:rPr>
                <w:rFonts w:ascii="Times New Roman" w:hAnsi="Times New Roman" w:cs="Times New Roman"/>
              </w:rPr>
            </w:pPr>
            <w:r>
              <w:rPr>
                <w:rFonts w:ascii="Times New Roman" w:hAnsi="Times New Roman" w:cs="Times New Roman"/>
              </w:rPr>
              <w:t>Gonadosomatic Index (GSI)</w:t>
            </w:r>
          </w:p>
        </w:tc>
      </w:tr>
      <w:tr w:rsidR="00D05514" w14:paraId="38FDEEB7" w14:textId="77777777" w:rsidTr="00F7658B">
        <w:tc>
          <w:tcPr>
            <w:tcW w:w="2970" w:type="dxa"/>
          </w:tcPr>
          <w:p w14:paraId="64553DDF" w14:textId="77777777" w:rsidR="00D05514" w:rsidRDefault="00D05514" w:rsidP="00F7658B">
            <w:pPr>
              <w:rPr>
                <w:rFonts w:ascii="Times New Roman" w:hAnsi="Times New Roman" w:cs="Times New Roman"/>
              </w:rPr>
            </w:pPr>
          </w:p>
        </w:tc>
        <w:tc>
          <w:tcPr>
            <w:tcW w:w="2783" w:type="dxa"/>
          </w:tcPr>
          <w:p w14:paraId="353377AB" w14:textId="3BC3ADEB" w:rsidR="00D05514" w:rsidRDefault="00D05514" w:rsidP="00F7658B">
            <w:pPr>
              <w:rPr>
                <w:rFonts w:ascii="Times New Roman" w:hAnsi="Times New Roman" w:cs="Times New Roman"/>
              </w:rPr>
            </w:pPr>
            <w:r>
              <w:rPr>
                <w:rFonts w:ascii="Times New Roman" w:hAnsi="Times New Roman" w:cs="Times New Roman"/>
              </w:rPr>
              <w:t>Fish</w:t>
            </w:r>
          </w:p>
        </w:tc>
        <w:tc>
          <w:tcPr>
            <w:tcW w:w="2877" w:type="dxa"/>
          </w:tcPr>
          <w:p w14:paraId="1282A4EE" w14:textId="5CF3D800" w:rsidR="00D05514" w:rsidRDefault="00D05514" w:rsidP="00F7658B">
            <w:pPr>
              <w:rPr>
                <w:rFonts w:ascii="Times New Roman" w:hAnsi="Times New Roman" w:cs="Times New Roman"/>
              </w:rPr>
            </w:pPr>
            <w:r>
              <w:rPr>
                <w:rFonts w:ascii="Times New Roman" w:hAnsi="Times New Roman" w:cs="Times New Roman"/>
              </w:rPr>
              <w:t>Spawning</w:t>
            </w:r>
          </w:p>
        </w:tc>
      </w:tr>
      <w:tr w:rsidR="00D05514" w14:paraId="6CFA423B" w14:textId="77777777" w:rsidTr="00F7658B">
        <w:tc>
          <w:tcPr>
            <w:tcW w:w="2970" w:type="dxa"/>
            <w:tcBorders>
              <w:bottom w:val="single" w:sz="4" w:space="0" w:color="auto"/>
            </w:tcBorders>
          </w:tcPr>
          <w:p w14:paraId="00BBBB6D" w14:textId="77777777" w:rsidR="00D05514" w:rsidRDefault="00D05514" w:rsidP="00F7658B">
            <w:pPr>
              <w:rPr>
                <w:rFonts w:ascii="Times New Roman" w:hAnsi="Times New Roman" w:cs="Times New Roman"/>
              </w:rPr>
            </w:pPr>
          </w:p>
        </w:tc>
        <w:tc>
          <w:tcPr>
            <w:tcW w:w="2783" w:type="dxa"/>
            <w:tcBorders>
              <w:bottom w:val="single" w:sz="4" w:space="0" w:color="auto"/>
            </w:tcBorders>
          </w:tcPr>
          <w:p w14:paraId="3D11E903" w14:textId="11B26AB8" w:rsidR="00D05514" w:rsidRDefault="00D05514" w:rsidP="00F7658B">
            <w:pPr>
              <w:rPr>
                <w:rFonts w:ascii="Times New Roman" w:hAnsi="Times New Roman" w:cs="Times New Roman"/>
              </w:rPr>
            </w:pPr>
            <w:r>
              <w:rPr>
                <w:rFonts w:ascii="Times New Roman" w:hAnsi="Times New Roman" w:cs="Times New Roman"/>
              </w:rPr>
              <w:t>Reptiles, Waterfowl</w:t>
            </w:r>
          </w:p>
        </w:tc>
        <w:tc>
          <w:tcPr>
            <w:tcW w:w="2877" w:type="dxa"/>
            <w:tcBorders>
              <w:bottom w:val="single" w:sz="4" w:space="0" w:color="auto"/>
            </w:tcBorders>
          </w:tcPr>
          <w:p w14:paraId="7324FC91" w14:textId="04B4CBD8" w:rsidR="00D05514" w:rsidRDefault="00D05514" w:rsidP="00F7658B">
            <w:pPr>
              <w:rPr>
                <w:rFonts w:ascii="Times New Roman" w:hAnsi="Times New Roman" w:cs="Times New Roman"/>
              </w:rPr>
            </w:pPr>
            <w:r>
              <w:rPr>
                <w:rFonts w:ascii="Times New Roman" w:hAnsi="Times New Roman" w:cs="Times New Roman"/>
              </w:rPr>
              <w:t>Breeding, nesting</w:t>
            </w:r>
          </w:p>
        </w:tc>
      </w:tr>
    </w:tbl>
    <w:p w14:paraId="0A004ED3" w14:textId="77777777" w:rsidR="00961C61" w:rsidRDefault="00961C61">
      <w:pPr>
        <w:rPr>
          <w:rFonts w:ascii="Times New Roman" w:hAnsi="Times New Roman" w:cs="Times New Roman"/>
        </w:rPr>
      </w:pPr>
    </w:p>
    <w:p w14:paraId="56F3AB96" w14:textId="77777777" w:rsidR="00961C61" w:rsidRDefault="00961C61">
      <w:pPr>
        <w:rPr>
          <w:rFonts w:ascii="Times New Roman" w:hAnsi="Times New Roman" w:cs="Times New Roman"/>
        </w:rPr>
      </w:pPr>
      <w:r>
        <w:rPr>
          <w:rFonts w:ascii="Times New Roman" w:hAnsi="Times New Roman" w:cs="Times New Roman"/>
        </w:rPr>
        <w:br w:type="page"/>
      </w:r>
    </w:p>
    <w:p w14:paraId="2774D977" w14:textId="66F9BA44" w:rsidR="00434A73" w:rsidRPr="00C77F57" w:rsidRDefault="0070257C" w:rsidP="00C77F57">
      <w:pPr>
        <w:pStyle w:val="Caption"/>
        <w:jc w:val="both"/>
        <w:rPr>
          <w:rFonts w:ascii="Times New Roman" w:hAnsi="Times New Roman" w:cs="Times New Roman"/>
          <w:b w:val="0"/>
          <w:bCs w:val="0"/>
        </w:rPr>
      </w:pPr>
      <w:bookmarkStart w:id="10" w:name="_Toc93411173"/>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2</w:t>
      </w:r>
      <w:r w:rsidRPr="00DF7C87">
        <w:rPr>
          <w:rFonts w:ascii="Times New Roman" w:hAnsi="Times New Roman" w:cs="Times New Roman"/>
        </w:rPr>
        <w:fldChar w:fldCharType="end"/>
      </w:r>
      <w:r w:rsidR="00961C61" w:rsidRPr="00DF7C87">
        <w:rPr>
          <w:rFonts w:ascii="Times New Roman" w:hAnsi="Times New Roman" w:cs="Times New Roman"/>
        </w:rPr>
        <w:t xml:space="preserve">. </w:t>
      </w:r>
      <w:r w:rsidR="00961C61">
        <w:rPr>
          <w:rFonts w:ascii="Times New Roman" w:hAnsi="Times New Roman" w:cs="Times New Roman"/>
        </w:rPr>
        <w:t xml:space="preserve">Environmental cues recorded in our review. </w:t>
      </w:r>
      <w:r w:rsidR="00961C61" w:rsidRPr="00961C61">
        <w:rPr>
          <w:rFonts w:ascii="Times New Roman" w:hAnsi="Times New Roman" w:cs="Times New Roman"/>
          <w:b w:val="0"/>
          <w:bCs w:val="0"/>
        </w:rPr>
        <w:t>For each cue, we provide a description, as well as examples of variables measured in studies which would be classified as the respective environmental cues</w:t>
      </w:r>
      <w:r w:rsidR="00961C61">
        <w:rPr>
          <w:rFonts w:ascii="Times New Roman" w:hAnsi="Times New Roman" w:cs="Times New Roman"/>
          <w:b w:val="0"/>
          <w:bCs w:val="0"/>
        </w:rPr>
        <w:t>.</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2F78E0" w14:paraId="0C917C86" w14:textId="77777777" w:rsidTr="002F78E0">
        <w:tc>
          <w:tcPr>
            <w:tcW w:w="2876" w:type="dxa"/>
            <w:tcBorders>
              <w:top w:val="single" w:sz="4" w:space="0" w:color="auto"/>
              <w:bottom w:val="single" w:sz="4" w:space="0" w:color="auto"/>
            </w:tcBorders>
          </w:tcPr>
          <w:p w14:paraId="236E6F02" w14:textId="1433FB5D" w:rsidR="002F78E0" w:rsidRDefault="002F78E0" w:rsidP="002F78E0">
            <w:r>
              <w:rPr>
                <w:rFonts w:ascii="Times New Roman" w:hAnsi="Times New Roman" w:cs="Times New Roman"/>
                <w:b/>
              </w:rPr>
              <w:t>Environmental cue</w:t>
            </w:r>
          </w:p>
        </w:tc>
        <w:tc>
          <w:tcPr>
            <w:tcW w:w="2877" w:type="dxa"/>
            <w:tcBorders>
              <w:top w:val="single" w:sz="4" w:space="0" w:color="auto"/>
              <w:bottom w:val="single" w:sz="4" w:space="0" w:color="auto"/>
            </w:tcBorders>
          </w:tcPr>
          <w:p w14:paraId="5EA55E4A" w14:textId="293ED110" w:rsidR="002F78E0" w:rsidRDefault="002F78E0" w:rsidP="002F78E0">
            <w:r>
              <w:rPr>
                <w:rFonts w:ascii="Times New Roman" w:hAnsi="Times New Roman" w:cs="Times New Roman"/>
                <w:b/>
              </w:rPr>
              <w:t>Description</w:t>
            </w:r>
          </w:p>
        </w:tc>
        <w:tc>
          <w:tcPr>
            <w:tcW w:w="2877" w:type="dxa"/>
            <w:tcBorders>
              <w:top w:val="single" w:sz="4" w:space="0" w:color="auto"/>
              <w:bottom w:val="single" w:sz="4" w:space="0" w:color="auto"/>
            </w:tcBorders>
          </w:tcPr>
          <w:p w14:paraId="091F306D" w14:textId="69E72814" w:rsidR="002F78E0" w:rsidRDefault="002F78E0" w:rsidP="002F78E0">
            <w:r>
              <w:rPr>
                <w:rFonts w:ascii="Times New Roman" w:hAnsi="Times New Roman" w:cs="Times New Roman"/>
                <w:b/>
              </w:rPr>
              <w:t>Variables</w:t>
            </w:r>
          </w:p>
        </w:tc>
      </w:tr>
      <w:tr w:rsidR="002F78E0" w14:paraId="0F957F30" w14:textId="77777777" w:rsidTr="002F78E0">
        <w:tc>
          <w:tcPr>
            <w:tcW w:w="2876" w:type="dxa"/>
            <w:tcBorders>
              <w:top w:val="single" w:sz="4" w:space="0" w:color="auto"/>
            </w:tcBorders>
          </w:tcPr>
          <w:p w14:paraId="4462D9A0" w14:textId="63F97C3A" w:rsidR="002F78E0" w:rsidRDefault="002F78E0" w:rsidP="002F78E0">
            <w:r>
              <w:rPr>
                <w:rFonts w:ascii="Times New Roman" w:hAnsi="Times New Roman" w:cs="Times New Roman"/>
              </w:rPr>
              <w:t>Biotic</w:t>
            </w:r>
          </w:p>
        </w:tc>
        <w:tc>
          <w:tcPr>
            <w:tcW w:w="2877" w:type="dxa"/>
            <w:tcBorders>
              <w:top w:val="single" w:sz="4" w:space="0" w:color="auto"/>
            </w:tcBorders>
          </w:tcPr>
          <w:p w14:paraId="1F43AAC4" w14:textId="751FABA9" w:rsidR="002F78E0" w:rsidRDefault="002F78E0" w:rsidP="002F78E0">
            <w:r>
              <w:rPr>
                <w:rFonts w:ascii="Times New Roman" w:hAnsi="Times New Roman" w:cs="Times New Roman"/>
              </w:rPr>
              <w:t>Factors related to the presence of or interactions with other conspecific or heterospecific organisms influence phenology events</w:t>
            </w:r>
          </w:p>
        </w:tc>
        <w:tc>
          <w:tcPr>
            <w:tcW w:w="2877" w:type="dxa"/>
            <w:tcBorders>
              <w:top w:val="single" w:sz="4" w:space="0" w:color="auto"/>
            </w:tcBorders>
          </w:tcPr>
          <w:p w14:paraId="01FADA4D" w14:textId="5B09767E" w:rsidR="002F78E0" w:rsidRDefault="002F78E0" w:rsidP="002F78E0">
            <w:r>
              <w:rPr>
                <w:rFonts w:ascii="Times New Roman" w:hAnsi="Times New Roman" w:cs="Times New Roman"/>
              </w:rPr>
              <w:t>Density dependence, predation pressure, competition</w:t>
            </w:r>
          </w:p>
        </w:tc>
      </w:tr>
      <w:tr w:rsidR="002F78E0" w14:paraId="1772F840" w14:textId="77777777" w:rsidTr="002F78E0">
        <w:tc>
          <w:tcPr>
            <w:tcW w:w="2876" w:type="dxa"/>
          </w:tcPr>
          <w:p w14:paraId="753D054A" w14:textId="1513A29B" w:rsidR="002F78E0" w:rsidRDefault="002F78E0" w:rsidP="002F78E0">
            <w:r>
              <w:rPr>
                <w:rFonts w:ascii="Times New Roman" w:hAnsi="Times New Roman" w:cs="Times New Roman"/>
              </w:rPr>
              <w:t>Degree days</w:t>
            </w:r>
          </w:p>
        </w:tc>
        <w:tc>
          <w:tcPr>
            <w:tcW w:w="2877" w:type="dxa"/>
          </w:tcPr>
          <w:p w14:paraId="4100E936" w14:textId="2D51DE30" w:rsidR="002F78E0" w:rsidRDefault="002F78E0" w:rsidP="002F78E0">
            <w:r>
              <w:rPr>
                <w:rFonts w:ascii="Times New Roman" w:hAnsi="Times New Roman" w:cs="Times New Roman"/>
              </w:rPr>
              <w:t xml:space="preserve">Phenology events require an accumulated number of days above a thermal threshold </w:t>
            </w:r>
          </w:p>
        </w:tc>
        <w:tc>
          <w:tcPr>
            <w:tcW w:w="2877" w:type="dxa"/>
          </w:tcPr>
          <w:p w14:paraId="5AFF83DF" w14:textId="38C5B506" w:rsidR="002F78E0" w:rsidRDefault="002F78E0" w:rsidP="002F78E0">
            <w:r>
              <w:rPr>
                <w:rFonts w:ascii="Times New Roman" w:hAnsi="Times New Roman" w:cs="Times New Roman"/>
              </w:rPr>
              <w:t>Growing degree days, degree days, accumulated thermal units</w:t>
            </w:r>
          </w:p>
        </w:tc>
      </w:tr>
      <w:tr w:rsidR="002F78E0" w14:paraId="23ED5A87" w14:textId="77777777" w:rsidTr="002F78E0">
        <w:tc>
          <w:tcPr>
            <w:tcW w:w="2876" w:type="dxa"/>
          </w:tcPr>
          <w:p w14:paraId="30AA7ADB" w14:textId="13BE7C00" w:rsidR="002F78E0" w:rsidRDefault="002F78E0" w:rsidP="002F78E0">
            <w:r>
              <w:rPr>
                <w:rFonts w:ascii="Times New Roman" w:hAnsi="Times New Roman" w:cs="Times New Roman"/>
              </w:rPr>
              <w:t>Elevation</w:t>
            </w:r>
          </w:p>
        </w:tc>
        <w:tc>
          <w:tcPr>
            <w:tcW w:w="2877" w:type="dxa"/>
          </w:tcPr>
          <w:p w14:paraId="1737E19A" w14:textId="0DA7D728" w:rsidR="002F78E0" w:rsidRDefault="002F78E0" w:rsidP="002F78E0">
            <w:r>
              <w:rPr>
                <w:rFonts w:ascii="Times New Roman" w:hAnsi="Times New Roman" w:cs="Times New Roman"/>
              </w:rPr>
              <w:t>Phenology events differ in timing due to the elevation at which they occur</w:t>
            </w:r>
          </w:p>
        </w:tc>
        <w:tc>
          <w:tcPr>
            <w:tcW w:w="2877" w:type="dxa"/>
          </w:tcPr>
          <w:p w14:paraId="55D693B5" w14:textId="7AF5D41F" w:rsidR="002F78E0" w:rsidRDefault="002F78E0" w:rsidP="002F78E0">
            <w:r>
              <w:rPr>
                <w:rFonts w:ascii="Times New Roman" w:hAnsi="Times New Roman" w:cs="Times New Roman"/>
              </w:rPr>
              <w:t>Elevation</w:t>
            </w:r>
          </w:p>
        </w:tc>
      </w:tr>
      <w:tr w:rsidR="002F78E0" w14:paraId="7D192DF9" w14:textId="77777777" w:rsidTr="002F78E0">
        <w:tc>
          <w:tcPr>
            <w:tcW w:w="2876" w:type="dxa"/>
          </w:tcPr>
          <w:p w14:paraId="63B6A35D" w14:textId="43D7AB1D" w:rsidR="002F78E0" w:rsidRDefault="002F78E0" w:rsidP="002F78E0">
            <w:r>
              <w:rPr>
                <w:rFonts w:ascii="Times New Roman" w:hAnsi="Times New Roman" w:cs="Times New Roman"/>
              </w:rPr>
              <w:t>Hydrology</w:t>
            </w:r>
          </w:p>
        </w:tc>
        <w:tc>
          <w:tcPr>
            <w:tcW w:w="2877" w:type="dxa"/>
          </w:tcPr>
          <w:p w14:paraId="70A61B12" w14:textId="43CC4922" w:rsidR="002F78E0" w:rsidRDefault="002F78E0" w:rsidP="002F78E0">
            <w:r>
              <w:rPr>
                <w:rFonts w:ascii="Times New Roman" w:hAnsi="Times New Roman" w:cs="Times New Roman"/>
              </w:rPr>
              <w:t>Phenology events require a stimulus related to an aspect of the hydrologic regime</w:t>
            </w:r>
          </w:p>
        </w:tc>
        <w:tc>
          <w:tcPr>
            <w:tcW w:w="2877" w:type="dxa"/>
          </w:tcPr>
          <w:p w14:paraId="2F697E25" w14:textId="0F1E6FC7" w:rsidR="002F78E0" w:rsidRDefault="002F78E0" w:rsidP="002F78E0">
            <w:r>
              <w:rPr>
                <w:rFonts w:ascii="Times New Roman" w:hAnsi="Times New Roman" w:cs="Times New Roman"/>
              </w:rPr>
              <w:t>Discharge, streamflow, drought, flooding, water levels</w:t>
            </w:r>
          </w:p>
        </w:tc>
      </w:tr>
      <w:tr w:rsidR="002F78E0" w14:paraId="7A75B98A" w14:textId="77777777" w:rsidTr="002F78E0">
        <w:tc>
          <w:tcPr>
            <w:tcW w:w="2876" w:type="dxa"/>
          </w:tcPr>
          <w:p w14:paraId="4A05B62C" w14:textId="1DB2D147" w:rsidR="002F78E0" w:rsidRDefault="002F78E0" w:rsidP="002F78E0">
            <w:r>
              <w:rPr>
                <w:rFonts w:ascii="Times New Roman" w:hAnsi="Times New Roman" w:cs="Times New Roman"/>
              </w:rPr>
              <w:t>Latitude</w:t>
            </w:r>
          </w:p>
        </w:tc>
        <w:tc>
          <w:tcPr>
            <w:tcW w:w="2877" w:type="dxa"/>
          </w:tcPr>
          <w:p w14:paraId="582A949E" w14:textId="70135C2B" w:rsidR="002F78E0" w:rsidRDefault="002F78E0" w:rsidP="002F78E0">
            <w:r>
              <w:rPr>
                <w:rFonts w:ascii="Times New Roman" w:hAnsi="Times New Roman" w:cs="Times New Roman"/>
              </w:rPr>
              <w:t>Phenology events differ in timing due to the latitude at which they occur</w:t>
            </w:r>
          </w:p>
        </w:tc>
        <w:tc>
          <w:tcPr>
            <w:tcW w:w="2877" w:type="dxa"/>
          </w:tcPr>
          <w:p w14:paraId="74945B0B" w14:textId="31C3D37C" w:rsidR="002F78E0" w:rsidRDefault="002F78E0" w:rsidP="002F78E0">
            <w:r>
              <w:rPr>
                <w:rFonts w:ascii="Times New Roman" w:hAnsi="Times New Roman" w:cs="Times New Roman"/>
              </w:rPr>
              <w:t>Latitude</w:t>
            </w:r>
          </w:p>
        </w:tc>
      </w:tr>
      <w:tr w:rsidR="002F78E0" w14:paraId="703847D4" w14:textId="77777777" w:rsidTr="002F78E0">
        <w:tc>
          <w:tcPr>
            <w:tcW w:w="2876" w:type="dxa"/>
          </w:tcPr>
          <w:p w14:paraId="115BEFC7" w14:textId="40950B3F" w:rsidR="002F78E0" w:rsidRDefault="002F78E0" w:rsidP="002F78E0">
            <w:r>
              <w:rPr>
                <w:rFonts w:ascii="Times New Roman" w:hAnsi="Times New Roman" w:cs="Times New Roman"/>
              </w:rPr>
              <w:t>Photoperiod</w:t>
            </w:r>
          </w:p>
        </w:tc>
        <w:tc>
          <w:tcPr>
            <w:tcW w:w="2877" w:type="dxa"/>
          </w:tcPr>
          <w:p w14:paraId="0F0A5686" w14:textId="30DD4981" w:rsidR="002F78E0" w:rsidRDefault="002F78E0" w:rsidP="002F78E0">
            <w:r>
              <w:rPr>
                <w:rFonts w:ascii="Times New Roman" w:hAnsi="Times New Roman" w:cs="Times New Roman"/>
              </w:rPr>
              <w:t>Phenology events require a stimulus related to day length</w:t>
            </w:r>
          </w:p>
        </w:tc>
        <w:tc>
          <w:tcPr>
            <w:tcW w:w="2877" w:type="dxa"/>
          </w:tcPr>
          <w:p w14:paraId="1AA6131F" w14:textId="345996A2" w:rsidR="002F78E0" w:rsidRDefault="002F78E0" w:rsidP="002F78E0">
            <w:r>
              <w:rPr>
                <w:rFonts w:ascii="Times New Roman" w:hAnsi="Times New Roman" w:cs="Times New Roman"/>
              </w:rPr>
              <w:t>Day length, lunar phases</w:t>
            </w:r>
          </w:p>
        </w:tc>
      </w:tr>
      <w:tr w:rsidR="002F78E0" w14:paraId="166D12A2" w14:textId="77777777" w:rsidTr="002F78E0">
        <w:tc>
          <w:tcPr>
            <w:tcW w:w="2876" w:type="dxa"/>
          </w:tcPr>
          <w:p w14:paraId="3A28795E" w14:textId="6BF4843D" w:rsidR="002F78E0" w:rsidRDefault="002F78E0" w:rsidP="002F78E0">
            <w:r>
              <w:rPr>
                <w:rFonts w:ascii="Times New Roman" w:hAnsi="Times New Roman" w:cs="Times New Roman"/>
              </w:rPr>
              <w:t>Precipitation</w:t>
            </w:r>
          </w:p>
        </w:tc>
        <w:tc>
          <w:tcPr>
            <w:tcW w:w="2877" w:type="dxa"/>
          </w:tcPr>
          <w:p w14:paraId="3DC4CD9C" w14:textId="1E820BA1" w:rsidR="002F78E0" w:rsidRDefault="002F78E0" w:rsidP="002F78E0">
            <w:r>
              <w:rPr>
                <w:rFonts w:ascii="Times New Roman" w:hAnsi="Times New Roman" w:cs="Times New Roman"/>
              </w:rPr>
              <w:t>Rainfall triggers phenology event (without reference to hydrology)</w:t>
            </w:r>
          </w:p>
        </w:tc>
        <w:tc>
          <w:tcPr>
            <w:tcW w:w="2877" w:type="dxa"/>
          </w:tcPr>
          <w:p w14:paraId="4210B7EF" w14:textId="7E04CF84" w:rsidR="002F78E0" w:rsidRDefault="002F78E0" w:rsidP="002F78E0">
            <w:r>
              <w:rPr>
                <w:rFonts w:ascii="Times New Roman" w:hAnsi="Times New Roman" w:cs="Times New Roman"/>
              </w:rPr>
              <w:t xml:space="preserve">Precipitation </w:t>
            </w:r>
          </w:p>
        </w:tc>
      </w:tr>
      <w:tr w:rsidR="002F78E0" w14:paraId="4044A4A2" w14:textId="77777777" w:rsidTr="002F78E0">
        <w:tc>
          <w:tcPr>
            <w:tcW w:w="2876" w:type="dxa"/>
          </w:tcPr>
          <w:p w14:paraId="71709D47" w14:textId="1999E55B" w:rsidR="002F78E0" w:rsidRDefault="002F78E0" w:rsidP="002F78E0">
            <w:r>
              <w:rPr>
                <w:rFonts w:ascii="Times New Roman" w:hAnsi="Times New Roman" w:cs="Times New Roman"/>
              </w:rPr>
              <w:t>Resources</w:t>
            </w:r>
          </w:p>
        </w:tc>
        <w:tc>
          <w:tcPr>
            <w:tcW w:w="2877" w:type="dxa"/>
          </w:tcPr>
          <w:p w14:paraId="084E9120" w14:textId="400084D6" w:rsidR="002F78E0" w:rsidRDefault="002F78E0" w:rsidP="002F78E0">
            <w:r>
              <w:rPr>
                <w:rFonts w:ascii="Times New Roman" w:hAnsi="Times New Roman" w:cs="Times New Roman"/>
              </w:rPr>
              <w:t>The presence or abundance of abiotic or biotic resources can stimulate phenology events</w:t>
            </w:r>
          </w:p>
        </w:tc>
        <w:tc>
          <w:tcPr>
            <w:tcW w:w="2877" w:type="dxa"/>
          </w:tcPr>
          <w:p w14:paraId="4922347E" w14:textId="6EF4E918" w:rsidR="002F78E0" w:rsidRDefault="002F78E0" w:rsidP="002F78E0">
            <w:r>
              <w:rPr>
                <w:rFonts w:ascii="Times New Roman" w:hAnsi="Times New Roman" w:cs="Times New Roman"/>
              </w:rPr>
              <w:t>Allochthonous input, autochthonous production, nutrients, prey</w:t>
            </w:r>
          </w:p>
        </w:tc>
      </w:tr>
      <w:tr w:rsidR="002F78E0" w14:paraId="6ACB26AB" w14:textId="77777777" w:rsidTr="002F78E0">
        <w:tc>
          <w:tcPr>
            <w:tcW w:w="2876" w:type="dxa"/>
            <w:tcBorders>
              <w:bottom w:val="single" w:sz="4" w:space="0" w:color="auto"/>
            </w:tcBorders>
          </w:tcPr>
          <w:p w14:paraId="246CB30B" w14:textId="449F3860" w:rsidR="002F78E0" w:rsidRDefault="002F78E0" w:rsidP="002F78E0">
            <w:r>
              <w:rPr>
                <w:rFonts w:ascii="Times New Roman" w:hAnsi="Times New Roman" w:cs="Times New Roman"/>
              </w:rPr>
              <w:t>Temperature</w:t>
            </w:r>
          </w:p>
        </w:tc>
        <w:tc>
          <w:tcPr>
            <w:tcW w:w="2877" w:type="dxa"/>
            <w:tcBorders>
              <w:bottom w:val="single" w:sz="4" w:space="0" w:color="auto"/>
            </w:tcBorders>
          </w:tcPr>
          <w:p w14:paraId="791D7ED1" w14:textId="2B42A20E" w:rsidR="002F78E0" w:rsidRDefault="002F78E0" w:rsidP="002F78E0">
            <w:r>
              <w:rPr>
                <w:rFonts w:ascii="Times New Roman" w:hAnsi="Times New Roman" w:cs="Times New Roman"/>
              </w:rPr>
              <w:t>Factors related to environmental temperature can stimulate phenology</w:t>
            </w:r>
          </w:p>
        </w:tc>
        <w:tc>
          <w:tcPr>
            <w:tcW w:w="2877" w:type="dxa"/>
            <w:tcBorders>
              <w:bottom w:val="single" w:sz="4" w:space="0" w:color="auto"/>
            </w:tcBorders>
          </w:tcPr>
          <w:p w14:paraId="7B96FF40" w14:textId="364FAB22" w:rsidR="002F78E0" w:rsidRDefault="002F78E0" w:rsidP="002F78E0">
            <w:r>
              <w:rPr>
                <w:rFonts w:ascii="Times New Roman" w:hAnsi="Times New Roman" w:cs="Times New Roman"/>
              </w:rPr>
              <w:t xml:space="preserve">Water temperature, air temperature, temperature variation, ice-off </w:t>
            </w:r>
          </w:p>
        </w:tc>
      </w:tr>
    </w:tbl>
    <w:p w14:paraId="341039C0" w14:textId="77777777" w:rsidR="002F78E0" w:rsidRPr="002F78E0" w:rsidRDefault="002F78E0" w:rsidP="002F78E0"/>
    <w:p w14:paraId="0755CF86" w14:textId="77777777" w:rsidR="00D80B25" w:rsidRDefault="00D80B25">
      <w:pPr>
        <w:rPr>
          <w:rFonts w:ascii="Times New Roman" w:hAnsi="Times New Roman" w:cs="Times New Roman"/>
        </w:rPr>
      </w:pPr>
      <w:r>
        <w:rPr>
          <w:rFonts w:ascii="Times New Roman" w:hAnsi="Times New Roman" w:cs="Times New Roman"/>
        </w:rPr>
        <w:br w:type="page"/>
      </w:r>
    </w:p>
    <w:p w14:paraId="272B6ED8" w14:textId="156BB439" w:rsidR="00434A73" w:rsidRPr="00C77F57" w:rsidRDefault="0070257C" w:rsidP="00C77F57">
      <w:pPr>
        <w:pStyle w:val="Caption"/>
        <w:jc w:val="both"/>
        <w:rPr>
          <w:rFonts w:ascii="Times New Roman" w:hAnsi="Times New Roman" w:cs="Times New Roman"/>
          <w:b w:val="0"/>
          <w:bCs w:val="0"/>
        </w:rPr>
      </w:pPr>
      <w:bookmarkStart w:id="11" w:name="_Toc93411174"/>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3</w:t>
      </w:r>
      <w:r w:rsidRPr="00DF7C87">
        <w:rPr>
          <w:rFonts w:ascii="Times New Roman" w:hAnsi="Times New Roman" w:cs="Times New Roman"/>
        </w:rPr>
        <w:fldChar w:fldCharType="end"/>
      </w:r>
      <w:r>
        <w:rPr>
          <w:rFonts w:ascii="Times New Roman" w:hAnsi="Times New Roman" w:cs="Times New Roman"/>
        </w:rPr>
        <w:t xml:space="preserve">. </w:t>
      </w:r>
      <w:r w:rsidR="00D80B25">
        <w:rPr>
          <w:rFonts w:ascii="Times New Roman" w:hAnsi="Times New Roman" w:cs="Times New Roman"/>
        </w:rPr>
        <w:t xml:space="preserve">Intrinsic traits investigated by our review. </w:t>
      </w:r>
      <w:r w:rsidR="00D80B25" w:rsidRPr="00D80B25">
        <w:rPr>
          <w:rFonts w:ascii="Times New Roman" w:hAnsi="Times New Roman" w:cs="Times New Roman"/>
          <w:b w:val="0"/>
          <w:bCs w:val="0"/>
        </w:rPr>
        <w:t>For each trait, we provide a description, and variables that may be reported by studies and classified to a specific trait class.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9F3F9F" w14:paraId="7143CCDB" w14:textId="77777777" w:rsidTr="009F3F9F">
        <w:tc>
          <w:tcPr>
            <w:tcW w:w="2876" w:type="dxa"/>
            <w:tcBorders>
              <w:top w:val="single" w:sz="4" w:space="0" w:color="auto"/>
              <w:bottom w:val="single" w:sz="4" w:space="0" w:color="auto"/>
            </w:tcBorders>
          </w:tcPr>
          <w:p w14:paraId="24039F8E" w14:textId="74F678E9" w:rsidR="009F3F9F" w:rsidRDefault="009F3F9F" w:rsidP="009F3F9F">
            <w:pPr>
              <w:rPr>
                <w:rFonts w:ascii="Times New Roman" w:hAnsi="Times New Roman" w:cs="Times New Roman"/>
              </w:rPr>
            </w:pPr>
            <w:r>
              <w:rPr>
                <w:rFonts w:ascii="Times New Roman" w:hAnsi="Times New Roman" w:cs="Times New Roman"/>
                <w:b/>
              </w:rPr>
              <w:t>Trait</w:t>
            </w:r>
          </w:p>
        </w:tc>
        <w:tc>
          <w:tcPr>
            <w:tcW w:w="2877" w:type="dxa"/>
            <w:tcBorders>
              <w:top w:val="single" w:sz="4" w:space="0" w:color="auto"/>
              <w:bottom w:val="single" w:sz="4" w:space="0" w:color="auto"/>
            </w:tcBorders>
          </w:tcPr>
          <w:p w14:paraId="3A0CDDFB" w14:textId="2E898745" w:rsidR="009F3F9F" w:rsidRDefault="009F3F9F" w:rsidP="009F3F9F">
            <w:pPr>
              <w:rPr>
                <w:rFonts w:ascii="Times New Roman" w:hAnsi="Times New Roman" w:cs="Times New Roman"/>
              </w:rPr>
            </w:pPr>
            <w:r>
              <w:rPr>
                <w:rFonts w:ascii="Times New Roman" w:hAnsi="Times New Roman" w:cs="Times New Roman"/>
                <w:b/>
              </w:rPr>
              <w:t>Description</w:t>
            </w:r>
          </w:p>
        </w:tc>
        <w:tc>
          <w:tcPr>
            <w:tcW w:w="2877" w:type="dxa"/>
            <w:tcBorders>
              <w:top w:val="single" w:sz="4" w:space="0" w:color="auto"/>
              <w:bottom w:val="single" w:sz="4" w:space="0" w:color="auto"/>
            </w:tcBorders>
          </w:tcPr>
          <w:p w14:paraId="1AACC665" w14:textId="6D172905" w:rsidR="009F3F9F" w:rsidRDefault="009F3F9F" w:rsidP="009F3F9F">
            <w:pPr>
              <w:rPr>
                <w:rFonts w:ascii="Times New Roman" w:hAnsi="Times New Roman" w:cs="Times New Roman"/>
              </w:rPr>
            </w:pPr>
            <w:r>
              <w:rPr>
                <w:rFonts w:ascii="Times New Roman" w:hAnsi="Times New Roman" w:cs="Times New Roman"/>
                <w:b/>
              </w:rPr>
              <w:t>Variables</w:t>
            </w:r>
          </w:p>
        </w:tc>
      </w:tr>
      <w:tr w:rsidR="009F3F9F" w14:paraId="5CE32D89" w14:textId="77777777" w:rsidTr="009F3F9F">
        <w:tc>
          <w:tcPr>
            <w:tcW w:w="2876" w:type="dxa"/>
            <w:tcBorders>
              <w:top w:val="single" w:sz="4" w:space="0" w:color="auto"/>
            </w:tcBorders>
          </w:tcPr>
          <w:p w14:paraId="5116E84A" w14:textId="2C8DA58B" w:rsidR="009F3F9F" w:rsidRDefault="009F3F9F" w:rsidP="009F3F9F">
            <w:pPr>
              <w:rPr>
                <w:rFonts w:ascii="Times New Roman" w:hAnsi="Times New Roman" w:cs="Times New Roman"/>
              </w:rPr>
            </w:pPr>
            <w:r>
              <w:rPr>
                <w:rFonts w:ascii="Times New Roman" w:hAnsi="Times New Roman" w:cs="Times New Roman"/>
              </w:rPr>
              <w:t>Ecological specialization</w:t>
            </w:r>
          </w:p>
        </w:tc>
        <w:tc>
          <w:tcPr>
            <w:tcW w:w="2877" w:type="dxa"/>
            <w:tcBorders>
              <w:top w:val="single" w:sz="4" w:space="0" w:color="auto"/>
            </w:tcBorders>
          </w:tcPr>
          <w:p w14:paraId="76DA4D19" w14:textId="5114A1BB" w:rsidR="009F3F9F" w:rsidRDefault="009F3F9F" w:rsidP="009F3F9F">
            <w:pPr>
              <w:rPr>
                <w:rFonts w:ascii="Times New Roman" w:hAnsi="Times New Roman" w:cs="Times New Roman"/>
              </w:rPr>
            </w:pPr>
            <w:r>
              <w:rPr>
                <w:rFonts w:ascii="Times New Roman" w:hAnsi="Times New Roman" w:cs="Times New Roman"/>
              </w:rPr>
              <w:t>Species’ responses to cues differ based on their degree of specialization</w:t>
            </w:r>
          </w:p>
        </w:tc>
        <w:tc>
          <w:tcPr>
            <w:tcW w:w="2877" w:type="dxa"/>
            <w:tcBorders>
              <w:top w:val="single" w:sz="4" w:space="0" w:color="auto"/>
            </w:tcBorders>
          </w:tcPr>
          <w:p w14:paraId="2FCCBFB4" w14:textId="1F8D73C7" w:rsidR="009F3F9F" w:rsidRDefault="009F3F9F" w:rsidP="009F3F9F">
            <w:pPr>
              <w:rPr>
                <w:rFonts w:ascii="Times New Roman" w:hAnsi="Times New Roman" w:cs="Times New Roman"/>
              </w:rPr>
            </w:pPr>
            <w:r>
              <w:rPr>
                <w:rFonts w:ascii="Times New Roman" w:hAnsi="Times New Roman" w:cs="Times New Roman"/>
              </w:rPr>
              <w:t xml:space="preserve">Generalist vs. specialist species; </w:t>
            </w:r>
          </w:p>
        </w:tc>
      </w:tr>
      <w:tr w:rsidR="009F3F9F" w14:paraId="4CA3BB10" w14:textId="77777777" w:rsidTr="009F3F9F">
        <w:tc>
          <w:tcPr>
            <w:tcW w:w="2876" w:type="dxa"/>
          </w:tcPr>
          <w:p w14:paraId="1256D61C" w14:textId="109F61E7" w:rsidR="009F3F9F" w:rsidRDefault="009F3F9F" w:rsidP="009F3F9F">
            <w:pPr>
              <w:rPr>
                <w:rFonts w:ascii="Times New Roman" w:hAnsi="Times New Roman" w:cs="Times New Roman"/>
              </w:rPr>
            </w:pPr>
            <w:r>
              <w:rPr>
                <w:rFonts w:ascii="Times New Roman" w:hAnsi="Times New Roman" w:cs="Times New Roman"/>
              </w:rPr>
              <w:t>Generation time</w:t>
            </w:r>
          </w:p>
        </w:tc>
        <w:tc>
          <w:tcPr>
            <w:tcW w:w="2877" w:type="dxa"/>
          </w:tcPr>
          <w:p w14:paraId="2860B4E2" w14:textId="4D7B8EC5" w:rsidR="009F3F9F" w:rsidRDefault="009F3F9F" w:rsidP="009F3F9F">
            <w:pPr>
              <w:rPr>
                <w:rFonts w:ascii="Times New Roman" w:hAnsi="Times New Roman" w:cs="Times New Roman"/>
              </w:rPr>
            </w:pPr>
            <w:r>
              <w:rPr>
                <w:rFonts w:ascii="Times New Roman" w:hAnsi="Times New Roman" w:cs="Times New Roman"/>
              </w:rPr>
              <w:t xml:space="preserve">Species may differ in responses to cues based on generation time </w:t>
            </w:r>
          </w:p>
        </w:tc>
        <w:tc>
          <w:tcPr>
            <w:tcW w:w="2877" w:type="dxa"/>
          </w:tcPr>
          <w:p w14:paraId="21080B3C" w14:textId="1820E9B8" w:rsidR="009F3F9F" w:rsidRDefault="009F3F9F" w:rsidP="009F3F9F">
            <w:pPr>
              <w:rPr>
                <w:rFonts w:ascii="Times New Roman" w:hAnsi="Times New Roman" w:cs="Times New Roman"/>
              </w:rPr>
            </w:pPr>
            <w:r>
              <w:rPr>
                <w:rFonts w:ascii="Times New Roman" w:hAnsi="Times New Roman" w:cs="Times New Roman"/>
              </w:rPr>
              <w:t>Voltinism; generation time; duration of life cycle</w:t>
            </w:r>
          </w:p>
        </w:tc>
      </w:tr>
      <w:tr w:rsidR="009F3F9F" w14:paraId="041C86FC" w14:textId="77777777" w:rsidTr="009F3F9F">
        <w:tc>
          <w:tcPr>
            <w:tcW w:w="2876" w:type="dxa"/>
          </w:tcPr>
          <w:p w14:paraId="404C2C7B" w14:textId="41B2FCA1" w:rsidR="009F3F9F" w:rsidRDefault="009F3F9F" w:rsidP="009F3F9F">
            <w:pPr>
              <w:rPr>
                <w:rFonts w:ascii="Times New Roman" w:hAnsi="Times New Roman" w:cs="Times New Roman"/>
              </w:rPr>
            </w:pPr>
            <w:r>
              <w:rPr>
                <w:rFonts w:ascii="Times New Roman" w:hAnsi="Times New Roman" w:cs="Times New Roman"/>
              </w:rPr>
              <w:t>Habitat use</w:t>
            </w:r>
          </w:p>
        </w:tc>
        <w:tc>
          <w:tcPr>
            <w:tcW w:w="2877" w:type="dxa"/>
          </w:tcPr>
          <w:p w14:paraId="45533217" w14:textId="0A927C97" w:rsidR="009F3F9F" w:rsidRDefault="009F3F9F" w:rsidP="009F3F9F">
            <w:pPr>
              <w:rPr>
                <w:rFonts w:ascii="Times New Roman" w:hAnsi="Times New Roman" w:cs="Times New Roman"/>
              </w:rPr>
            </w:pPr>
            <w:r>
              <w:rPr>
                <w:rFonts w:ascii="Times New Roman" w:hAnsi="Times New Roman" w:cs="Times New Roman"/>
              </w:rPr>
              <w:t>Species differ in phenology responses based on the habitat occupied</w:t>
            </w:r>
          </w:p>
        </w:tc>
        <w:tc>
          <w:tcPr>
            <w:tcW w:w="2877" w:type="dxa"/>
          </w:tcPr>
          <w:p w14:paraId="23B57A2B" w14:textId="30C26700" w:rsidR="009F3F9F" w:rsidRDefault="009F3F9F" w:rsidP="009F3F9F">
            <w:pPr>
              <w:rPr>
                <w:rFonts w:ascii="Times New Roman" w:hAnsi="Times New Roman" w:cs="Times New Roman"/>
              </w:rPr>
            </w:pPr>
            <w:r>
              <w:rPr>
                <w:rFonts w:ascii="Times New Roman" w:hAnsi="Times New Roman" w:cs="Times New Roman"/>
              </w:rPr>
              <w:t>Habitat type (lotic vs. lentic); use of specific habitat (e.g., floodplain) for spawning</w:t>
            </w:r>
          </w:p>
        </w:tc>
      </w:tr>
      <w:tr w:rsidR="009F3F9F" w14:paraId="344EF356" w14:textId="77777777" w:rsidTr="009F3F9F">
        <w:tc>
          <w:tcPr>
            <w:tcW w:w="2876" w:type="dxa"/>
          </w:tcPr>
          <w:p w14:paraId="55733056" w14:textId="2CF6430B" w:rsidR="009F3F9F" w:rsidRDefault="009F3F9F" w:rsidP="009F3F9F">
            <w:pPr>
              <w:rPr>
                <w:rFonts w:ascii="Times New Roman" w:hAnsi="Times New Roman" w:cs="Times New Roman"/>
              </w:rPr>
            </w:pPr>
            <w:r>
              <w:rPr>
                <w:rFonts w:ascii="Times New Roman" w:hAnsi="Times New Roman" w:cs="Times New Roman"/>
              </w:rPr>
              <w:t>Migratory status</w:t>
            </w:r>
          </w:p>
        </w:tc>
        <w:tc>
          <w:tcPr>
            <w:tcW w:w="2877" w:type="dxa"/>
          </w:tcPr>
          <w:p w14:paraId="3F123553" w14:textId="7E76C0E1" w:rsidR="009F3F9F" w:rsidRDefault="009F3F9F" w:rsidP="009F3F9F">
            <w:pPr>
              <w:rPr>
                <w:rFonts w:ascii="Times New Roman" w:hAnsi="Times New Roman" w:cs="Times New Roman"/>
              </w:rPr>
            </w:pPr>
            <w:r>
              <w:rPr>
                <w:rFonts w:ascii="Times New Roman" w:hAnsi="Times New Roman" w:cs="Times New Roman"/>
              </w:rPr>
              <w:t>Migratory characteristics associated with life history or life cycle events</w:t>
            </w:r>
          </w:p>
        </w:tc>
        <w:tc>
          <w:tcPr>
            <w:tcW w:w="2877" w:type="dxa"/>
          </w:tcPr>
          <w:p w14:paraId="38948213" w14:textId="2CD2674F" w:rsidR="009F3F9F" w:rsidRDefault="009F3F9F" w:rsidP="009F3F9F">
            <w:pPr>
              <w:rPr>
                <w:rFonts w:ascii="Times New Roman" w:hAnsi="Times New Roman" w:cs="Times New Roman"/>
              </w:rPr>
            </w:pPr>
            <w:r>
              <w:rPr>
                <w:rFonts w:ascii="Times New Roman" w:hAnsi="Times New Roman" w:cs="Times New Roman"/>
              </w:rPr>
              <w:t>Migrant or non-migrant;  migratory class (anadromous, potadromous, catadromous)</w:t>
            </w:r>
          </w:p>
        </w:tc>
      </w:tr>
      <w:tr w:rsidR="009F3F9F" w14:paraId="240E104A" w14:textId="77777777" w:rsidTr="009F3F9F">
        <w:tc>
          <w:tcPr>
            <w:tcW w:w="2876" w:type="dxa"/>
          </w:tcPr>
          <w:p w14:paraId="53D9FB50" w14:textId="1ED20703" w:rsidR="009F3F9F" w:rsidRDefault="009F3F9F" w:rsidP="009F3F9F">
            <w:pPr>
              <w:rPr>
                <w:rFonts w:ascii="Times New Roman" w:hAnsi="Times New Roman" w:cs="Times New Roman"/>
              </w:rPr>
            </w:pPr>
            <w:r>
              <w:rPr>
                <w:rFonts w:ascii="Times New Roman" w:hAnsi="Times New Roman" w:cs="Times New Roman"/>
              </w:rPr>
              <w:t>Reproductive timing</w:t>
            </w:r>
          </w:p>
        </w:tc>
        <w:tc>
          <w:tcPr>
            <w:tcW w:w="2877" w:type="dxa"/>
          </w:tcPr>
          <w:p w14:paraId="6C8B1A6E" w14:textId="7A63B23D" w:rsidR="009F3F9F" w:rsidRDefault="009F3F9F" w:rsidP="009F3F9F">
            <w:pPr>
              <w:rPr>
                <w:rFonts w:ascii="Times New Roman" w:hAnsi="Times New Roman" w:cs="Times New Roman"/>
              </w:rPr>
            </w:pPr>
            <w:r>
              <w:rPr>
                <w:rFonts w:ascii="Times New Roman" w:hAnsi="Times New Roman" w:cs="Times New Roman"/>
              </w:rPr>
              <w:t>Species may differ in responses to environmental cues based on the relative seasonal timing of events</w:t>
            </w:r>
          </w:p>
        </w:tc>
        <w:tc>
          <w:tcPr>
            <w:tcW w:w="2877" w:type="dxa"/>
          </w:tcPr>
          <w:p w14:paraId="2F81DD28" w14:textId="5DB9B82F" w:rsidR="009F3F9F" w:rsidRDefault="009F3F9F" w:rsidP="009F3F9F">
            <w:pPr>
              <w:rPr>
                <w:rFonts w:ascii="Times New Roman" w:hAnsi="Times New Roman" w:cs="Times New Roman"/>
              </w:rPr>
            </w:pPr>
            <w:r>
              <w:rPr>
                <w:rFonts w:ascii="Times New Roman" w:hAnsi="Times New Roman" w:cs="Times New Roman"/>
              </w:rPr>
              <w:t>Early (spawners, migrants) vs. late (spawners, migrants); Spring vs. summer</w:t>
            </w:r>
          </w:p>
        </w:tc>
      </w:tr>
      <w:tr w:rsidR="009F3F9F" w14:paraId="1B6AF621" w14:textId="77777777" w:rsidTr="009F3F9F">
        <w:tc>
          <w:tcPr>
            <w:tcW w:w="2876" w:type="dxa"/>
          </w:tcPr>
          <w:p w14:paraId="4A93A8AB" w14:textId="38DBBDD0" w:rsidR="009F3F9F" w:rsidRDefault="009F3F9F" w:rsidP="009F3F9F">
            <w:pPr>
              <w:rPr>
                <w:rFonts w:ascii="Times New Roman" w:hAnsi="Times New Roman" w:cs="Times New Roman"/>
              </w:rPr>
            </w:pPr>
            <w:r>
              <w:rPr>
                <w:rFonts w:ascii="Times New Roman" w:hAnsi="Times New Roman" w:cs="Times New Roman"/>
              </w:rPr>
              <w:t>Thermal sensitivity</w:t>
            </w:r>
          </w:p>
        </w:tc>
        <w:tc>
          <w:tcPr>
            <w:tcW w:w="2877" w:type="dxa"/>
          </w:tcPr>
          <w:p w14:paraId="1DBA9465" w14:textId="610DAD20" w:rsidR="009F3F9F" w:rsidRDefault="009F3F9F" w:rsidP="009F3F9F">
            <w:pPr>
              <w:rPr>
                <w:rFonts w:ascii="Times New Roman" w:hAnsi="Times New Roman" w:cs="Times New Roman"/>
              </w:rPr>
            </w:pPr>
            <w:r>
              <w:rPr>
                <w:rFonts w:ascii="Times New Roman" w:hAnsi="Times New Roman" w:cs="Times New Roman"/>
              </w:rPr>
              <w:t>Thermal traits or limits cause species to differ in responses to environmental cues</w:t>
            </w:r>
          </w:p>
        </w:tc>
        <w:tc>
          <w:tcPr>
            <w:tcW w:w="2877" w:type="dxa"/>
          </w:tcPr>
          <w:p w14:paraId="19DBAC3A" w14:textId="64B79949" w:rsidR="009F3F9F" w:rsidRDefault="009F3F9F" w:rsidP="009F3F9F">
            <w:pPr>
              <w:rPr>
                <w:rFonts w:ascii="Times New Roman" w:hAnsi="Times New Roman" w:cs="Times New Roman"/>
              </w:rPr>
            </w:pPr>
            <w:r>
              <w:rPr>
                <w:rFonts w:ascii="Times New Roman" w:hAnsi="Times New Roman" w:cs="Times New Roman"/>
              </w:rPr>
              <w:t>Thermal guilds (cool, cold, or warm-water), critical thermal maxima or minima</w:t>
            </w:r>
          </w:p>
        </w:tc>
      </w:tr>
      <w:tr w:rsidR="009F3F9F" w14:paraId="6F631F22" w14:textId="77777777" w:rsidTr="009F3F9F">
        <w:tc>
          <w:tcPr>
            <w:tcW w:w="2876" w:type="dxa"/>
            <w:tcBorders>
              <w:bottom w:val="single" w:sz="4" w:space="0" w:color="auto"/>
            </w:tcBorders>
          </w:tcPr>
          <w:p w14:paraId="71710748" w14:textId="72807E9A" w:rsidR="009F3F9F" w:rsidRDefault="009F3F9F" w:rsidP="009F3F9F">
            <w:pPr>
              <w:rPr>
                <w:rFonts w:ascii="Times New Roman" w:hAnsi="Times New Roman" w:cs="Times New Roman"/>
              </w:rPr>
            </w:pPr>
            <w:r>
              <w:rPr>
                <w:rFonts w:ascii="Times New Roman" w:hAnsi="Times New Roman" w:cs="Times New Roman"/>
              </w:rPr>
              <w:t>Trophic level</w:t>
            </w:r>
          </w:p>
        </w:tc>
        <w:tc>
          <w:tcPr>
            <w:tcW w:w="2877" w:type="dxa"/>
            <w:tcBorders>
              <w:bottom w:val="single" w:sz="4" w:space="0" w:color="auto"/>
            </w:tcBorders>
          </w:tcPr>
          <w:p w14:paraId="1831574F" w14:textId="4685C82A" w:rsidR="009F3F9F" w:rsidRDefault="009F3F9F" w:rsidP="009F3F9F">
            <w:pPr>
              <w:rPr>
                <w:rFonts w:ascii="Times New Roman" w:hAnsi="Times New Roman" w:cs="Times New Roman"/>
              </w:rPr>
            </w:pPr>
            <w:r>
              <w:rPr>
                <w:rFonts w:ascii="Times New Roman" w:hAnsi="Times New Roman" w:cs="Times New Roman"/>
              </w:rPr>
              <w:t>Dietary or trophic characteristics can drive differential responses of species to environmental cues</w:t>
            </w:r>
          </w:p>
        </w:tc>
        <w:tc>
          <w:tcPr>
            <w:tcW w:w="2877" w:type="dxa"/>
            <w:tcBorders>
              <w:bottom w:val="single" w:sz="4" w:space="0" w:color="auto"/>
            </w:tcBorders>
          </w:tcPr>
          <w:p w14:paraId="37EF38CF" w14:textId="155CD498" w:rsidR="009F3F9F" w:rsidRDefault="009F3F9F" w:rsidP="009F3F9F">
            <w:pPr>
              <w:rPr>
                <w:rFonts w:ascii="Times New Roman" w:hAnsi="Times New Roman" w:cs="Times New Roman"/>
              </w:rPr>
            </w:pPr>
            <w:r>
              <w:rPr>
                <w:rFonts w:ascii="Times New Roman" w:hAnsi="Times New Roman" w:cs="Times New Roman"/>
              </w:rPr>
              <w:t>Functional feeding guilds, trophic level, diet</w:t>
            </w:r>
          </w:p>
        </w:tc>
      </w:tr>
    </w:tbl>
    <w:p w14:paraId="38E510EC" w14:textId="47C90F1E" w:rsidR="004B700B" w:rsidRDefault="004B700B">
      <w:pPr>
        <w:rPr>
          <w:rFonts w:ascii="Times New Roman" w:hAnsi="Times New Roman" w:cs="Times New Roman"/>
        </w:rPr>
      </w:pPr>
      <w:r>
        <w:rPr>
          <w:rFonts w:ascii="Times New Roman" w:hAnsi="Times New Roman" w:cs="Times New Roman"/>
        </w:rPr>
        <w:br w:type="page"/>
      </w:r>
    </w:p>
    <w:p w14:paraId="3F55919D" w14:textId="7F7CC6E2"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lastRenderedPageBreak/>
        <w:t xml:space="preserve">We recorded environmental cues, defined as extrinsic variables that can drive life history or life cycle events (Chmura et al. 2019), that were found to be associated with a given phenological metric investigated by each study. We classified environmental cues into the following groups: biotic, temperature, hydrology, elevation, latitude, photoperiod, resources (food, nutrients), precipitation, or none (Table 2). </w:t>
      </w:r>
    </w:p>
    <w:p w14:paraId="50BFFB71" w14:textId="70E6D871" w:rsidR="00796D6E" w:rsidRPr="00796D6E" w:rsidRDefault="00796D6E" w:rsidP="004317A3">
      <w:pPr>
        <w:ind w:firstLine="720"/>
        <w:jc w:val="both"/>
        <w:rPr>
          <w:rFonts w:ascii="Times New Roman" w:hAnsi="Times New Roman" w:cs="Times New Roman"/>
        </w:rPr>
      </w:pPr>
      <w:r w:rsidRPr="00796D6E">
        <w:rPr>
          <w:rFonts w:ascii="Times New Roman" w:hAnsi="Times New Roman" w:cs="Times New Roman"/>
        </w:rPr>
        <w:t>For each study, we recorded intrinsic traits reported to describe differences in species phenology via differential exposure to environmental cues or correlation with underlying mechanisms that affect sensitivity to environmental cues (Chmura et al. 2019). We classified intrinsic characteristics as: generation time (including voltinism), trophic level (functional feeding guilds), migratory status, thermal sensitivity, ecological specialization, habitat use, other, or none (Table 3). Contrary to environmental cues, we found that few studies examined hypothesized relationships between intrinsic traits and species phenology. For example, studies might provide information on the thermal sensitivities of taxa without using statistical tests to test the hypothesis that species with higher thermal maxima have different seasonal timing of life history events than those with low thermal maxima. Therefore, we recorded traits used to describe differences in species phenology, even when they were not assessed using statistical tests. This allowed us to identify intrinsic traits that may be associated with mechanisms by which species differ in phenology that should be investigated by future studies.</w:t>
      </w:r>
    </w:p>
    <w:p w14:paraId="775CCE99" w14:textId="495410A5" w:rsidR="00D94B60" w:rsidRPr="00DF7C87" w:rsidRDefault="00796D6E" w:rsidP="004317A3">
      <w:pPr>
        <w:ind w:firstLine="720"/>
        <w:jc w:val="both"/>
        <w:rPr>
          <w:rFonts w:ascii="Times New Roman" w:hAnsi="Times New Roman" w:cs="Times New Roman"/>
        </w:rPr>
      </w:pPr>
      <w:r w:rsidRPr="00796D6E">
        <w:rPr>
          <w:rFonts w:ascii="Times New Roman" w:hAnsi="Times New Roman" w:cs="Times New Roman"/>
        </w:rPr>
        <w:t>In the following section, we summarize the findings of our literature review, with particular attention to identifying general patterns in: (1) spatial and taxonomic gaps in research efforts, (2) relationships between phenology events and environmental cues, (3) intrinsic traits that may can describe differences in phenology across species; and (4) biotic interactions that may be affected by asynchronous phenology between co-occurring species</w:t>
      </w:r>
      <w:r w:rsidR="00D94B60" w:rsidRPr="00410D94">
        <w:rPr>
          <w:rFonts w:ascii="Times New Roman" w:hAnsi="Times New Roman" w:cs="Times New Roman"/>
        </w:rPr>
        <w:t xml:space="preserve">. </w:t>
      </w:r>
    </w:p>
    <w:p w14:paraId="2354347F" w14:textId="663D40FB" w:rsidR="00D94B60" w:rsidRPr="0009639E" w:rsidRDefault="00D94B60" w:rsidP="0009639E">
      <w:pPr>
        <w:pStyle w:val="Heading2"/>
        <w:rPr>
          <w:rFonts w:ascii="Times New Roman" w:hAnsi="Times New Roman" w:cs="Times New Roman"/>
          <w:sz w:val="24"/>
          <w:szCs w:val="24"/>
        </w:rPr>
      </w:pPr>
      <w:bookmarkStart w:id="12" w:name="_Toc100607876"/>
      <w:r>
        <w:rPr>
          <w:rFonts w:ascii="Times New Roman" w:hAnsi="Times New Roman" w:cs="Times New Roman"/>
          <w:sz w:val="24"/>
          <w:szCs w:val="24"/>
        </w:rPr>
        <w:t xml:space="preserve">Summary of </w:t>
      </w:r>
      <w:r w:rsidR="00796D6E">
        <w:rPr>
          <w:rFonts w:ascii="Times New Roman" w:hAnsi="Times New Roman" w:cs="Times New Roman"/>
          <w:sz w:val="24"/>
          <w:szCs w:val="24"/>
        </w:rPr>
        <w:t xml:space="preserve">contemporary </w:t>
      </w:r>
      <w:r>
        <w:rPr>
          <w:rFonts w:ascii="Times New Roman" w:hAnsi="Times New Roman" w:cs="Times New Roman"/>
          <w:sz w:val="24"/>
          <w:szCs w:val="24"/>
        </w:rPr>
        <w:t>phenology research</w:t>
      </w:r>
      <w:bookmarkEnd w:id="12"/>
    </w:p>
    <w:p w14:paraId="715271FE" w14:textId="55AA4C7E" w:rsidR="00D94B60" w:rsidRPr="00DF7C87" w:rsidRDefault="0009639E" w:rsidP="00D94B60">
      <w:pPr>
        <w:pStyle w:val="Heading3"/>
        <w:rPr>
          <w:rFonts w:ascii="Times New Roman" w:hAnsi="Times New Roman" w:cs="Times New Roman"/>
          <w:szCs w:val="24"/>
        </w:rPr>
      </w:pPr>
      <w:bookmarkStart w:id="13" w:name="_Toc100607877"/>
      <w:r w:rsidRPr="0009639E">
        <w:rPr>
          <w:rFonts w:ascii="Times New Roman" w:hAnsi="Times New Roman" w:cs="Times New Roman"/>
          <w:szCs w:val="24"/>
        </w:rPr>
        <w:t>Spatial, taxonomic, and temporal distribution of studies</w:t>
      </w:r>
      <w:bookmarkEnd w:id="13"/>
    </w:p>
    <w:p w14:paraId="09C90A5E" w14:textId="630A4921" w:rsidR="00CB0E0B" w:rsidRPr="00CB0E0B" w:rsidRDefault="00CB0E0B" w:rsidP="004317A3">
      <w:pPr>
        <w:ind w:firstLine="720"/>
        <w:jc w:val="both"/>
        <w:rPr>
          <w:rFonts w:ascii="Times New Roman" w:hAnsi="Times New Roman" w:cs="Times New Roman"/>
        </w:rPr>
      </w:pPr>
      <w:r w:rsidRPr="00CB0E0B">
        <w:rPr>
          <w:rFonts w:ascii="Times New Roman" w:hAnsi="Times New Roman" w:cs="Times New Roman"/>
        </w:rPr>
        <w:t xml:space="preserve">Studies included in our review encompassed 57 countries across six continents and exhibited a geographic bias towards Europe and North America (Fig. </w:t>
      </w:r>
      <w:r w:rsidR="00C156B2">
        <w:rPr>
          <w:rFonts w:ascii="Times New Roman" w:hAnsi="Times New Roman" w:cs="Times New Roman"/>
        </w:rPr>
        <w:t>1</w:t>
      </w:r>
      <w:r w:rsidRPr="00CB0E0B">
        <w:rPr>
          <w:rFonts w:ascii="Times New Roman" w:hAnsi="Times New Roman" w:cs="Times New Roman"/>
        </w:rPr>
        <w:t xml:space="preserve">). European research showed a greater emphasis on limnological studies, whereas North American studies skewed more towards lotic habitats (Fig. 1). By comparison, there were fewer studies on freshwater phenology in Africa, Central and Southeastern Asia, Oceania, and South America. </w:t>
      </w:r>
    </w:p>
    <w:p w14:paraId="009F7E10" w14:textId="66B7DFB4" w:rsidR="00CB0E0B" w:rsidRPr="00CB0E0B" w:rsidRDefault="00CB0E0B" w:rsidP="004317A3">
      <w:pPr>
        <w:ind w:firstLine="720"/>
        <w:jc w:val="both"/>
        <w:rPr>
          <w:rFonts w:ascii="Times New Roman" w:hAnsi="Times New Roman" w:cs="Times New Roman"/>
        </w:rPr>
      </w:pPr>
      <w:r w:rsidRPr="00CB0E0B">
        <w:rPr>
          <w:rFonts w:ascii="Times New Roman" w:hAnsi="Times New Roman" w:cs="Times New Roman"/>
        </w:rPr>
        <w:t>Research efforts showed a bias towards temperate habitats for all taxa (Fig. 2). Fish phenology research extended to higher latitudes than other taxonomic groups (Fig.</w:t>
      </w:r>
      <w:r w:rsidR="00F261A9">
        <w:rPr>
          <w:rFonts w:ascii="Times New Roman" w:hAnsi="Times New Roman" w:cs="Times New Roman"/>
        </w:rPr>
        <w:t xml:space="preserve"> </w:t>
      </w:r>
      <w:r w:rsidRPr="00CB0E0B">
        <w:rPr>
          <w:rFonts w:ascii="Times New Roman" w:hAnsi="Times New Roman" w:cs="Times New Roman"/>
        </w:rPr>
        <w:t>2a), which may reflect a focus on cold-water salmonids in contemporary fisheries research (Myers et al. 2017). Long-term trends in annual salmonid spawning and smolting migrations were particularly well-studied in high latitude European countries and Alaska (Mundy and Evenson 2011, Kovach et al. 2015, Haraldstad et al. 2017, Campbell et al. 2019, Sparks et al. 2019). Research efforts on primary producers and zooplankton showed clusters in Europe, indicating a preponderance of long-term plankton monitoring programs in European lakes (Blenckner et al. 2007).</w:t>
      </w:r>
    </w:p>
    <w:p w14:paraId="7E483DBF" w14:textId="77777777" w:rsidR="00446D99" w:rsidRDefault="00446D99">
      <w:pPr>
        <w:rPr>
          <w:rFonts w:ascii="Times New Roman" w:hAnsi="Times New Roman" w:cs="Times New Roman"/>
        </w:rPr>
      </w:pPr>
      <w:r>
        <w:rPr>
          <w:rFonts w:ascii="Times New Roman" w:hAnsi="Times New Roman" w:cs="Times New Roman"/>
        </w:rPr>
        <w:br w:type="page"/>
      </w:r>
    </w:p>
    <w:p w14:paraId="47ECB07E" w14:textId="77777777" w:rsidR="00446D99" w:rsidRDefault="00446D99">
      <w:pPr>
        <w:rPr>
          <w:rFonts w:ascii="Times New Roman" w:hAnsi="Times New Roman" w:cs="Times New Roman"/>
        </w:rPr>
      </w:pPr>
      <w:r>
        <w:rPr>
          <w:rFonts w:ascii="Times New Roman" w:hAnsi="Times New Roman" w:cs="Times New Roman"/>
          <w:noProof/>
        </w:rPr>
        <w:lastRenderedPageBreak/>
        <w:drawing>
          <wp:inline distT="0" distB="0" distL="0" distR="0" wp14:anchorId="44E7D557" wp14:editId="4AD8019A">
            <wp:extent cx="5534025" cy="3726674"/>
            <wp:effectExtent l="0" t="0" r="0" b="7620"/>
            <wp:docPr id="16" name="Picture 1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6424" t="19901" r="4341"/>
                    <a:stretch/>
                  </pic:blipFill>
                  <pic:spPr bwMode="auto">
                    <a:xfrm>
                      <a:off x="0" y="0"/>
                      <a:ext cx="5554421" cy="3740409"/>
                    </a:xfrm>
                    <a:prstGeom prst="rect">
                      <a:avLst/>
                    </a:prstGeom>
                    <a:ln>
                      <a:noFill/>
                    </a:ln>
                    <a:extLst>
                      <a:ext uri="{53640926-AAD7-44D8-BBD7-CCE9431645EC}">
                        <a14:shadowObscured xmlns:a14="http://schemas.microsoft.com/office/drawing/2010/main"/>
                      </a:ext>
                    </a:extLst>
                  </pic:spPr>
                </pic:pic>
              </a:graphicData>
            </a:graphic>
          </wp:inline>
        </w:drawing>
      </w:r>
    </w:p>
    <w:p w14:paraId="485FC4E7" w14:textId="280C69E5" w:rsidR="005D677E" w:rsidRDefault="005D677E" w:rsidP="005D677E">
      <w:pPr>
        <w:pStyle w:val="Caption"/>
        <w:jc w:val="both"/>
        <w:rPr>
          <w:rFonts w:ascii="Times New Roman" w:hAnsi="Times New Roman" w:cs="Times New Roman"/>
          <w:b w:val="0"/>
          <w:bCs w:val="0"/>
        </w:rPr>
      </w:pPr>
      <w:bookmarkStart w:id="14" w:name="_Toc140575285"/>
      <w:bookmarkStart w:id="15" w:name="_Toc100607930"/>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Pr="00DF7C87">
        <w:rPr>
          <w:rFonts w:ascii="Times New Roman" w:hAnsi="Times New Roman" w:cs="Times New Roman"/>
          <w:noProof/>
        </w:rPr>
        <w:t>1</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Map of the distribution of contemporary freshwater phenology research</w:t>
      </w:r>
      <w:r w:rsidRPr="00DF7C87">
        <w:rPr>
          <w:rFonts w:ascii="Times New Roman" w:hAnsi="Times New Roman" w:cs="Times New Roman"/>
        </w:rPr>
        <w:t>.</w:t>
      </w:r>
      <w:bookmarkEnd w:id="14"/>
      <w:r>
        <w:rPr>
          <w:rFonts w:ascii="Times New Roman" w:hAnsi="Times New Roman" w:cs="Times New Roman"/>
        </w:rPr>
        <w:t xml:space="preserve"> </w:t>
      </w:r>
      <w:r w:rsidRPr="005D677E">
        <w:rPr>
          <w:rFonts w:ascii="Times New Roman" w:hAnsi="Times New Roman" w:cs="Times New Roman"/>
          <w:b w:val="0"/>
          <w:bCs w:val="0"/>
        </w:rPr>
        <w:t>The bivariate color scale illustrates the number of lotic and lentic studies in each county (countries lacking a study are colored grey). The pie charts below the map show the number of lotic and lentic studies, pooled by continents. The size of the pie charts indicates the absolute ranking (1–6) of total studies by continent.</w:t>
      </w:r>
      <w:bookmarkEnd w:id="15"/>
    </w:p>
    <w:p w14:paraId="5E32E7F2" w14:textId="61F923CD" w:rsidR="0082570A" w:rsidRDefault="0082570A">
      <w:r>
        <w:br w:type="page"/>
      </w:r>
    </w:p>
    <w:p w14:paraId="2DDF571A" w14:textId="38914892" w:rsidR="0082570A" w:rsidRPr="0082570A" w:rsidRDefault="0082570A" w:rsidP="0082570A">
      <w:r>
        <w:rPr>
          <w:noProof/>
        </w:rPr>
        <w:lastRenderedPageBreak/>
        <w:drawing>
          <wp:inline distT="0" distB="0" distL="0" distR="0" wp14:anchorId="3899CF8C" wp14:editId="1B6DA226">
            <wp:extent cx="5486400" cy="2867025"/>
            <wp:effectExtent l="0" t="0" r="0" b="9525"/>
            <wp:docPr id="17" name="Picture 17" descr="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map of the world&#10;&#10;Description automatically generated with low confidence"/>
                    <pic:cNvPicPr/>
                  </pic:nvPicPr>
                  <pic:blipFill rotWithShape="1">
                    <a:blip r:embed="rId10" cstate="print">
                      <a:extLst>
                        <a:ext uri="{28A0092B-C50C-407E-A947-70E740481C1C}">
                          <a14:useLocalDpi xmlns:a14="http://schemas.microsoft.com/office/drawing/2010/main" val="0"/>
                        </a:ext>
                      </a:extLst>
                    </a:blip>
                    <a:srcRect b="30335"/>
                    <a:stretch/>
                  </pic:blipFill>
                  <pic:spPr bwMode="auto">
                    <a:xfrm>
                      <a:off x="0" y="0"/>
                      <a:ext cx="5486400" cy="2867025"/>
                    </a:xfrm>
                    <a:prstGeom prst="rect">
                      <a:avLst/>
                    </a:prstGeom>
                    <a:ln>
                      <a:noFill/>
                    </a:ln>
                    <a:extLst>
                      <a:ext uri="{53640926-AAD7-44D8-BBD7-CCE9431645EC}">
                        <a14:shadowObscured xmlns:a14="http://schemas.microsoft.com/office/drawing/2010/main"/>
                      </a:ext>
                    </a:extLst>
                  </pic:spPr>
                </pic:pic>
              </a:graphicData>
            </a:graphic>
          </wp:inline>
        </w:drawing>
      </w:r>
    </w:p>
    <w:p w14:paraId="045B545B" w14:textId="1E434CD1" w:rsidR="0082570A" w:rsidRDefault="0082570A" w:rsidP="0082570A">
      <w:pPr>
        <w:pStyle w:val="Caption"/>
        <w:jc w:val="both"/>
        <w:rPr>
          <w:rFonts w:ascii="Times New Roman" w:hAnsi="Times New Roman" w:cs="Times New Roman"/>
          <w:b w:val="0"/>
          <w:bCs w:val="0"/>
        </w:rPr>
      </w:pPr>
      <w:bookmarkStart w:id="16" w:name="_Toc100607931"/>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2</w:t>
      </w:r>
      <w:r w:rsidRPr="00DF7C87">
        <w:rPr>
          <w:rFonts w:ascii="Times New Roman" w:hAnsi="Times New Roman" w:cs="Times New Roman"/>
        </w:rPr>
        <w:fldChar w:fldCharType="end"/>
      </w:r>
      <w:r w:rsidRPr="00DF7C87">
        <w:rPr>
          <w:rFonts w:ascii="Times New Roman" w:hAnsi="Times New Roman" w:cs="Times New Roman"/>
        </w:rPr>
        <w:t xml:space="preserve">. </w:t>
      </w:r>
      <w:r>
        <w:rPr>
          <w:rFonts w:ascii="Times New Roman" w:hAnsi="Times New Roman" w:cs="Times New Roman"/>
        </w:rPr>
        <w:t>Locations of studies with known geographic coordinates</w:t>
      </w:r>
      <w:r w:rsidRPr="00DF7C87">
        <w:rPr>
          <w:rFonts w:ascii="Times New Roman" w:hAnsi="Times New Roman" w:cs="Times New Roman"/>
        </w:rPr>
        <w:t>.</w:t>
      </w:r>
      <w:r>
        <w:rPr>
          <w:rFonts w:ascii="Times New Roman" w:hAnsi="Times New Roman" w:cs="Times New Roman"/>
        </w:rPr>
        <w:t xml:space="preserve"> </w:t>
      </w:r>
      <w:r w:rsidRPr="005D677E">
        <w:rPr>
          <w:rFonts w:ascii="Times New Roman" w:hAnsi="Times New Roman" w:cs="Times New Roman"/>
          <w:b w:val="0"/>
          <w:bCs w:val="0"/>
        </w:rPr>
        <w:t xml:space="preserve">The </w:t>
      </w:r>
      <w:r>
        <w:rPr>
          <w:rFonts w:ascii="Times New Roman" w:hAnsi="Times New Roman" w:cs="Times New Roman"/>
          <w:b w:val="0"/>
          <w:bCs w:val="0"/>
        </w:rPr>
        <w:t xml:space="preserve">panels are </w:t>
      </w:r>
      <w:r w:rsidRPr="0082570A">
        <w:rPr>
          <w:rFonts w:ascii="Times New Roman" w:hAnsi="Times New Roman" w:cs="Times New Roman"/>
          <w:b w:val="0"/>
          <w:bCs w:val="0"/>
        </w:rPr>
        <w:t>separated</w:t>
      </w:r>
      <w:r>
        <w:rPr>
          <w:rFonts w:ascii="Times New Roman" w:hAnsi="Times New Roman" w:cs="Times New Roman"/>
          <w:b w:val="0"/>
          <w:bCs w:val="0"/>
        </w:rPr>
        <w:t xml:space="preserve"> and colored</w:t>
      </w:r>
      <w:r w:rsidRPr="0082570A">
        <w:rPr>
          <w:rFonts w:ascii="Times New Roman" w:hAnsi="Times New Roman" w:cs="Times New Roman"/>
          <w:b w:val="0"/>
          <w:bCs w:val="0"/>
        </w:rPr>
        <w:t xml:space="preserve"> by taxa class studied as: a) fish, b) macroinvertebrates, c) primary producers (green) and zooplankton (brown), and d) (colors indicated by icons from left - right) amphibians, crustaceans and mollusks, and vertebrates other than fishes. Shaded grey polygons are Köppen-Geiger climate regions from Beck et al. (2018).</w:t>
      </w:r>
      <w:bookmarkEnd w:id="16"/>
    </w:p>
    <w:p w14:paraId="26DC2C53" w14:textId="5BC24C0F" w:rsidR="00446D99" w:rsidRDefault="00446D99">
      <w:pPr>
        <w:rPr>
          <w:rFonts w:ascii="Times New Roman" w:hAnsi="Times New Roman" w:cs="Times New Roman"/>
        </w:rPr>
      </w:pPr>
      <w:r>
        <w:rPr>
          <w:rFonts w:ascii="Times New Roman" w:hAnsi="Times New Roman" w:cs="Times New Roman"/>
        </w:rPr>
        <w:br w:type="page"/>
      </w:r>
    </w:p>
    <w:p w14:paraId="01B3CAFD" w14:textId="370DEF08" w:rsidR="00CB0E0B" w:rsidRPr="00CB0E0B" w:rsidRDefault="00CB0E0B" w:rsidP="004317A3">
      <w:pPr>
        <w:ind w:firstLine="720"/>
        <w:jc w:val="both"/>
        <w:rPr>
          <w:rFonts w:ascii="Times New Roman" w:hAnsi="Times New Roman" w:cs="Times New Roman"/>
        </w:rPr>
      </w:pPr>
      <w:r w:rsidRPr="00CB0E0B">
        <w:rPr>
          <w:rFonts w:ascii="Times New Roman" w:hAnsi="Times New Roman" w:cs="Times New Roman"/>
        </w:rPr>
        <w:lastRenderedPageBreak/>
        <w:t xml:space="preserve">Different taxonomic groups dominated research efforts between habitats. Phenology research in lentic systems focused on primary producers and zooplankton, whereas fishes and macroinvertebrates were the research foci in lotic habitats (Fig. 3). Among fish studies in both lentic and lotic habitats, roughly half (47.0%) examined salmonid phenology. The disproportionate research towards this family likely reflects the economic importance of salmonid fisheries (Criddle and Shimizu 2014). </w:t>
      </w:r>
    </w:p>
    <w:p w14:paraId="697EEE9A" w14:textId="2C97DC4D" w:rsidR="00CB0E0B" w:rsidRPr="00CB0E0B" w:rsidRDefault="00CB0E0B" w:rsidP="00463612">
      <w:pPr>
        <w:ind w:firstLine="720"/>
        <w:jc w:val="both"/>
        <w:rPr>
          <w:rFonts w:ascii="Times New Roman" w:hAnsi="Times New Roman" w:cs="Times New Roman"/>
        </w:rPr>
      </w:pPr>
      <w:r w:rsidRPr="00CB0E0B">
        <w:rPr>
          <w:rFonts w:ascii="Times New Roman" w:hAnsi="Times New Roman" w:cs="Times New Roman"/>
        </w:rPr>
        <w:t xml:space="preserve">Lotic studies characterized the phenology of more taxa per study (median = 2, interquartile range [IQR] = 1–14 taxa per study), compared to lentic studies (median = 2, IQR = 1–8) (Fig. 4). However, we note that the taxonomic resolution presented in lentic studies is often coarser than species level; therefore, our estimates likely underestimate the number of species measured in lentic systems. Regardless, the relatively high biodiversity considered per study in both lotic and lentic systems indicates that the potential for future analyses to use data in the existing literature to study community-level patterns in phenology, i.e., the timing of events across many, possibly interacting, species. </w:t>
      </w:r>
    </w:p>
    <w:p w14:paraId="58C82E8A" w14:textId="531D35DE" w:rsidR="00CB0E0B" w:rsidRDefault="00CB0E0B" w:rsidP="004317A3">
      <w:pPr>
        <w:ind w:firstLine="720"/>
        <w:jc w:val="both"/>
        <w:rPr>
          <w:rFonts w:ascii="Times New Roman" w:hAnsi="Times New Roman" w:cs="Times New Roman"/>
        </w:rPr>
      </w:pPr>
      <w:r w:rsidRPr="00CB0E0B">
        <w:rPr>
          <w:rFonts w:ascii="Times New Roman" w:hAnsi="Times New Roman" w:cs="Times New Roman"/>
        </w:rPr>
        <w:t>Studies in lentic habitats characterized phenology over longer time periods (median = 3, IQR = 1–18 years) than studies in lotic habitats (median = 2, IQR = 1–8.6) (Fig. 4). Regarding the temporal grain of analysis, seasonal or monthly sampling regimes were the most frequently reported sampling regimes for all taxa (97.9% [amphibians], 93.8% [crustaceans/mollusks], 96.6% [fishes], 88.9% [macroinvertebrates], 100.0% [other vertebrates], 82.8% [primary producers], 84.1% [zooplankton] of studies) (</w:t>
      </w:r>
      <w:r w:rsidR="00C156B2">
        <w:rPr>
          <w:rFonts w:ascii="Times New Roman" w:hAnsi="Times New Roman" w:cs="Times New Roman"/>
        </w:rPr>
        <w:t>Fig. 5</w:t>
      </w:r>
      <w:r w:rsidRPr="00CB0E0B">
        <w:rPr>
          <w:rFonts w:ascii="Times New Roman" w:hAnsi="Times New Roman" w:cs="Times New Roman"/>
        </w:rPr>
        <w:t>). The incidence of daily or weekly sampling regimes was highest in studies focusing on primary producers (mostly comprising lentic phytoplankton and diatoms; 17.3% of studies), macroinvertebrates (11.1%), and zooplankton (15.8%) although it was always less frequently employed than seasonal or monthly sampling. These results suggest some, albeit limited, correspondence between fine temporal grain sampling approaches and phenology research on taxa with faster life histories.</w:t>
      </w:r>
    </w:p>
    <w:p w14:paraId="5209BEC4" w14:textId="1E34E3B1" w:rsidR="00CB0E0B" w:rsidRPr="00DF7C87" w:rsidRDefault="00CB0E0B" w:rsidP="00CB0E0B">
      <w:pPr>
        <w:pStyle w:val="Heading3"/>
        <w:rPr>
          <w:rFonts w:ascii="Times New Roman" w:hAnsi="Times New Roman" w:cs="Times New Roman"/>
          <w:szCs w:val="24"/>
        </w:rPr>
      </w:pPr>
      <w:bookmarkStart w:id="17" w:name="_Toc100607878"/>
      <w:r>
        <w:rPr>
          <w:rFonts w:ascii="Times New Roman" w:hAnsi="Times New Roman" w:cs="Times New Roman"/>
          <w:szCs w:val="24"/>
        </w:rPr>
        <w:t>Phenology metrics</w:t>
      </w:r>
      <w:bookmarkEnd w:id="17"/>
    </w:p>
    <w:p w14:paraId="43E8BA88" w14:textId="22A86901" w:rsidR="002C1F8F" w:rsidRPr="002C1F8F" w:rsidRDefault="002C1F8F" w:rsidP="004317A3">
      <w:pPr>
        <w:ind w:firstLine="720"/>
        <w:jc w:val="both"/>
        <w:rPr>
          <w:rFonts w:ascii="Times New Roman" w:hAnsi="Times New Roman" w:cs="Times New Roman"/>
        </w:rPr>
      </w:pPr>
      <w:r w:rsidRPr="002C1F8F">
        <w:rPr>
          <w:rFonts w:ascii="Times New Roman" w:hAnsi="Times New Roman" w:cs="Times New Roman"/>
        </w:rPr>
        <w:t xml:space="preserve">In lentic habitats, the population growth and production season for planktonic organisms and primary producers was the most-studied phenology metric (Fig. </w:t>
      </w:r>
      <w:r w:rsidR="00C156B2">
        <w:rPr>
          <w:rFonts w:ascii="Times New Roman" w:hAnsi="Times New Roman" w:cs="Times New Roman"/>
        </w:rPr>
        <w:t>6</w:t>
      </w:r>
      <w:r w:rsidRPr="002C1F8F">
        <w:rPr>
          <w:rFonts w:ascii="Times New Roman" w:hAnsi="Times New Roman" w:cs="Times New Roman"/>
        </w:rPr>
        <w:t xml:space="preserve">a), which may reflect the tendency for lentic research in lake habitats to emphasize bottom-up effects as the processes at lower trophic levels are recognized as important structuring force in these food webs. Contrary to the majority of lotic systems, autochthonous production provides the resource base for lentic food webs (Galloway et al. 2014, Lau et al. 2014). Phytoplankton and diatoms are trophic resources for zooplanktonic grazers, which are, in turn, prey for insects and larval fish (Ohlberger et al. 2014). Therefore, shifts in production regimes in these systems may impact trophic interactions at higher trophic levels. Additionally, understanding the drivers of seasonal dynamics of cyanobacteria blooms in lentic systems is also important due to the risks posed to public health and economies by these events (Coffer et al. 2020). </w:t>
      </w:r>
    </w:p>
    <w:p w14:paraId="4E4FD6DE" w14:textId="77777777" w:rsidR="00B67767" w:rsidRDefault="00B67767">
      <w:pPr>
        <w:rPr>
          <w:rFonts w:ascii="Times New Roman" w:hAnsi="Times New Roman" w:cs="Times New Roman"/>
        </w:rPr>
      </w:pPr>
      <w:r>
        <w:rPr>
          <w:rFonts w:ascii="Times New Roman" w:hAnsi="Times New Roman" w:cs="Times New Roman"/>
        </w:rPr>
        <w:br w:type="page"/>
      </w:r>
    </w:p>
    <w:p w14:paraId="37D50FA8" w14:textId="77777777" w:rsidR="00B67767" w:rsidRDefault="00B67767">
      <w:pPr>
        <w:rPr>
          <w:rFonts w:ascii="Times New Roman" w:hAnsi="Times New Roman" w:cs="Times New Roman"/>
        </w:rPr>
      </w:pPr>
      <w:r>
        <w:rPr>
          <w:rFonts w:ascii="Times New Roman" w:hAnsi="Times New Roman" w:cs="Times New Roman"/>
          <w:noProof/>
        </w:rPr>
        <w:lastRenderedPageBreak/>
        <w:drawing>
          <wp:inline distT="0" distB="0" distL="0" distR="0" wp14:anchorId="70CC98C6" wp14:editId="28B304FB">
            <wp:extent cx="5472168" cy="2828925"/>
            <wp:effectExtent l="0" t="0" r="0" b="0"/>
            <wp:docPr id="18" name="Picture 18"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application&#10;&#10;Description automatically generated"/>
                    <pic:cNvPicPr/>
                  </pic:nvPicPr>
                  <pic:blipFill rotWithShape="1">
                    <a:blip r:embed="rId11" cstate="print">
                      <a:extLst>
                        <a:ext uri="{28A0092B-C50C-407E-A947-70E740481C1C}">
                          <a14:useLocalDpi xmlns:a14="http://schemas.microsoft.com/office/drawing/2010/main" val="0"/>
                        </a:ext>
                      </a:extLst>
                    </a:blip>
                    <a:srcRect l="2604" t="15273" r="10417" b="24792"/>
                    <a:stretch/>
                  </pic:blipFill>
                  <pic:spPr bwMode="auto">
                    <a:xfrm>
                      <a:off x="0" y="0"/>
                      <a:ext cx="5475556" cy="2830677"/>
                    </a:xfrm>
                    <a:prstGeom prst="rect">
                      <a:avLst/>
                    </a:prstGeom>
                    <a:ln>
                      <a:noFill/>
                    </a:ln>
                    <a:extLst>
                      <a:ext uri="{53640926-AAD7-44D8-BBD7-CCE9431645EC}">
                        <a14:shadowObscured xmlns:a14="http://schemas.microsoft.com/office/drawing/2010/main"/>
                      </a:ext>
                    </a:extLst>
                  </pic:spPr>
                </pic:pic>
              </a:graphicData>
            </a:graphic>
          </wp:inline>
        </w:drawing>
      </w:r>
    </w:p>
    <w:p w14:paraId="03C683EA" w14:textId="30642B16" w:rsidR="00B67767" w:rsidRDefault="00B67767" w:rsidP="00B67767">
      <w:pPr>
        <w:pStyle w:val="Caption"/>
        <w:jc w:val="both"/>
        <w:rPr>
          <w:rFonts w:ascii="Times New Roman" w:hAnsi="Times New Roman" w:cs="Times New Roman"/>
          <w:b w:val="0"/>
          <w:bCs w:val="0"/>
        </w:rPr>
      </w:pPr>
      <w:bookmarkStart w:id="18" w:name="_Toc100607932"/>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3</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The number of studies with reported measures of phenology for each group of taxa in lentic and lotic habitats</w:t>
      </w:r>
      <w:r w:rsidRPr="00DF7C87">
        <w:rPr>
          <w:rFonts w:ascii="Times New Roman" w:hAnsi="Times New Roman" w:cs="Times New Roman"/>
        </w:rPr>
        <w:t>.</w:t>
      </w:r>
      <w:r>
        <w:rPr>
          <w:rFonts w:ascii="Times New Roman" w:hAnsi="Times New Roman" w:cs="Times New Roman"/>
        </w:rPr>
        <w:t xml:space="preserve"> </w:t>
      </w:r>
      <w:r w:rsidRPr="00B67767">
        <w:rPr>
          <w:rFonts w:ascii="Times New Roman" w:hAnsi="Times New Roman" w:cs="Times New Roman"/>
          <w:b w:val="0"/>
          <w:bCs w:val="0"/>
        </w:rPr>
        <w:t>Bar chart colors indicate taxa as (from top to bottom in icon legend): fish, macroinvertebrates, primary producers, zooplankton, amphibians, crustaceans and mollusks, and vertebrates other than fishes. The number of studies within each habitat that studied taxa groups is provided next to the legend icon.</w:t>
      </w:r>
      <w:bookmarkEnd w:id="18"/>
    </w:p>
    <w:p w14:paraId="34C39902" w14:textId="77777777" w:rsidR="007C18E6" w:rsidRDefault="007C18E6">
      <w:pPr>
        <w:rPr>
          <w:rFonts w:ascii="Times New Roman" w:hAnsi="Times New Roman" w:cs="Times New Roman"/>
        </w:rPr>
      </w:pPr>
      <w:r>
        <w:rPr>
          <w:rFonts w:ascii="Times New Roman" w:hAnsi="Times New Roman" w:cs="Times New Roman"/>
        </w:rPr>
        <w:br w:type="page"/>
      </w:r>
    </w:p>
    <w:p w14:paraId="07D1F092" w14:textId="77777777" w:rsidR="007C18E6" w:rsidRDefault="007C18E6">
      <w:pPr>
        <w:rPr>
          <w:rFonts w:ascii="Times New Roman" w:hAnsi="Times New Roman" w:cs="Times New Roman"/>
        </w:rPr>
      </w:pPr>
      <w:r>
        <w:rPr>
          <w:rFonts w:ascii="Times New Roman" w:hAnsi="Times New Roman" w:cs="Times New Roman"/>
          <w:noProof/>
        </w:rPr>
        <w:lastRenderedPageBreak/>
        <w:drawing>
          <wp:inline distT="0" distB="0" distL="0" distR="0" wp14:anchorId="6DF57857" wp14:editId="5DFA64AF">
            <wp:extent cx="5486400" cy="3408045"/>
            <wp:effectExtent l="0" t="0" r="0" b="1905"/>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408045"/>
                    </a:xfrm>
                    <a:prstGeom prst="rect">
                      <a:avLst/>
                    </a:prstGeom>
                  </pic:spPr>
                </pic:pic>
              </a:graphicData>
            </a:graphic>
          </wp:inline>
        </w:drawing>
      </w:r>
    </w:p>
    <w:p w14:paraId="54F678B9" w14:textId="789D3A57" w:rsidR="007C18E6" w:rsidRDefault="007C18E6" w:rsidP="007C18E6">
      <w:pPr>
        <w:pStyle w:val="Caption"/>
        <w:jc w:val="both"/>
        <w:rPr>
          <w:rFonts w:ascii="Times New Roman" w:hAnsi="Times New Roman" w:cs="Times New Roman"/>
          <w:b w:val="0"/>
          <w:bCs w:val="0"/>
        </w:rPr>
      </w:pPr>
      <w:bookmarkStart w:id="19" w:name="_Toc100607933"/>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4</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The number of taxa (top) and study length (bottom) reported in studies of lotic (light blue) and lentic (dark blue) phenology</w:t>
      </w:r>
      <w:r w:rsidRPr="00DF7C87">
        <w:rPr>
          <w:rFonts w:ascii="Times New Roman" w:hAnsi="Times New Roman" w:cs="Times New Roman"/>
        </w:rPr>
        <w:t>.</w:t>
      </w:r>
      <w:r>
        <w:rPr>
          <w:rFonts w:ascii="Times New Roman" w:hAnsi="Times New Roman" w:cs="Times New Roman"/>
        </w:rPr>
        <w:t xml:space="preserve"> </w:t>
      </w:r>
      <w:r w:rsidR="00E523ED" w:rsidRPr="00E523ED">
        <w:rPr>
          <w:rFonts w:ascii="Times New Roman" w:hAnsi="Times New Roman" w:cs="Times New Roman"/>
          <w:b w:val="0"/>
          <w:bCs w:val="0"/>
        </w:rPr>
        <w:t>Points show values for individual studies and cross bars show median and interquartile ranges for each habitat.</w:t>
      </w:r>
      <w:bookmarkEnd w:id="19"/>
    </w:p>
    <w:p w14:paraId="21361841" w14:textId="77777777" w:rsidR="00E523ED" w:rsidRDefault="00E523ED">
      <w:pPr>
        <w:rPr>
          <w:rFonts w:ascii="Times New Roman" w:hAnsi="Times New Roman" w:cs="Times New Roman"/>
        </w:rPr>
      </w:pPr>
      <w:r>
        <w:rPr>
          <w:rFonts w:ascii="Times New Roman" w:hAnsi="Times New Roman" w:cs="Times New Roman"/>
        </w:rPr>
        <w:br w:type="page"/>
      </w:r>
    </w:p>
    <w:p w14:paraId="29C0CFC5" w14:textId="77777777" w:rsidR="00E523ED" w:rsidRDefault="00E523ED">
      <w:pPr>
        <w:rPr>
          <w:rFonts w:ascii="Times New Roman" w:hAnsi="Times New Roman" w:cs="Times New Roman"/>
        </w:rPr>
      </w:pPr>
      <w:r>
        <w:rPr>
          <w:rFonts w:ascii="Times New Roman" w:hAnsi="Times New Roman" w:cs="Times New Roman"/>
          <w:noProof/>
        </w:rPr>
        <w:lastRenderedPageBreak/>
        <w:drawing>
          <wp:inline distT="0" distB="0" distL="0" distR="0" wp14:anchorId="1EE042B0" wp14:editId="4F755C34">
            <wp:extent cx="5486400" cy="3991089"/>
            <wp:effectExtent l="0" t="0" r="0" b="952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3991089"/>
                    </a:xfrm>
                    <a:prstGeom prst="rect">
                      <a:avLst/>
                    </a:prstGeom>
                  </pic:spPr>
                </pic:pic>
              </a:graphicData>
            </a:graphic>
          </wp:inline>
        </w:drawing>
      </w:r>
    </w:p>
    <w:p w14:paraId="64EF89DD" w14:textId="163886D6" w:rsidR="0053571D" w:rsidRDefault="00E523ED" w:rsidP="00E523ED">
      <w:pPr>
        <w:pStyle w:val="Caption"/>
        <w:jc w:val="both"/>
        <w:rPr>
          <w:rFonts w:ascii="Times New Roman" w:hAnsi="Times New Roman" w:cs="Times New Roman"/>
          <w:b w:val="0"/>
          <w:bCs w:val="0"/>
        </w:rPr>
      </w:pPr>
      <w:bookmarkStart w:id="20" w:name="_Toc100607934"/>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5</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Temporal grain of analysis across studies identified in the review</w:t>
      </w:r>
      <w:r w:rsidRPr="00DF7C87">
        <w:rPr>
          <w:rFonts w:ascii="Times New Roman" w:hAnsi="Times New Roman" w:cs="Times New Roman"/>
        </w:rPr>
        <w:t>.</w:t>
      </w:r>
      <w:r>
        <w:rPr>
          <w:rFonts w:ascii="Times New Roman" w:hAnsi="Times New Roman" w:cs="Times New Roman"/>
        </w:rPr>
        <w:t xml:space="preserve"> </w:t>
      </w:r>
      <w:r w:rsidRPr="00E523ED">
        <w:rPr>
          <w:rFonts w:ascii="Times New Roman" w:hAnsi="Times New Roman" w:cs="Times New Roman"/>
          <w:b w:val="0"/>
          <w:bCs w:val="0"/>
        </w:rPr>
        <w:t>For each group of taxa, the number of studies reporting each temporal grain classification is shown</w:t>
      </w:r>
      <w:r>
        <w:rPr>
          <w:rFonts w:ascii="Times New Roman" w:hAnsi="Times New Roman" w:cs="Times New Roman"/>
          <w:b w:val="0"/>
          <w:bCs w:val="0"/>
        </w:rPr>
        <w:t xml:space="preserve">. </w:t>
      </w:r>
      <w:r w:rsidRPr="00E523ED">
        <w:rPr>
          <w:rFonts w:ascii="Times New Roman" w:hAnsi="Times New Roman" w:cs="Times New Roman"/>
          <w:b w:val="0"/>
          <w:bCs w:val="0"/>
        </w:rPr>
        <w:t>Taxa groups shown are (from top to bottom): zooplankton, primary producers, other vertebrates, macroinvertebrates, fishes, crustaceans/mollusks, and amphibians/aquatic reptiles.</w:t>
      </w:r>
      <w:bookmarkEnd w:id="20"/>
    </w:p>
    <w:p w14:paraId="347676A9" w14:textId="77777777" w:rsidR="0053571D" w:rsidRDefault="0053571D">
      <w:pPr>
        <w:rPr>
          <w:rFonts w:ascii="Times New Roman" w:hAnsi="Times New Roman" w:cs="Times New Roman"/>
        </w:rPr>
      </w:pPr>
      <w:r>
        <w:rPr>
          <w:rFonts w:ascii="Times New Roman" w:hAnsi="Times New Roman" w:cs="Times New Roman"/>
          <w:b/>
          <w:bCs/>
        </w:rPr>
        <w:br w:type="page"/>
      </w:r>
    </w:p>
    <w:p w14:paraId="344B6402" w14:textId="1F7A6970" w:rsidR="00E523ED" w:rsidRDefault="0053571D" w:rsidP="00E42C65">
      <w:pPr>
        <w:pStyle w:val="Caption"/>
        <w:jc w:val="center"/>
        <w:rPr>
          <w:rFonts w:ascii="Times New Roman" w:hAnsi="Times New Roman" w:cs="Times New Roman"/>
          <w:b w:val="0"/>
          <w:bCs w:val="0"/>
        </w:rPr>
      </w:pPr>
      <w:r>
        <w:rPr>
          <w:rFonts w:ascii="Times New Roman" w:hAnsi="Times New Roman" w:cs="Times New Roman"/>
          <w:b w:val="0"/>
          <w:bCs w:val="0"/>
          <w:noProof/>
        </w:rPr>
        <w:lastRenderedPageBreak/>
        <w:drawing>
          <wp:inline distT="0" distB="0" distL="0" distR="0" wp14:anchorId="14528CB5" wp14:editId="52E51D4A">
            <wp:extent cx="3748800" cy="5429250"/>
            <wp:effectExtent l="0" t="0" r="4445" b="0"/>
            <wp:docPr id="23" name="Picture 23" descr="Chart, diagram,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diagram, sunburst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64860" cy="5452509"/>
                    </a:xfrm>
                    <a:prstGeom prst="rect">
                      <a:avLst/>
                    </a:prstGeom>
                  </pic:spPr>
                </pic:pic>
              </a:graphicData>
            </a:graphic>
          </wp:inline>
        </w:drawing>
      </w:r>
    </w:p>
    <w:p w14:paraId="442E6A48" w14:textId="0387BACD" w:rsidR="0053571D" w:rsidRDefault="0053571D" w:rsidP="0053571D">
      <w:pPr>
        <w:pStyle w:val="Caption"/>
        <w:jc w:val="both"/>
        <w:rPr>
          <w:rFonts w:ascii="Times New Roman" w:hAnsi="Times New Roman" w:cs="Times New Roman"/>
          <w:b w:val="0"/>
          <w:bCs w:val="0"/>
        </w:rPr>
      </w:pPr>
      <w:bookmarkStart w:id="21" w:name="_Toc100607935"/>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6</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sidRPr="0053571D">
        <w:rPr>
          <w:rFonts w:ascii="Times New Roman" w:hAnsi="Times New Roman" w:cs="Times New Roman"/>
        </w:rPr>
        <w:t>Diagrams showing relationships between environmental cues and phenology metrics in lentic (a) and lotic (b) habitats</w:t>
      </w:r>
      <w:r w:rsidRPr="00DF7C87">
        <w:rPr>
          <w:rFonts w:ascii="Times New Roman" w:hAnsi="Times New Roman" w:cs="Times New Roman"/>
        </w:rPr>
        <w:t>.</w:t>
      </w:r>
      <w:r>
        <w:rPr>
          <w:rFonts w:ascii="Times New Roman" w:hAnsi="Times New Roman" w:cs="Times New Roman"/>
        </w:rPr>
        <w:t xml:space="preserve"> </w:t>
      </w:r>
      <w:r w:rsidRPr="0053571D">
        <w:rPr>
          <w:rFonts w:ascii="Times New Roman" w:hAnsi="Times New Roman" w:cs="Times New Roman"/>
          <w:b w:val="0"/>
          <w:bCs w:val="0"/>
        </w:rPr>
        <w:t>Numbers on the edges indicate the number of studies examining phenology metrics (upper half circle) and environmental cues (lower half circle, coded by color). The thickness of lines connecting cues and phenology metrics indicates the number of studies reporting a relationship between the variable pairs, with thicker lines showing greater research attention towards the relationship. Abbreviations for phenology metrics are egg/hatching (EG), emergence (EM), juvenile recruitment (JR), metamorphosis (MT), migration (MG), and population growth/production season (GR). Abbreviations for environmental cues are resources (RS), precipitation (PR), photoperiod (PT), latitude (LT), hydrology (HYD), elevation (EL), degree days (DD), and biotic factors (B). Studies that did not investigate an environmental cue–phenology metric relationship are omitted from the figure</w:t>
      </w:r>
      <w:r w:rsidRPr="00E523ED">
        <w:rPr>
          <w:rFonts w:ascii="Times New Roman" w:hAnsi="Times New Roman" w:cs="Times New Roman"/>
          <w:b w:val="0"/>
          <w:bCs w:val="0"/>
        </w:rPr>
        <w:t>.</w:t>
      </w:r>
      <w:bookmarkEnd w:id="21"/>
    </w:p>
    <w:p w14:paraId="6D0CA18B" w14:textId="0DE51E1C" w:rsidR="00B67767" w:rsidRDefault="00B67767">
      <w:pPr>
        <w:rPr>
          <w:rFonts w:ascii="Times New Roman" w:hAnsi="Times New Roman" w:cs="Times New Roman"/>
        </w:rPr>
      </w:pPr>
      <w:r>
        <w:rPr>
          <w:rFonts w:ascii="Times New Roman" w:hAnsi="Times New Roman" w:cs="Times New Roman"/>
        </w:rPr>
        <w:br w:type="page"/>
      </w:r>
    </w:p>
    <w:p w14:paraId="407B376A" w14:textId="31D11FA9" w:rsidR="00CB0E0B" w:rsidRDefault="002C1F8F" w:rsidP="004317A3">
      <w:pPr>
        <w:ind w:firstLine="720"/>
        <w:jc w:val="both"/>
        <w:rPr>
          <w:rFonts w:ascii="Times New Roman" w:hAnsi="Times New Roman" w:cs="Times New Roman"/>
        </w:rPr>
      </w:pPr>
      <w:r w:rsidRPr="002C1F8F">
        <w:rPr>
          <w:rFonts w:ascii="Times New Roman" w:hAnsi="Times New Roman" w:cs="Times New Roman"/>
        </w:rPr>
        <w:lastRenderedPageBreak/>
        <w:t xml:space="preserve">In lotic systems, the phenology metrics that received the most research attention were emergence and reproductive seasons (Fig. </w:t>
      </w:r>
      <w:r w:rsidR="00C156B2">
        <w:rPr>
          <w:rFonts w:ascii="Times New Roman" w:hAnsi="Times New Roman" w:cs="Times New Roman"/>
        </w:rPr>
        <w:t>6</w:t>
      </w:r>
      <w:r w:rsidRPr="002C1F8F">
        <w:rPr>
          <w:rFonts w:ascii="Times New Roman" w:hAnsi="Times New Roman" w:cs="Times New Roman"/>
        </w:rPr>
        <w:t>b). Macroinvertebrate emergence is important because the flux of adult insects provides trophic resources for terrestrial consumers, and changes in emergence phenology may impact the strength of aquatic-terrestrial linkages (Larsen et al. 2016). Emergence phenology is also important for resource fluxes in instream environments where allochthonous leaf litter input composes the base of food webs and macroinvertebrate detritivores control seasonal breakdown rates of organic matter (Benstead and Huryn 2011). The timing of migratory and reproductive events of fish and other vertebrates is important to the functioning of lotic systems because the structuring role that adults and juveniles play as predators (Giam and Olden 2016), and the carcasses of semelparous salmonid species can shape the activity and phenology of terrestrial scavengers which depend on these anadromous trophic resources (Lisi and Schindler 2011, Deacy et al. 2019, Rubenstein et al. 2019)</w:t>
      </w:r>
      <w:r w:rsidR="00CB0E0B" w:rsidRPr="00DF7C87">
        <w:rPr>
          <w:rFonts w:ascii="Times New Roman" w:hAnsi="Times New Roman" w:cs="Times New Roman"/>
        </w:rPr>
        <w:t>.</w:t>
      </w:r>
    </w:p>
    <w:p w14:paraId="2CF785DE" w14:textId="7B6D994B" w:rsidR="0007310D" w:rsidRPr="00DF7C87" w:rsidRDefault="0007310D" w:rsidP="0007310D">
      <w:pPr>
        <w:pStyle w:val="Heading3"/>
        <w:rPr>
          <w:rFonts w:ascii="Times New Roman" w:hAnsi="Times New Roman" w:cs="Times New Roman"/>
          <w:szCs w:val="24"/>
        </w:rPr>
      </w:pPr>
      <w:bookmarkStart w:id="22" w:name="_Toc100607879"/>
      <w:r>
        <w:rPr>
          <w:rFonts w:ascii="Times New Roman" w:hAnsi="Times New Roman" w:cs="Times New Roman"/>
          <w:szCs w:val="24"/>
        </w:rPr>
        <w:t>Environmental cues</w:t>
      </w:r>
      <w:bookmarkEnd w:id="22"/>
    </w:p>
    <w:p w14:paraId="45672024" w14:textId="5D692F04" w:rsidR="002C1F8F" w:rsidRPr="002C1F8F" w:rsidRDefault="002C1F8F" w:rsidP="004317A3">
      <w:pPr>
        <w:ind w:firstLine="720"/>
        <w:jc w:val="both"/>
        <w:rPr>
          <w:rFonts w:ascii="Times New Roman" w:hAnsi="Times New Roman" w:cs="Times New Roman"/>
        </w:rPr>
      </w:pPr>
      <w:r w:rsidRPr="002C1F8F">
        <w:rPr>
          <w:rFonts w:ascii="Times New Roman" w:hAnsi="Times New Roman" w:cs="Times New Roman"/>
        </w:rPr>
        <w:t xml:space="preserve">Across all metrics and habitats considered, the most studied environmental cue for phenology was temperature (Fig. </w:t>
      </w:r>
      <w:r w:rsidR="00E32635">
        <w:rPr>
          <w:rFonts w:ascii="Times New Roman" w:hAnsi="Times New Roman" w:cs="Times New Roman"/>
        </w:rPr>
        <w:t>6</w:t>
      </w:r>
      <w:r w:rsidRPr="002C1F8F">
        <w:rPr>
          <w:rFonts w:ascii="Times New Roman" w:hAnsi="Times New Roman" w:cs="Times New Roman"/>
        </w:rPr>
        <w:t>). A research foci on temperature-based cues for freshwater phenology likely reflects the temperature-dependence of growth, performance, and metabolism in ectotherms (Gillooly et al. 2001, 2002, Huey and Berrigan 2001). In addition, temperature determines the birth rate, mortality rate, and development time in ectotherm populations, affecting the timing and duration of phenological events (Scranton and Amarasekare 2017). These results indicate that ongoing and future climate warming may have strong impacts on timing of phenology events in freshwater systems. Increasing temperatures have advanced or delayed emergence dates in macroinvertebrates (Hassall et al. 2007, Anderson et al. 2019, Baranov et al. 2020), migration and spawning events in fishes (Kovach et al. 2016, Lynch et al. 2016, Austin et al. 2019), production blooms in phytoplankton (Elliott 2012a, Winder and Sommer 2012, Walters et al. 2013), and population growth peaks in zooplankton (Wojtal-Frankiewicz 2012). However, fewer studies have investigated the potential implications of these phenology shifts for community size structure, biomass production, or ecosystem functioning.</w:t>
      </w:r>
    </w:p>
    <w:p w14:paraId="2048CFB5" w14:textId="01861832" w:rsidR="002C1F8F" w:rsidRPr="002C1F8F" w:rsidRDefault="002C1F8F" w:rsidP="004317A3">
      <w:pPr>
        <w:ind w:firstLine="720"/>
        <w:jc w:val="both"/>
        <w:rPr>
          <w:rFonts w:ascii="Times New Roman" w:hAnsi="Times New Roman" w:cs="Times New Roman"/>
        </w:rPr>
      </w:pPr>
      <w:r w:rsidRPr="002C1F8F">
        <w:rPr>
          <w:rFonts w:ascii="Times New Roman" w:hAnsi="Times New Roman" w:cs="Times New Roman"/>
        </w:rPr>
        <w:t xml:space="preserve">In lentic habitats, secondary to temperature, resources were important environmental cues for phenology events and particularly the timing of the production and growing seasons for planktonic organisms (Fig. </w:t>
      </w:r>
      <w:r w:rsidR="00E32635">
        <w:rPr>
          <w:rFonts w:ascii="Times New Roman" w:hAnsi="Times New Roman" w:cs="Times New Roman"/>
        </w:rPr>
        <w:t>6</w:t>
      </w:r>
      <w:r w:rsidRPr="002C1F8F">
        <w:rPr>
          <w:rFonts w:ascii="Times New Roman" w:hAnsi="Times New Roman" w:cs="Times New Roman"/>
        </w:rPr>
        <w:t>a). Phytoplankton peaks may occur earlier and have a higher magnitude with increasing nutrients compared to scenarios of nutrient limitation (Elliott et al. 2006, Thackeray et al. 2008, Elliott 2012b). The phenology of zooplankton may respond to shifts in phytoplankton trophic resources by matching trends in producer peaks, or they may become decoupled from their prey (de Senerpont Domis et al. 2007, Winder et al. 2009, Nicolle et al. 2012). Therefore, changes in the trophic state of lentic habitats are likely to interact with temperature to influence planktonic phenology, as well as the phenology of abiotic lake processes, such as the timing and duration of the clear water phase (de Senerpont Domis et al. 2007, Elliott 2012b, McMeans et al. 2019).</w:t>
      </w:r>
    </w:p>
    <w:p w14:paraId="2455294C" w14:textId="07C56CA8" w:rsidR="002C1F8F" w:rsidRPr="002C1F8F" w:rsidRDefault="002C1F8F" w:rsidP="004317A3">
      <w:pPr>
        <w:ind w:firstLine="720"/>
        <w:jc w:val="both"/>
        <w:rPr>
          <w:rFonts w:ascii="Times New Roman" w:hAnsi="Times New Roman" w:cs="Times New Roman"/>
        </w:rPr>
      </w:pPr>
      <w:r w:rsidRPr="002C1F8F">
        <w:rPr>
          <w:rFonts w:ascii="Times New Roman" w:hAnsi="Times New Roman" w:cs="Times New Roman"/>
        </w:rPr>
        <w:t xml:space="preserve">In lotic habitats, in addition to temperature, hydrology cued phenology events (Fig. </w:t>
      </w:r>
      <w:r w:rsidR="00E32635">
        <w:rPr>
          <w:rFonts w:ascii="Times New Roman" w:hAnsi="Times New Roman" w:cs="Times New Roman"/>
        </w:rPr>
        <w:t>6</w:t>
      </w:r>
      <w:r w:rsidRPr="002C1F8F">
        <w:rPr>
          <w:rFonts w:ascii="Times New Roman" w:hAnsi="Times New Roman" w:cs="Times New Roman"/>
        </w:rPr>
        <w:t xml:space="preserve">b). The role of hydroclimatic cues for fish phenology has been recognized by Flitcroft et al. (2016) who proposed a framework that accounts for discharge and temperature to </w:t>
      </w:r>
      <w:r w:rsidRPr="002C1F8F">
        <w:rPr>
          <w:rFonts w:ascii="Times New Roman" w:hAnsi="Times New Roman" w:cs="Times New Roman"/>
        </w:rPr>
        <w:lastRenderedPageBreak/>
        <w:t xml:space="preserve">characterize seasonal migratory and spawning events, and Heim et al. (2019) who suggested streamflow impacts on phenology be examined based on the seasonal availability of temporary habitats that are important for growth, spawning, and refuge. For many fish species, spawning peaks may occur during or shortly following high flows (Smith 1991, Gorman and Stone 1999, Krabbenhoft et al. 2014a, Catalano and Bozek 2015, Valdez et al. 2019) which make available habitat and resources critical for survival and rearing of eggs and juveniles (e.g., inundation of floodplain habitats) (Peterson and VanderKooy 1995, Turner et al. 2010). However, some opportunistic species may spawn during low flows due to increased water temperature, stable environment, and protection from piscivores (King et al. 2020). </w:t>
      </w:r>
    </w:p>
    <w:p w14:paraId="19E57FB2" w14:textId="721E1A94" w:rsidR="0007310D" w:rsidRDefault="002C1F8F" w:rsidP="004317A3">
      <w:pPr>
        <w:ind w:firstLine="720"/>
        <w:jc w:val="both"/>
        <w:rPr>
          <w:rFonts w:ascii="Times New Roman" w:hAnsi="Times New Roman" w:cs="Times New Roman"/>
        </w:rPr>
      </w:pPr>
      <w:r w:rsidRPr="002C1F8F">
        <w:rPr>
          <w:rFonts w:ascii="Times New Roman" w:hAnsi="Times New Roman" w:cs="Times New Roman"/>
        </w:rPr>
        <w:t>For macroinvertebrates, low flow events can cue emergence to terrestrial stages by indicating declining optimal habitat for aquatic larvae (Giberson and Garnett 1996, Harper and Peckarsky 2006, Castro-Rebolledo and Donato-Rondon 2015) or increasing availability of suitable sites for oviposition (Peckarsky et al. 2000). Alterations to the natural flow regime from anthropogenic modifications can decrease habitat availability for fishes that require specific substrates for spawning or juvenile rearing (Peterson and VanderKooy 1995, Meneks et al. 2003), and create ecological traps for aquatic larvae of rheophilic macroinvertebrate species when adults oviposit near modified habitats (Hardersen 2008). Climate change-induced alterations to the duration, magnitude, and timing of streamflow events may cause macroinvertebrates to emerge earlier, at smaller sizes, and less fecund (Harper and Peckarsky 2006), or reduce temporal partitioning between spawning fish species (Krabbenhoft et al. 2014a)</w:t>
      </w:r>
      <w:r w:rsidR="0007310D" w:rsidRPr="00DF7C87">
        <w:rPr>
          <w:rFonts w:ascii="Times New Roman" w:hAnsi="Times New Roman" w:cs="Times New Roman"/>
        </w:rPr>
        <w:t>.</w:t>
      </w:r>
    </w:p>
    <w:p w14:paraId="6202C534" w14:textId="758A0F68" w:rsidR="0007310D" w:rsidRPr="00DF7C87" w:rsidRDefault="0007310D" w:rsidP="0007310D">
      <w:pPr>
        <w:pStyle w:val="Heading3"/>
        <w:rPr>
          <w:rFonts w:ascii="Times New Roman" w:hAnsi="Times New Roman" w:cs="Times New Roman"/>
          <w:szCs w:val="24"/>
        </w:rPr>
      </w:pPr>
      <w:bookmarkStart w:id="23" w:name="_Toc100607880"/>
      <w:r>
        <w:rPr>
          <w:rFonts w:ascii="Times New Roman" w:hAnsi="Times New Roman" w:cs="Times New Roman"/>
          <w:szCs w:val="24"/>
        </w:rPr>
        <w:t>Intrinsic traits</w:t>
      </w:r>
      <w:bookmarkEnd w:id="23"/>
    </w:p>
    <w:p w14:paraId="59AF58A1" w14:textId="0515D205" w:rsidR="00E81703" w:rsidRPr="00E81703" w:rsidRDefault="00E81703" w:rsidP="004317A3">
      <w:pPr>
        <w:ind w:firstLine="720"/>
        <w:jc w:val="both"/>
        <w:rPr>
          <w:rFonts w:ascii="Times New Roman" w:hAnsi="Times New Roman" w:cs="Times New Roman"/>
        </w:rPr>
      </w:pPr>
      <w:r w:rsidRPr="00E81703">
        <w:rPr>
          <w:rFonts w:ascii="Times New Roman" w:hAnsi="Times New Roman" w:cs="Times New Roman"/>
        </w:rPr>
        <w:t>Most studies failed to provide intrinsic traits that may be associated with mechanisms that explain patterns of phenology across species (</w:t>
      </w:r>
      <w:r w:rsidR="00FE3C41">
        <w:rPr>
          <w:rFonts w:ascii="Times New Roman" w:hAnsi="Times New Roman" w:cs="Times New Roman"/>
        </w:rPr>
        <w:t>Fig. 7</w:t>
      </w:r>
      <w:r w:rsidRPr="00E81703">
        <w:rPr>
          <w:rFonts w:ascii="Times New Roman" w:hAnsi="Times New Roman" w:cs="Times New Roman"/>
        </w:rPr>
        <w:t>). Of those that did, reproductive timing was the most investigated trait. With respect to hydrologic cues, summer spawning fishes advanced phenology with earlier flows whereas spring spawning species did not (Krabbenhoft et al. 2014a). However, with respect to temperature cues, spring spawners advanced timing with warming while summer spawners did not shift (Lyons et al. 2015). In macroinvertebrates, species with spring emergence periods showed greater phenology advances in response to increasing temperature compared to summer-emerging species (Hassall et al. 2007). In phytoplankton, community advances in annual blooming events can be attributed to disproportionate gains in abundance of early season taxa, relative to late season taxa (Elliott et al. 2006, Walters et al. 2013).</w:t>
      </w:r>
    </w:p>
    <w:p w14:paraId="69A0A171" w14:textId="77777777" w:rsidR="00FE3C41" w:rsidRDefault="00FE3C41">
      <w:pPr>
        <w:rPr>
          <w:rFonts w:ascii="Times New Roman" w:hAnsi="Times New Roman" w:cs="Times New Roman"/>
        </w:rPr>
      </w:pPr>
      <w:r>
        <w:rPr>
          <w:rFonts w:ascii="Times New Roman" w:hAnsi="Times New Roman" w:cs="Times New Roman"/>
        </w:rPr>
        <w:br w:type="page"/>
      </w:r>
    </w:p>
    <w:p w14:paraId="4B92F741" w14:textId="77777777" w:rsidR="00321016" w:rsidRDefault="00321016" w:rsidP="00321016">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C923350" wp14:editId="5FC7433A">
            <wp:extent cx="4241800" cy="42418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41800" cy="4241800"/>
                    </a:xfrm>
                    <a:prstGeom prst="rect">
                      <a:avLst/>
                    </a:prstGeom>
                  </pic:spPr>
                </pic:pic>
              </a:graphicData>
            </a:graphic>
          </wp:inline>
        </w:drawing>
      </w:r>
    </w:p>
    <w:p w14:paraId="4A17EF5F" w14:textId="3E34A8EE" w:rsidR="00321016" w:rsidRDefault="00321016" w:rsidP="00321016">
      <w:pPr>
        <w:pStyle w:val="Caption"/>
        <w:jc w:val="both"/>
        <w:rPr>
          <w:rFonts w:ascii="Times New Roman" w:hAnsi="Times New Roman" w:cs="Times New Roman"/>
          <w:b w:val="0"/>
          <w:bCs w:val="0"/>
        </w:rPr>
      </w:pPr>
      <w:bookmarkStart w:id="24" w:name="_Toc100607936"/>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7</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Intrinsic traits investigated by studies in our review</w:t>
      </w:r>
      <w:r w:rsidRPr="00DF7C87">
        <w:rPr>
          <w:rFonts w:ascii="Times New Roman" w:hAnsi="Times New Roman" w:cs="Times New Roman"/>
        </w:rPr>
        <w:t>.</w:t>
      </w:r>
      <w:r>
        <w:rPr>
          <w:rFonts w:ascii="Times New Roman" w:hAnsi="Times New Roman" w:cs="Times New Roman"/>
        </w:rPr>
        <w:t xml:space="preserve"> </w:t>
      </w:r>
      <w:r w:rsidRPr="00321016">
        <w:rPr>
          <w:rFonts w:ascii="Times New Roman" w:hAnsi="Times New Roman" w:cs="Times New Roman"/>
          <w:b w:val="0"/>
          <w:bCs w:val="0"/>
        </w:rPr>
        <w:t>For each trait, the number of studies reporting the trait is shown by the length of the bar.</w:t>
      </w:r>
      <w:bookmarkEnd w:id="24"/>
    </w:p>
    <w:p w14:paraId="0A7A5627" w14:textId="57C56A7C" w:rsidR="00FE3C41" w:rsidRDefault="00FE3C41">
      <w:pPr>
        <w:rPr>
          <w:rFonts w:ascii="Times New Roman" w:hAnsi="Times New Roman" w:cs="Times New Roman"/>
        </w:rPr>
      </w:pPr>
      <w:r>
        <w:rPr>
          <w:rFonts w:ascii="Times New Roman" w:hAnsi="Times New Roman" w:cs="Times New Roman"/>
        </w:rPr>
        <w:br w:type="page"/>
      </w:r>
    </w:p>
    <w:p w14:paraId="36E8062F" w14:textId="525E65F5" w:rsidR="00E81703" w:rsidRPr="00E81703" w:rsidRDefault="00E81703" w:rsidP="004317A3">
      <w:pPr>
        <w:ind w:firstLine="720"/>
        <w:jc w:val="both"/>
        <w:rPr>
          <w:rFonts w:ascii="Times New Roman" w:hAnsi="Times New Roman" w:cs="Times New Roman"/>
        </w:rPr>
      </w:pPr>
      <w:r w:rsidRPr="00E81703">
        <w:rPr>
          <w:rFonts w:ascii="Times New Roman" w:hAnsi="Times New Roman" w:cs="Times New Roman"/>
        </w:rPr>
        <w:lastRenderedPageBreak/>
        <w:t>Generation time may also describe variation in phenology regimes across species. Planktonic organisms with shorter life cycles synchronously advanced production peaks, whereas those with longer life cycles become asynchronous (Adrian et al. 2006). Voltinism (i.e., number of generations per year) is a trait that is often reported for invertebrates but the potential effect of this trait on species-specific phenology is rarely tested in aquatic invertebrates, in contrast to terrestrial invertebrates (Macgregor et al. 2019). Exemplar questions on patterns of species phenology as related to voltinism include: (1) are taxa with longer (uni- or semivoltine) or shorter generation time (multivoltine) more likely to shift the timing of emergence or production peaks in response to environmental cues; and (2) which taxa can shift their life cycles (e.g., facultative voltinism) in response to changes in various environmental cues (Jönsson et al. 2009, Altermatt 2010b)?</w:t>
      </w:r>
    </w:p>
    <w:p w14:paraId="1F544325" w14:textId="7E420FEA" w:rsidR="0007310D" w:rsidRPr="00DF7C87" w:rsidRDefault="00E81703" w:rsidP="004317A3">
      <w:pPr>
        <w:ind w:firstLine="720"/>
        <w:jc w:val="both"/>
        <w:rPr>
          <w:rFonts w:ascii="Times New Roman" w:hAnsi="Times New Roman" w:cs="Times New Roman"/>
        </w:rPr>
      </w:pPr>
      <w:r w:rsidRPr="00E81703">
        <w:rPr>
          <w:rFonts w:ascii="Times New Roman" w:hAnsi="Times New Roman" w:cs="Times New Roman"/>
        </w:rPr>
        <w:t>Another intrinsic trait that may warrant further investigation in describing phenology across species, and specifically patterns related to temperature cues, is thermal sensitivity. With increasing temperatures, cold-water spawning fishes may delay spawning events, while cool and warm water species advance spawning seasons (Shuter et al. 2012). Zooplankton taxa with broader thermal ranges may be less responsive to increasing temperatures, whereas thermophilic species can increase the magnitude of their annual population growth peaks (Gerten and Adrian 2002)</w:t>
      </w:r>
      <w:r w:rsidR="0007310D" w:rsidRPr="00DF7C87">
        <w:rPr>
          <w:rFonts w:ascii="Times New Roman" w:hAnsi="Times New Roman" w:cs="Times New Roman"/>
        </w:rPr>
        <w:t>.</w:t>
      </w:r>
    </w:p>
    <w:p w14:paraId="662AECF4" w14:textId="073CA121" w:rsidR="0007310D" w:rsidRPr="00DF7C87" w:rsidRDefault="0007310D" w:rsidP="0007310D">
      <w:pPr>
        <w:pStyle w:val="Heading3"/>
        <w:rPr>
          <w:rFonts w:ascii="Times New Roman" w:hAnsi="Times New Roman" w:cs="Times New Roman"/>
          <w:szCs w:val="24"/>
        </w:rPr>
      </w:pPr>
      <w:bookmarkStart w:id="25" w:name="_Toc100607881"/>
      <w:r>
        <w:rPr>
          <w:rFonts w:ascii="Times New Roman" w:hAnsi="Times New Roman" w:cs="Times New Roman"/>
          <w:szCs w:val="24"/>
        </w:rPr>
        <w:t>Biotic interactions</w:t>
      </w:r>
      <w:bookmarkEnd w:id="25"/>
    </w:p>
    <w:p w14:paraId="5792C79B" w14:textId="0A1177EF" w:rsidR="008D7DF3" w:rsidRPr="008D7DF3" w:rsidRDefault="008D7DF3" w:rsidP="004317A3">
      <w:pPr>
        <w:ind w:firstLine="720"/>
        <w:jc w:val="both"/>
        <w:rPr>
          <w:rFonts w:ascii="Times New Roman" w:hAnsi="Times New Roman" w:cs="Times New Roman"/>
        </w:rPr>
      </w:pPr>
      <w:r w:rsidRPr="008D7DF3">
        <w:rPr>
          <w:rFonts w:ascii="Times New Roman" w:hAnsi="Times New Roman" w:cs="Times New Roman"/>
        </w:rPr>
        <w:t xml:space="preserve">Relatively few studies investigated phenology with regard to biotic interactions associated with these events (67 of 419 studies; </w:t>
      </w:r>
      <w:r w:rsidR="00F57CFD">
        <w:rPr>
          <w:rFonts w:ascii="Times New Roman" w:hAnsi="Times New Roman" w:cs="Times New Roman"/>
        </w:rPr>
        <w:t xml:space="preserve">Fig. </w:t>
      </w:r>
      <w:r w:rsidR="00935D18">
        <w:rPr>
          <w:rFonts w:ascii="Times New Roman" w:hAnsi="Times New Roman" w:cs="Times New Roman"/>
        </w:rPr>
        <w:t>8</w:t>
      </w:r>
      <w:r w:rsidRPr="008D7DF3">
        <w:rPr>
          <w:rFonts w:ascii="Times New Roman" w:hAnsi="Times New Roman" w:cs="Times New Roman"/>
        </w:rPr>
        <w:t>). Of these 67 studies, the most frequently examined interactions were trophic interactions (50 studies). In lentic habitats, ongoing global change may cause temporal mismatches between phytoplankton and zooplankton phenology and this asynchrony could alter bottom-up resource flow to higher trophic levels (de Senerpont Domis et al. 2007, Seebens et al. 2009, Donnelly et al. 2011, Winder and Sommer 2012). Trophic mismatches may also occur in top-down predation effects of lentic fishes and predaceous invertebrates on zooplankton (Schindler et al. 2005, Wagner and Benndorf 2007, Brodersen et al. 2011, Wagner et al. 2013), but some limnological studies found fish phenology was able to track shifts in prey resources (Jolley et al. 2010, Hovel et al. 2019). In lotic systems, changes in the timing of anadromous salmon carcasses and emerged aquatic insect pulses can cause trophic mismatches with terrestrial consumers (Lisi and Schindler 2011, Larsen et al. 2016, Deacy et al. 2019, Rubenstein et al. 2019), whereas fishes were found to track emerged insect resource pulses (Bell et al. 2017, Hansen et al. 2020). These contrasting results indicate that more research is needed to understand the ecological contexts under which trophic mismatches will occur in freshwater systems.</w:t>
      </w:r>
    </w:p>
    <w:p w14:paraId="2AB78395" w14:textId="77777777" w:rsidR="00F57CFD" w:rsidRDefault="00F57CFD">
      <w:pPr>
        <w:rPr>
          <w:rFonts w:ascii="Times New Roman" w:hAnsi="Times New Roman" w:cs="Times New Roman"/>
        </w:rPr>
      </w:pPr>
      <w:r>
        <w:rPr>
          <w:rFonts w:ascii="Times New Roman" w:hAnsi="Times New Roman" w:cs="Times New Roman"/>
        </w:rPr>
        <w:br w:type="page"/>
      </w:r>
    </w:p>
    <w:p w14:paraId="470D17EA" w14:textId="77777777" w:rsidR="00F57CFD" w:rsidRDefault="00F57CFD" w:rsidP="003B23D7">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18292DB" wp14:editId="7948AB81">
            <wp:extent cx="4241800" cy="42418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41800" cy="4241800"/>
                    </a:xfrm>
                    <a:prstGeom prst="rect">
                      <a:avLst/>
                    </a:prstGeom>
                  </pic:spPr>
                </pic:pic>
              </a:graphicData>
            </a:graphic>
          </wp:inline>
        </w:drawing>
      </w:r>
    </w:p>
    <w:p w14:paraId="2939BC1B" w14:textId="565CAF2E" w:rsidR="00F57CFD" w:rsidRDefault="00F57CFD" w:rsidP="00F57CFD">
      <w:pPr>
        <w:pStyle w:val="Caption"/>
        <w:jc w:val="both"/>
        <w:rPr>
          <w:rFonts w:ascii="Times New Roman" w:hAnsi="Times New Roman" w:cs="Times New Roman"/>
          <w:b w:val="0"/>
          <w:bCs w:val="0"/>
        </w:rPr>
      </w:pPr>
      <w:bookmarkStart w:id="26" w:name="_Toc100607937"/>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sidR="0070257C">
        <w:rPr>
          <w:rFonts w:ascii="Times New Roman" w:hAnsi="Times New Roman" w:cs="Times New Roman"/>
          <w:noProof/>
        </w:rPr>
        <w:t>8</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Biotic interactions investigated by studies in our review</w:t>
      </w:r>
      <w:r w:rsidRPr="00DF7C87">
        <w:rPr>
          <w:rFonts w:ascii="Times New Roman" w:hAnsi="Times New Roman" w:cs="Times New Roman"/>
        </w:rPr>
        <w:t>.</w:t>
      </w:r>
      <w:r>
        <w:rPr>
          <w:rFonts w:ascii="Times New Roman" w:hAnsi="Times New Roman" w:cs="Times New Roman"/>
        </w:rPr>
        <w:t xml:space="preserve"> </w:t>
      </w:r>
      <w:r w:rsidRPr="00321016">
        <w:rPr>
          <w:rFonts w:ascii="Times New Roman" w:hAnsi="Times New Roman" w:cs="Times New Roman"/>
          <w:b w:val="0"/>
          <w:bCs w:val="0"/>
        </w:rPr>
        <w:t xml:space="preserve">For each trait, the number of studies reporting the </w:t>
      </w:r>
      <w:r>
        <w:rPr>
          <w:rFonts w:ascii="Times New Roman" w:hAnsi="Times New Roman" w:cs="Times New Roman"/>
          <w:b w:val="0"/>
          <w:bCs w:val="0"/>
        </w:rPr>
        <w:t>interaction</w:t>
      </w:r>
      <w:r w:rsidRPr="00321016">
        <w:rPr>
          <w:rFonts w:ascii="Times New Roman" w:hAnsi="Times New Roman" w:cs="Times New Roman"/>
          <w:b w:val="0"/>
          <w:bCs w:val="0"/>
        </w:rPr>
        <w:t xml:space="preserve"> is shown by the length of the bar.</w:t>
      </w:r>
      <w:bookmarkEnd w:id="26"/>
    </w:p>
    <w:p w14:paraId="702F89E3" w14:textId="1A0EDBA5" w:rsidR="00F57CFD" w:rsidRDefault="00F57CFD">
      <w:pPr>
        <w:rPr>
          <w:rFonts w:ascii="Times New Roman" w:hAnsi="Times New Roman" w:cs="Times New Roman"/>
        </w:rPr>
      </w:pPr>
      <w:r>
        <w:rPr>
          <w:rFonts w:ascii="Times New Roman" w:hAnsi="Times New Roman" w:cs="Times New Roman"/>
        </w:rPr>
        <w:br w:type="page"/>
      </w:r>
    </w:p>
    <w:p w14:paraId="50E8A9E3" w14:textId="137B5E60" w:rsidR="0007310D" w:rsidRPr="00DF7C87" w:rsidRDefault="008D7DF3" w:rsidP="00463612">
      <w:pPr>
        <w:ind w:firstLine="720"/>
        <w:jc w:val="both"/>
        <w:rPr>
          <w:rFonts w:ascii="Times New Roman" w:hAnsi="Times New Roman" w:cs="Times New Roman"/>
        </w:rPr>
      </w:pPr>
      <w:r w:rsidRPr="008D7DF3">
        <w:rPr>
          <w:rFonts w:ascii="Times New Roman" w:hAnsi="Times New Roman" w:cs="Times New Roman"/>
        </w:rPr>
        <w:lastRenderedPageBreak/>
        <w:t xml:space="preserve">Following trophic interactions, competition and terrestrial-aquatic linkages were the most investigated biotic interactions (12 and 6 studies, respectively; </w:t>
      </w:r>
      <w:r w:rsidR="00F57CFD">
        <w:rPr>
          <w:rFonts w:ascii="Times New Roman" w:hAnsi="Times New Roman" w:cs="Times New Roman"/>
        </w:rPr>
        <w:t>Fig.</w:t>
      </w:r>
      <w:r w:rsidR="001826D4">
        <w:rPr>
          <w:rFonts w:ascii="Times New Roman" w:hAnsi="Times New Roman" w:cs="Times New Roman"/>
        </w:rPr>
        <w:t xml:space="preserve"> </w:t>
      </w:r>
      <w:r w:rsidR="00F57CFD">
        <w:rPr>
          <w:rFonts w:ascii="Times New Roman" w:hAnsi="Times New Roman" w:cs="Times New Roman"/>
        </w:rPr>
        <w:t>8</w:t>
      </w:r>
      <w:r w:rsidRPr="008D7DF3">
        <w:rPr>
          <w:rFonts w:ascii="Times New Roman" w:hAnsi="Times New Roman" w:cs="Times New Roman"/>
        </w:rPr>
        <w:t>). Competitive interactions associated with phenology are likely to be particularly important when phenology events are timed to lessen competition for food resources. For example, shifts in the timing of lotic larval fish appearance and lentic zooplankton peaks may increase temporal overlap between species and competition for limited resources (Adrian et al. 1999, Duffy 2010, Turner et al. 2010). Research on the phenology of terrestrial-aquatic interactions has focused on the timing of marine subsidies of salmonid carcasses on terrestrial consumers (Lisi and Schindler 2011, Deacy et al. 2016, 2019, Rubenstein et al. 2019), whereas timing in subsidies of emergent aquatic insects on riparian consumers are relatively unstudied (Larsen et al. 2016). Another biotic interaction that may warrant investigation is the interaction between nest building and nest associate fish species as shifts in the phenology of either species could alter synchronous spawning with its mutualistic partner (Kim and Kanno 2020). Our review indicates that the implications of potential shifts in these positive interactions is largely unknown</w:t>
      </w:r>
      <w:r w:rsidR="0007310D" w:rsidRPr="00DF7C87">
        <w:rPr>
          <w:rFonts w:ascii="Times New Roman" w:hAnsi="Times New Roman" w:cs="Times New Roman"/>
        </w:rPr>
        <w:t>.</w:t>
      </w:r>
    </w:p>
    <w:p w14:paraId="67C396A8" w14:textId="4A8D76CF" w:rsidR="007D678C" w:rsidRPr="0009639E" w:rsidRDefault="007D678C" w:rsidP="007D678C">
      <w:pPr>
        <w:pStyle w:val="Heading2"/>
        <w:rPr>
          <w:rFonts w:ascii="Times New Roman" w:hAnsi="Times New Roman" w:cs="Times New Roman"/>
          <w:sz w:val="24"/>
          <w:szCs w:val="24"/>
        </w:rPr>
      </w:pPr>
      <w:bookmarkStart w:id="27" w:name="_Toc100607882"/>
      <w:r>
        <w:rPr>
          <w:rFonts w:ascii="Times New Roman" w:hAnsi="Times New Roman" w:cs="Times New Roman"/>
          <w:sz w:val="24"/>
          <w:szCs w:val="24"/>
        </w:rPr>
        <w:t>Knowledge gaps and future directions</w:t>
      </w:r>
      <w:bookmarkEnd w:id="27"/>
    </w:p>
    <w:p w14:paraId="55779D5F" w14:textId="5B73A839" w:rsidR="007D678C" w:rsidRPr="00DF7C87" w:rsidRDefault="007D678C" w:rsidP="007D678C">
      <w:pPr>
        <w:pStyle w:val="Heading3"/>
        <w:rPr>
          <w:rFonts w:ascii="Times New Roman" w:hAnsi="Times New Roman" w:cs="Times New Roman"/>
          <w:szCs w:val="24"/>
        </w:rPr>
      </w:pPr>
      <w:bookmarkStart w:id="28" w:name="_Toc100607883"/>
      <w:r w:rsidRPr="0009639E">
        <w:rPr>
          <w:rFonts w:ascii="Times New Roman" w:hAnsi="Times New Roman" w:cs="Times New Roman"/>
          <w:szCs w:val="24"/>
        </w:rPr>
        <w:t xml:space="preserve">Spatial, taxonomic, and temporal </w:t>
      </w:r>
      <w:r w:rsidR="006A5831">
        <w:rPr>
          <w:rFonts w:ascii="Times New Roman" w:hAnsi="Times New Roman" w:cs="Times New Roman"/>
          <w:szCs w:val="24"/>
        </w:rPr>
        <w:t>biases</w:t>
      </w:r>
      <w:bookmarkEnd w:id="28"/>
    </w:p>
    <w:p w14:paraId="5AA463F5" w14:textId="77777777" w:rsidR="006A5831" w:rsidRPr="006A5831" w:rsidRDefault="006A5831" w:rsidP="004317A3">
      <w:pPr>
        <w:ind w:firstLine="720"/>
        <w:jc w:val="both"/>
        <w:rPr>
          <w:rFonts w:ascii="Times New Roman" w:hAnsi="Times New Roman" w:cs="Times New Roman"/>
        </w:rPr>
      </w:pPr>
      <w:r w:rsidRPr="006A5831">
        <w:rPr>
          <w:rFonts w:ascii="Times New Roman" w:hAnsi="Times New Roman" w:cs="Times New Roman"/>
        </w:rPr>
        <w:t>Our review identified several spatial, taxonomic, and temporal knowledge gaps in contemporary freshwater phenology research. Phenology studies skew towards Northern hemisphere temperate ecosystems and the lack of tropical studies can bias our knowledge of environmental cues. For example, the prevalence of temperature-dependent phenological regimes may be biased by the disproportionate representation of temperate systems where seasonal variation in temperature plays a structuring role in biological communities. It remains to be seen whether lower seasonal temperature variation in tropical environments means that other environmental cues are better indicators of organisms’ phenology (Chambers et al. 2013). For example, Castro-Rebolledo and Donato-Rondon (2015) suggest that hydrology may be the primary cue for macroinvertebrate emergence in tropical environments, and future research should continue to clarify the environmental drivers of freshwater phenology in tropical systems.</w:t>
      </w:r>
    </w:p>
    <w:p w14:paraId="6F9B8FC8" w14:textId="77777777" w:rsidR="006A5831" w:rsidRPr="006A5831" w:rsidRDefault="006A5831" w:rsidP="004317A3">
      <w:pPr>
        <w:jc w:val="both"/>
        <w:rPr>
          <w:rFonts w:ascii="Times New Roman" w:hAnsi="Times New Roman" w:cs="Times New Roman"/>
        </w:rPr>
      </w:pPr>
      <w:r w:rsidRPr="006A5831">
        <w:rPr>
          <w:rFonts w:ascii="Times New Roman" w:hAnsi="Times New Roman" w:cs="Times New Roman"/>
        </w:rPr>
        <w:tab/>
        <w:t>Although salmonid species are of economic and ecological importance, we suggest that future freshwater fish phenology research efforts should emphasize phenology of non-salmonid species and could incorporate an existing life history strategy framework into fish phenology research (Mims et al. 2010, Mims and Olden 2012, 2013). For example, understanding whether periodic strategists (long-lived, large bodied, high fecundity) respond to different environmental cues than opportunistic (short-lived, small bodied, low fecundity) strategists (Chevalier et al. 2014) could be useful to generalize which species may be more sensitive to shifts in phenology.</w:t>
      </w:r>
    </w:p>
    <w:p w14:paraId="7D194AAB" w14:textId="2B824148" w:rsidR="00C45C83" w:rsidRDefault="006A5831" w:rsidP="004317A3">
      <w:pPr>
        <w:jc w:val="both"/>
        <w:rPr>
          <w:rFonts w:ascii="Times New Roman" w:hAnsi="Times New Roman" w:cs="Times New Roman"/>
        </w:rPr>
      </w:pPr>
      <w:r w:rsidRPr="006A5831">
        <w:rPr>
          <w:rFonts w:ascii="Times New Roman" w:hAnsi="Times New Roman" w:cs="Times New Roman"/>
        </w:rPr>
        <w:tab/>
        <w:t xml:space="preserve">A limitation of contemporary phenology research in lotic habitats is a lack of long-term datasets. Research shows that shorter time series may be insufficient to detect trends in phenology, therefore limit the potential to monitor ongoing phenology shifts in these environments (Olsen et al. 2020). To address this research gap, studies could conduct contemporary surveys at sites with records of past phenology measurements or employ space-for-time substitution approaches (Blois et al. 2013). In addition, long-term stream </w:t>
      </w:r>
      <w:r w:rsidRPr="006A5831">
        <w:rPr>
          <w:rFonts w:ascii="Times New Roman" w:hAnsi="Times New Roman" w:cs="Times New Roman"/>
        </w:rPr>
        <w:lastRenderedPageBreak/>
        <w:t>monitoring programs such as the National Rivers and Streams Assessment (NRSA; https://www.epa.gov/national-aquatic-resource-surveys/nrsa) and National Ecological Observatory Network (NEON; https://www.neonscience.org/) in the US, and Office français de la biodiversité (OFB) freshwater fish monitoring program (http://www.naiades.eaufrance.fr/) in France, should consider characterizing species phenology in a small subset of their monitoring sites, for example, in locations expected to experience the greatest changes in climate and other environmental cues such as flow</w:t>
      </w:r>
      <w:r>
        <w:rPr>
          <w:rFonts w:ascii="Times New Roman" w:hAnsi="Times New Roman" w:cs="Times New Roman"/>
        </w:rPr>
        <w:t>.</w:t>
      </w:r>
    </w:p>
    <w:p w14:paraId="2B5E7FEB" w14:textId="48BD04DC" w:rsidR="00C45C83" w:rsidRPr="00DF7C87" w:rsidRDefault="00C45C83" w:rsidP="00C45C83">
      <w:pPr>
        <w:pStyle w:val="Heading3"/>
        <w:rPr>
          <w:rFonts w:ascii="Times New Roman" w:hAnsi="Times New Roman" w:cs="Times New Roman"/>
          <w:szCs w:val="24"/>
        </w:rPr>
      </w:pPr>
      <w:bookmarkStart w:id="29" w:name="_Toc100607884"/>
      <w:r>
        <w:rPr>
          <w:rFonts w:ascii="Times New Roman" w:hAnsi="Times New Roman" w:cs="Times New Roman"/>
          <w:szCs w:val="24"/>
        </w:rPr>
        <w:t>Environmental cues and intrinsic traits</w:t>
      </w:r>
      <w:bookmarkEnd w:id="29"/>
    </w:p>
    <w:p w14:paraId="4C4F7F82" w14:textId="77777777" w:rsidR="00C45C83" w:rsidRPr="00C45C83" w:rsidRDefault="00C45C83" w:rsidP="004317A3">
      <w:pPr>
        <w:ind w:firstLine="720"/>
        <w:jc w:val="both"/>
        <w:rPr>
          <w:rFonts w:ascii="Times New Roman" w:hAnsi="Times New Roman" w:cs="Times New Roman"/>
        </w:rPr>
      </w:pPr>
      <w:r w:rsidRPr="00C45C83">
        <w:rPr>
          <w:rFonts w:ascii="Times New Roman" w:hAnsi="Times New Roman" w:cs="Times New Roman"/>
        </w:rPr>
        <w:t xml:space="preserve">Temperature was the most frequently examined environmental cue, but future research should also investigate how climate change may interact with multiple global change stressors to influence phenology. The effects of nutrient loading and increasing temperatures may synergistically affect the timing of lentic phytoplankton production (Elliott et al. 2006, Elliott 2012b), land use and cover change may exacerbate temperature-driven phenology shifts in macroinvertebrate emergence (Villalobos-Jiménez and Hassall 2017, Anderson et al. 2019), and hydroclimatic stressors may synergistically impact fish migration, recruitment, and spawning (Ayllón et al. 2019). Future research should continue to quantify how temperature and other environmental cues influence phenology of different species and how additional stressors can amplify or mitigate these effects. </w:t>
      </w:r>
    </w:p>
    <w:p w14:paraId="20DB89D3" w14:textId="77777777" w:rsidR="00C45C83" w:rsidRPr="00C45C83" w:rsidRDefault="00C45C83" w:rsidP="004317A3">
      <w:pPr>
        <w:ind w:firstLine="720"/>
        <w:jc w:val="both"/>
        <w:rPr>
          <w:rFonts w:ascii="Times New Roman" w:hAnsi="Times New Roman" w:cs="Times New Roman"/>
        </w:rPr>
      </w:pPr>
      <w:r w:rsidRPr="00C45C83">
        <w:rPr>
          <w:rFonts w:ascii="Times New Roman" w:hAnsi="Times New Roman" w:cs="Times New Roman"/>
        </w:rPr>
        <w:t xml:space="preserve">Alterations to the streamflow regime from climate change or fragmentation may also impact species phenology in lotic systems (Krabbenhoft et al. 2014b, Flitcroft et al. 2016). Changes in the duration, magnitude, or timing of high and low flow events can reduce reproductive success owed to mortality of eggs or juveniles via scouring or desiccation. Although flow requirements for emergence and spawning are less well-studied than thermal requirements, the recent availability of hydrologic time-series data (Ruhi et al. 2018a, Global Runoff Data Centre 2020) and advances in time-series analytic methods such as Multivariate Autoregressive State-Space (MARSS) models (Holmes et al. 2012) and wavelet mean field (Sheppard et al. 2016) present opportunities to investigate relationships between flow and species phenology. For example, Ruhi et al. (2018b) used MARSS models to show associations between dam hydropeaking intensity and the abundance of macroinvertebrate taxa with particular trait states at downstream reaches, and similar techniques could be applied to examine temporal emergence patterns. Of particular interest for future research could be investigating potential impacts of streamflow alterations on larval fish and juvenile recruitment phenology. The timing of these events is often associated with access to temporary habitats and resources created by flow events that benefit the growth and survival of juveniles (Peterson and VanderKooy 1995, Rodger et al. 2016). Therefore, flow regime changes and associated impacts on larval abundances or biomass may alter freshwater fish community structure and function, as has been shown for coastal and marine systems (Asch 2015, Auth et al. 2018). </w:t>
      </w:r>
    </w:p>
    <w:p w14:paraId="487595DB" w14:textId="39F7766D" w:rsidR="0007310D" w:rsidRPr="00DF7C87" w:rsidRDefault="00C45C83" w:rsidP="004317A3">
      <w:pPr>
        <w:ind w:firstLine="720"/>
        <w:jc w:val="both"/>
        <w:rPr>
          <w:rFonts w:ascii="Times New Roman" w:hAnsi="Times New Roman" w:cs="Times New Roman"/>
        </w:rPr>
      </w:pPr>
      <w:r w:rsidRPr="00C45C83">
        <w:rPr>
          <w:rFonts w:ascii="Times New Roman" w:hAnsi="Times New Roman" w:cs="Times New Roman"/>
        </w:rPr>
        <w:t>Another opportunity for future research is to clarify the role of intrinsic traits in describing differential patterns of phenology across species. Publicly available trait datasets exist for amphibians (Trochet et al. 2014, Oliveira et al. 2017, Mendoza-Henao et al. 2019), crayfish (Bland 2017), fishes (Frimpong and Angermeier 2009, Schmidt-Kloiber et al. 2015, Froese and Pauly 2018), macroinvertebrates (Charvet et al. 2000, Usseglio-</w:t>
      </w:r>
      <w:r w:rsidRPr="00C45C83">
        <w:rPr>
          <w:rFonts w:ascii="Times New Roman" w:hAnsi="Times New Roman" w:cs="Times New Roman"/>
        </w:rPr>
        <w:lastRenderedPageBreak/>
        <w:t>Polatera et al. 2000, Poff et al. 2006, Vieira et al. 2006), as well as thermal tolerances (Bennett et al. 2018) and phylogenetic relationships across taxa (Chang et al. 2019)</w:t>
      </w:r>
      <w:r>
        <w:rPr>
          <w:rFonts w:ascii="Times New Roman" w:hAnsi="Times New Roman" w:cs="Times New Roman"/>
        </w:rPr>
        <w:t>.</w:t>
      </w:r>
      <w:r w:rsidR="00B765A4">
        <w:rPr>
          <w:rFonts w:ascii="Times New Roman" w:hAnsi="Times New Roman" w:cs="Times New Roman"/>
        </w:rPr>
        <w:t xml:space="preserve"> U</w:t>
      </w:r>
      <w:r w:rsidR="00B765A4" w:rsidRPr="00B765A4">
        <w:rPr>
          <w:rFonts w:ascii="Times New Roman" w:hAnsi="Times New Roman" w:cs="Times New Roman"/>
        </w:rPr>
        <w:t xml:space="preserve">se of these large-scale datasets </w:t>
      </w:r>
      <w:r w:rsidR="00B765A4">
        <w:rPr>
          <w:rFonts w:ascii="Times New Roman" w:hAnsi="Times New Roman" w:cs="Times New Roman"/>
        </w:rPr>
        <w:t>could</w:t>
      </w:r>
      <w:r w:rsidR="00B765A4" w:rsidRPr="00B765A4">
        <w:rPr>
          <w:rFonts w:ascii="Times New Roman" w:hAnsi="Times New Roman" w:cs="Times New Roman"/>
        </w:rPr>
        <w:t xml:space="preserve"> investigate intrinsic traits that may describe differential timing or sensitivity of species phenology and whether environmental or organismal mechanisms underlie these patterns (Chmura et al. 2019).</w:t>
      </w:r>
    </w:p>
    <w:p w14:paraId="370D91E4" w14:textId="222286E1" w:rsidR="0093585B" w:rsidRPr="00DF7C87" w:rsidRDefault="0093585B" w:rsidP="0093585B">
      <w:pPr>
        <w:pStyle w:val="Heading3"/>
        <w:rPr>
          <w:rFonts w:ascii="Times New Roman" w:hAnsi="Times New Roman" w:cs="Times New Roman"/>
          <w:szCs w:val="24"/>
        </w:rPr>
      </w:pPr>
      <w:bookmarkStart w:id="30" w:name="_Toc100607885"/>
      <w:r>
        <w:rPr>
          <w:rFonts w:ascii="Times New Roman" w:hAnsi="Times New Roman" w:cs="Times New Roman"/>
          <w:szCs w:val="24"/>
        </w:rPr>
        <w:t>Phenology beyond the species-level</w:t>
      </w:r>
      <w:bookmarkEnd w:id="30"/>
    </w:p>
    <w:p w14:paraId="666EC6BE" w14:textId="77777777" w:rsidR="0093585B" w:rsidRPr="0093585B" w:rsidRDefault="0093585B" w:rsidP="004317A3">
      <w:pPr>
        <w:ind w:firstLine="720"/>
        <w:jc w:val="both"/>
        <w:rPr>
          <w:rFonts w:ascii="Times New Roman" w:hAnsi="Times New Roman" w:cs="Times New Roman"/>
        </w:rPr>
      </w:pPr>
      <w:r w:rsidRPr="0093585B">
        <w:rPr>
          <w:rFonts w:ascii="Times New Roman" w:hAnsi="Times New Roman" w:cs="Times New Roman"/>
        </w:rPr>
        <w:t>Species’ phenology shifts do not happen in isolation but within ecological networks of interacting species (Miller-Rushing et al. 2010, Walther 2010, Hua et al. 2016). However, our literature review indicates that the potential implications of asynchronous phenology for freshwater community structure and function remain relatively unexplored. We suggest that future research efforts address how asynchronous phenology can modify freshwater food webs, including trophic mismatches and interaction strengths (Thackeray 2016). For example, predictions of shifts in the phenologies of multiple interacting species based on abiotic time-series data can be used to test hypotheses regarding seasonal variation in food web metrics such as connectance, linkage diversity, or chain lengths (Compson et al. 2019, Takimoto and Sato 2020). Such food web model approaches will be important to understand potential implications of changes in biodiversity for freshwater ecosystem functioning (Thompson et al. 2012).</w:t>
      </w:r>
    </w:p>
    <w:p w14:paraId="55B1DC21" w14:textId="2225E360" w:rsidR="00E1010E" w:rsidRDefault="0093585B" w:rsidP="004317A3">
      <w:pPr>
        <w:ind w:firstLine="720"/>
        <w:jc w:val="both"/>
        <w:rPr>
          <w:rFonts w:ascii="Times New Roman" w:hAnsi="Times New Roman" w:cs="Times New Roman"/>
        </w:rPr>
      </w:pPr>
      <w:r w:rsidRPr="0093585B">
        <w:rPr>
          <w:rFonts w:ascii="Times New Roman" w:hAnsi="Times New Roman" w:cs="Times New Roman"/>
        </w:rPr>
        <w:t>Freshwater phenology research could also investigate patterns and distributions among multiple communities across broad spatial scales. For example, patterns indicating later phenology events with increasing altitude and latitude are known in terrestrial systems (Hopkins 1919, 1920, Vitasse et al. 2018), but spatial gradients in community phenology have received comparatively less attention in freshwaters. Frameworks that incorporate thermal mechanisms to development and physiology may be one way to examine phenological seasonality in temperate freshwaters at large spatial scales (Newbold et al. 1994). Body size mediates many ecological processes in freshwater environments (Hildrew et al. 2007) and organisms in these systems may exhibit greater sensitivity to effects of warming on body size, compared to terrestrial taxa (Forster et al. 2012). Therefore, future research could investigate whether potential warming-induced changes in timing of phenology events are associated with impacts on body size distributions or the strength of size-structured trophic interactions</w:t>
      </w:r>
      <w:r>
        <w:rPr>
          <w:rFonts w:ascii="Times New Roman" w:hAnsi="Times New Roman" w:cs="Times New Roman"/>
        </w:rPr>
        <w:t>.</w:t>
      </w:r>
    </w:p>
    <w:p w14:paraId="69DA68AB" w14:textId="6E57DEAB" w:rsidR="00E1010E" w:rsidRPr="00DF7C87" w:rsidRDefault="00E1010E" w:rsidP="00E1010E">
      <w:pPr>
        <w:pStyle w:val="Heading3"/>
        <w:rPr>
          <w:rFonts w:ascii="Times New Roman" w:hAnsi="Times New Roman" w:cs="Times New Roman"/>
          <w:szCs w:val="24"/>
        </w:rPr>
      </w:pPr>
      <w:bookmarkStart w:id="31" w:name="_Toc100607886"/>
      <w:r>
        <w:rPr>
          <w:rFonts w:ascii="Times New Roman" w:hAnsi="Times New Roman" w:cs="Times New Roman"/>
          <w:szCs w:val="24"/>
        </w:rPr>
        <w:t>Conservation implications of phenology</w:t>
      </w:r>
      <w:bookmarkEnd w:id="31"/>
    </w:p>
    <w:p w14:paraId="50305930" w14:textId="2464F240" w:rsidR="00E1010E" w:rsidRDefault="00E1010E" w:rsidP="004317A3">
      <w:pPr>
        <w:ind w:firstLine="720"/>
        <w:jc w:val="both"/>
        <w:rPr>
          <w:rFonts w:ascii="Times New Roman" w:hAnsi="Times New Roman" w:cs="Times New Roman"/>
        </w:rPr>
      </w:pPr>
      <w:r>
        <w:rPr>
          <w:rFonts w:ascii="Times New Roman" w:hAnsi="Times New Roman" w:cs="Times New Roman"/>
        </w:rPr>
        <w:t xml:space="preserve">Knowledge of species’ life history can inform biodiversity conservation and our literature review identified a number of applications in which phenology can benefit freshwater conservation. Phenology events can inform invasive species management to identify potential areas susceptible for expansion and methods to control the spread of established introduced species populations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{"citationItems":[{"id":"ITEM-1","itemData":{"DOI":"10.1002/lno.10034","ISSN":"19395590","abstract":"Nonindigenous aquatic species are becoming increasingly common in coastal and inland waters, largely due to the global transport of zooplankton via commercial shipping and recreational boating. The cost of mitigation and lost income due to invasive zooplankton is estimated in the billions of dollars annually, yet we know little about the temporal dynamics of these invaders. Analysis of an 8.5-year (June 2005–December 2013) zooplankton time series from the Columbia River revealed contrasting patterns of invasion dynamics between species, cyclical periods of community invasion, and key environmental variables that constrain populations of invasive zooplankton. We identified four seasonal zooplankton communities (autumn/invaded, winter/barren, spring/rotifer, and transitional) that are strongly correlated with changes in chlorophyll content and water temperature, with peak abundances of invasive zooplankters occurring during periods of maximum water temperature. Additionally, we observed contrasting patterns of phenology between persistent and ephemeral invasive populations, with successful invaders exhibiting delayed annual peaks in population abundance. Two invasive zooplankters—the copepod Pseudodiaptomus forbesi and larval Asian clam Corbicula fluminea—dominate the zooplankton community in late summer and early autumn. Likewise, our results support conclusions from a growing body of literature that delayed phenology may be a key functional trait for successful invaders.","author":[{"dropping-particle":"","family":"Dexter","given":"Eric","non-dropping-particle":"","parse-names":false,"suffix":""},{"dropping-particle":"","family":"Bollens","given":"Stephen M.","non-dropping-particle":"","parse-names":false,"suffix":""},{"dropping-particle":"","family":"Rollwagen-Bollens","given":"Gretchen","non-dropping-particle":"","parse-names":false,"suffix":""},{"dropping-particle":"","family":"Emerson","given":"Josh","non-dropping-particle":"","parse-names":false,"suffix":""},{"dropping-particle":"","family":"Zimmerman","given":"Julie","non-dropping-particle":"","parse-names":false,"suffix":""}],"container-title":"Limnology and Oceanography","id":"ITEM-1","issue":"2","issued":{"date-parts":[["2015"]]},"page":"527-539","title":"Persistent vs. ephemeral invasions: 8.5 years of zooplankton community dynamics in the Columbia River","type":"article-journal","volume":"60"},"uris":["http://www.mendeley.com/documents/?uuid=d21e073f-b605-4a70-af93-cf3fdfe0067a"]},{"id":"ITEM-2","itemData":{"ISBN":"8867605135","ISSN":"10215506","abstract":"The sailfin catfish, Liposarcus multiradiatus (Hancock, 1828), was originally introduced into Taiwan commercially for aquarium cleaning, and has now established a wild population in Taiwan. This study investigates the size structure, reproductive phenology, and sex ratio of this exotic species in the Kaoping River of southwestern Taiwan. In total, 537 individuals were respectively collected using gill nets and cast nets in the mainstream and tributaries of the Kaoping River from Dec. 1999 to Nov. 2000. The standard lengths of collected individuals ranged from 12.5 to 43.7 cm, with an average of 28.64 cm. Females were longer than males. Variations in morphological differences between the sexes could not clearly be distinguished by the 13 body measurements. The female L. multiradiatus is sexually mature at a standard length of 25 cm, and has a reproductive season extending from Mar. to Sept. in Taiwan. Some individuals, however, are able to reproduce from Oct. to Feb. The sex ratio was female-biased (female:male, 2.4:1), and an even greater proportion of females was found during the reproductive season. Results show that L. multiradiatus exhibits detritus/algae and omnivorous feeding habits, a long reproductive period, a female-biased sex ratio, and possible male parental care. Considering that the sailfin catfish originally inhabits clear, shallow waters, L. multiradiatus in Taiwan has not only expanded its population size in downstream regions but may also gradually move to clearer waters upstream or into smaller channels. This species may create serious negative impacts on those native aquatic species such as periphyton feeders and bottom spawners. It is suggested that educating people to stop releasing sailfin catfish and providing incentives for catching it in reproductive season are two possible ways to control the further spread of this exotic species in Taiwan.","author":[{"dropping-particle":"","family":"Liang","given":"Shih Hsiung","non-dropping-particle":"","parse-names":false,"suffix":""},{"dropping-particle":"","family":"Wu","given":"Hsiao Ping","non-dropping-particle":"","parse-names":false,"suffix":""},{"dropping-particle":"Sen","family":"Shieh","given":"Bao","non-dropping-particle":"","parse-names":false,"suffix":""}],"container-title":"Zoological Studies","id":"ITEM-2","issue":"2","issued":{"date-parts":[["2005"]]},"page":"252-259","title":"Size structure, reproductive phenology, and sex ratio of an exotic armored catfish (Liposarcus multiradiatus) in the Kaoping River of Southern Taiwan","type":"article-journal","volume":"44"},"uris":["http://www.mendeley.com/documents/?uuid=46aa4f68-18c2-4384-8d85-3efbc3b2c466"]},{"id":"ITEM-3","itemData":{"DOI":"10.2983/035.037.0121","ISSN":"07308000","abstract":"The impacts of non-native species on native ecosystems can be substantial, and effective management strategies often require a comprehensive understanding of species biology and ecology within the invaded range. The island apple snail Pomacea maculata is an invasive species known to alter the structure and function of wetland habitats. Researchers first reported island apple snails in the United States in Tallahassee, FL, in 2002 and subsequently observed this species in South Carolina (SC) in 2008. The objectives of this study were to document the spatial distribution, phenology and life history, and habitat preference of island apple snails, as well as its association with co-occurring gastropods in SC. Populations were surveyed in stormwater retention ponds throughout coastal SC, where surveyors documented the numbers of live specimens, sex ratios, and the substrate types on which island apple snails deposited egg clutches. The high abundances and year-round presence of egg clutches observed in this study indicate that these populations are successfully reproducing throughout the year, although egg clutch abundance was positively correlated with air temperature. Overall, this study found higher numbers of female P. maculata than males, and that females preferred to lay egg clutches on culverts as opposed to other available substrates. In addition to P. maculata, four other non-native gastropods were documented in stormwater retention ponds. Among these, Melanoides tuberculata and Pyrgophorus parvulus are potential vectors for multiple human diseases and had never before been reported in SC. Understanding the current distribution and life history traits of P. maculata is important for determining the potential for further spread and providing opportunities to protect healthy, natural ecosystems from the impacts of non-native species.","author":[{"dropping-particle":"","family":"Gooding","given":"Elizabeth L.","non-dropping-particle":"","parse-names":false,"suffix":""},{"dropping-particle":"","family":"Fowler","given":"Amy E.","non-dropping-particle":"","parse-names":false,"suffix":""},{"dropping-particle":"","family":"Knott","given":"David","non-dropping-particle":"","parse-names":false,"suffix":""},{"dropping-particle":"","family":"Dillon","given":"Robert T.","non-dropping-particle":"","parse-names":false,"suffix":""},{"dropping-particle":"","family":"Brown","given":"Tiffany","non-dropping-particle":"","parse-names":false,"suffix":""},{"dropping-particle":"","family":"Kendrick","given":"Michael R.","non-dropping-particle":"","parse-names":false,"suffix":""},{"dropping-particle":"","family":"Kingsley-Smith","given":"Peter R.","non-dropping-particle":"","parse-names":false,"suffix":""}],"container-title":"Journal of Shellfish Research","id":"ITEM-3","issue":"1","issued":{"date-parts":[["2018"]]},"page":"229-238","title":"Life History and Phenological Characteristics of the Invasive Island Apple Snail Pomacea maculata (Perry, 1810) in Stormwater Retention Ponds in Coastal South Carolina, USA","type":"article-journal","volume":"37"},"uris":["http://www.mendeley.com/documents/?uuid=3349d7cd-0f55-49fd-9948-2d0071f300f5"]},{"id":"ITEM-4","itemData":{"DOI":"10.1016/j.jglr.2018.11.002","ISSN":"03801330","abstract":"Ichthyoplankton communities are dynamic and vary spatiotemporally based on factors such as wind, water currents, and phenology. Nonetheless, ichthyoplankton are an indicator of spawning success in fish populations and examining their community diversity and composition can serve to provide information on ecosystem integrity. Although some ichthyoplankton species may be transient, understanding their distribution in space and time provides information on species composition, abundance, and habitat use during critical early life stages. We sampled the spring-summer ichthyoplankton community during 2008 and 2009 in northern Lake Huron to determine species succession, abundance, and species diversity along physical and environmental gradients. Seasonal succession of species was similar during both years, indicating well-defined patterns in spawning by northern Lake Huron fish populations. Invasive alewife, rainbow smelt, and round goby were the dominant species during both years, with native stickleback species also abundant. Shannon Entropy (H′) increased with increasing water temperature until late summer when H′ declined. H′ decreased with increasing bottom depth and distance to tributary mouth indicating the important ecological role of these habitat features during early life stages. Although ichthyoplankton diversity was comparable to or higher than that reported for other areas of the Great Lakes, the prominence of invasive species in our study is reflective of the disturbed state of the Lake Huron fish community, despite large reductions in invasive planktivorous fish since 2004. Continued monitoring of ichthyoplankton communities will be important for measuring the impacts of species invasions or other ecosystem stressors on fish community structure in the Great Lakes.","author":[{"dropping-particle":"","family":"O'Brien","given":"Timothy P.","non-dropping-particle":"","parse-names":false,"suffix":""},{"dropping-particle":"","family":"Ireland","given":"Stacey","non-dropping-particle":"","parse-names":false,"suffix":""},{"dropping-particle":"","family":"Roseman","given":"Edward F.","non-dropping-particle":"","parse-names":false,"suffix":""},{"dropping-particle":"","family":"Briggs","given":"Andrew S.","non-dropping-particle":"","parse-names":false,"suffix":""},{"dropping-particle":"","family":"Taylor","given":"William W.","non-dropping-particle":"","parse-names":false,"suffix":""}],"container-title":"Journal of Great Lakes Research","id":"ITEM-4","issue":"1","issued":{"date-parts":[["2019"]]},"page":"176-186","publisher":"Elsevier B.V.","title":"Phenology and species diversity in a Lake Huron ichthyoplankton community: Ecological implications of invasive species dominance","type":"article-journal","volume":"45"},"uris":["http://www.mendeley.com/documents/?uuid=12c90b7f-a85d-459f-80f5-aee7f16acd8f"]},{"id":"ITEM-5","itemData":{"DOI":"10.15421/011915","ISSN":"25202529","abstract":"It was revealed that Gibel carp, Carassius gibelio (Bloch, 1782) spawning phenology is determined by regular patterns of variability in temperature and precipitation over the period of time after spawning in the previous year. The sensitivity to temperature of water as a stimulus to spawning was shown as being dependent on the characteristics of the environment and fish development trajectories over the previous year. Information about fish spawning was collected in the Dnipro-Orylskiy Nature Reserve in the following locations: Nikolayev system of water bodies, River Protoch system and the Obukhov floodplain, the channel of the River Dnipro, water bodies of the Taromske ledge. The materials that formed the basis of this research were collected from the waters of the reserve in the years 1997–2018. There are dependencies between the air and water temperatures that have their own characteristics depending on the type of water body. These dependencies are described by a logistic equation. The temperature regime in water bodies of the Taromske ledge is very similar to the temperature regime of Nikolayev system of water bodies. The difference is that the spring period of the temperature increase in water bodies of the Taromske ledge comes earlier – in late February – early March. The air temperature dynamics over the year is described by the fourth degree polynomial. The residuals of the polynomial regression for each year were subjected to principal component analysis. The principal component analysis allowed us to identify 8 principal components of the temperature regimes, which together describe 59.2% of the variation of the residual of the polynomial trend. Deviations from the linear trend of the precipitation are systematic throughout the year, reflecting the uneven nature of rainfall during the year. The residuals of linear trend regression models of cumulative precipitation can be used as indicators of the dynamics characteristic of precipitation during the year. The residuals were used for principal component analysis, which revealed that the dynamics of the precipitation can be divided into five orthogonal principal components. The first five principal components explain 82.6% of the feature space variation. The timing of the onset of C. gibelio spawning in 95% of cases occurs on the 113–139th days of the year (on average, it takes place on the 125th day). Regression analysis revealed that the climate principal components and types of the lake syste…","author":[{"dropping-particle":"","family":"Bondarev","given":"D. L.","non-dropping-particle":"","parse-names":false,"suffix":""},{"dropping-particle":"","family":"Kunah","given":"O. M.","non-dropping-particle":"","parse-names":false,"suffix":""},{"dropping-particle":"","family":"Fedushko","given":"M. P.","non-dropping-particle":"","parse-names":false,"suffix":""},{"dropping-particle":"","family":"Gubanova","given":"N. L.","non-dropping-particle":"","parse-names":false,"suffix":""}],"container-title":"Biosystems Diversity","id":"ITEM-5","issue":"2","issued":{"date-parts":[["2019"]]},"page":"106-117","title":"The impact of temporal patterns of temperature and precipitation on silver Prussian carp (Carassius gibelio) spawning events","type":"article-journal","volume":"27"},"uris":["http://www.mendeley.com/documents/?uuid=ee327a1b-9e84-49e7-9be1-2e8a08d9e9df"]},{"id":"ITEM-6","itemData":{"DOI":"10.1111/ecog.04725","ISSN":"16000587","abstract":"Predicting range expansion of invasive species is one of the key challenges in ecology. We modelled the phenological window for successful larval release and development (WLR) in order to predict poleward expansion of the invasive crab Hemigrapsus sanguineus along the Atlantic coast of North America and north Europe. WLR quantifies the number of opportunities (in days) when larval release leads to a successful completion of the larval phase; WLR depends on the effects of temperature on the duration of larval development and survival. Successful larval development is a necessary requirement for the establishment of self-persistent local populations. WLR was computed from a mechanistic model, based on in situ temperature time series and a laboratory–calibrated curve predicting duration of larval development from temperature. As a validation step, we checked that model predictions of the time of larval settlement matched observations from the field for our local population (Helgoland, North Sea). We then applied our model to the North American shores because larvae from our European population showed, in the laboratory, similar responses to temperature to those of a North American population. WLR correctly predicted the northern distribution limit in North American shores, where the poleward expansion of H. sanguineus appear to have stalled (as of 2015). For north Europe, where H. sanguineus is a recent invader, WLR predicted ample room for poleward expansion towards NE England and S Norway. We also explored the importance of year-to-year variation in temperature for WLR and potential expansion: variations in WLR highlighted the role of heat waves as likely promoters of recruitment subsidising sink populations located at the distribution limits. Overall, phenological windows may be used as a part of a warning system enabling more targeted programs for monitoring.","author":[{"dropping-particle":"","family":"Giménez","given":"Luis","non-dropping-particle":"","parse-names":false,"suffix":""},{"dropping-particle":"","family":"Exton","given":"Michael","non-dropping-particle":"","parse-names":false,"suffix":""},{"dropping-particle":"","family":"Spitzner","given":"Franziska","non-dropping-particle":"","parse-names":false,"suffix":""},{"dropping-particle":"","family":"Meth","given":"Rebecca","non-dropping-particle":"","parse-names":false,"suffix":""},{"dropping-particle":"","family":"Ecker","given":"Ursula","non-dropping-particle":"","parse-names":false,"suffix":""},{"dropping-particle":"","family":"Jungblut","given":"Simon","non-dropping-particle":"","parse-names":false,"suffix":""},{"dropping-particle":"","family":"Harzsch","given":"Steffen","non-dropping-particle":"","parse-names":false,"suffix":""},{"dropping-particle":"","family":"Saborowski","given":"Reinhard","non-dropping-particle":"","parse-names":false,"suffix":""},{"dropping-particle":"","family":"Torres","given":"Gabriela","non-dropping-particle":"","parse-names":false,"suffix":""}],"container-title":"Ecography","id":"ITEM-6","issued":{"date-parts":[["2020"]]},"page":"1423-1434","title":"Exploring larval phenology as predictor for range expansion in an invasive species","type":"article-journal"},"uris":["http://www.mendeley.com/documents/?uuid=63337ace-dc4e-4c96-85e9-308ed3735362"]},{"id":"ITEM-7","itemData":{"DOI":"10.3750/AIEP/02551","ISSN":"17341515","abstract":"Background. The East Kolkata Wetlands in India (a Ramsar site) are sewage-fed, nutrient-rich water bodies successfully used for fish production. The vermiculated sailfin catfish, Pterygoplichthys disjunctivus (Weber, 1991), exotic to India, has invaded these wetlands. The management and control of this catfish has been hindered, because of the lack of information on its abundance, population structure, biological traits, level of establishment, and competition with native fish species. Materials and methods. Within 2013–2015 studies were carried out on the population structure of P. disjunctivus, its food habits, reproductive biology, and initial impacts in the wetlands through monthly and seasonal collection of samples, examination of food items, reproductive parameters, catch data, and gathering fishers experience. Results. The length (TL) and weight of the specimens ranged from 10 to 55 cm and from 120 to 1250 g, respectively. Major food items of the catfish were detrital matter (%IRI 56), unidentified plant matter (%IRI 11), fish eggs (%IRI 11), polychaete worms (%IRI 5), and other minor items (%IRI 0.3 to 4). At 50% similarity, the food items of P. disjunctivus overlapped with that of Macrognathus pancalus, Channa punctata, Nandus nandus, Anabas testudineus, Clarias batrachus, Oreochromis niloticus, Cirrhinus mrigala, and Cyprinus carpio while at 80% it overlapped with that of C. mrigala and C. carpio. The fecundity of P. disjunctivus, in the wetlands, was the highest recorded for the species. Females attained the first maturity at 24 cm TL and reproduced multiple times within July–November. The breeding period of the species overlapped with 13 native fish species, of which it seriously overlapped with that of Gudusia chapra, Amblypharyngodon mola, Pethia conchonius, P. ticto, N. nandus, C. punctata, and A. testudineus. The sailfin catfish has established reproducing populations in the wetlands and reached ‘invasive’ proportions constituting 4.83% (300.04 t · year–1) of the mean annual fish catch (6203.85 t · year–1) from the wetlands. The invasive risk assessment showed a high risk of the species in the current scenario and probable climate change scenarios in future in the region. Conclusions. Pterygoplichthys disjunctivus has successfully colonized the sensitive East Kolkata Wetlands, which might easily spread to neighbouring water bodies including the sensitive Ganga River and Sundarban mangroves and cause ecological and economic disturbance un…","author":[{"dropping-particle":"","family":"Suresh","given":"Vettath Raghavan","non-dropping-particle":"","parse-names":false,"suffix":""},{"dropping-particle":"","family":"Ekka","given":"Anjana","non-dropping-particle":"","parse-names":false,"suffix":""},{"dropping-particle":"","family":"Biswas","given":"Dipak K.","non-dropping-pa</w:instrText>
      </w:r>
      <w:r w:rsidRPr="00902A70">
        <w:rPr>
          <w:rFonts w:ascii="Times New Roman" w:hAnsi="Times New Roman" w:cs="Times New Roman"/>
          <w:lang w:val="fr-FR"/>
        </w:rPr>
        <w:instrText>rticle":"","parse-names":false,"suffix":""},{"dropping-particle":"","family":"Sahu","given":"Sanjeev K.","non-dropping-particle":"","parse-names":false,"suffix":""},{"dropping-particle":"","family":"Yousuf","given":"Ali","non-dropping-particle":"","parse-names":false,"suffix":""},{"dropping-particle":"","family":"Das","given":"Subrata","non-dropping-particle":"","parse-names":false,"suffix":""}],"container-title":"Acta Ichthyologica et Piscatoria","id":"ITEM-7","issue":"3","issued":{"date-parts":[["2019"]]},"page":"221-233","title":"Vermiculated sailfin catfish, Pterygoplichthys disjunctivus (Actinopterygii: Siluriformes: Loricariidae): Invasion, biology, and initial impacts in east Kolkata Wetlands, India","type":"article-journal","volume":"49"},"uris":["http://www.mendeley.com/documents/?uuid=1d364542-8c60-4368-b985-8615deebfe8c"]}],"mendeley":{"formattedCitation":"(Liang et al. 2005, Dexter et al. 2015, Gooding et al. 2018, Bondarev et al. 2019, O’Brien et al. 2019, Suresh et al. 2019, Giménez et al. 2020)","plainTextFormattedCitation":"(Liang et al. 2005, Dexter et al. 2015, Gooding et al. 2018, Bondarev et al. 2019, O’Brien et al. 2019, Suresh et al. 2019, Giménez et al. 2020)","previouslyFormattedCitation":"(Liang et al. 2005, Dexter et al. 2015, Gooding et al. 2018, Bondarev et al. 2019, O’Brien et al. 2019, Suresh et al. 2019, Giménez et al. 2020)"},"properties":{"noteIndex":0},"schema":"https://github.com/citation-style-language/schema/raw/master/csl-citation.json"}</w:instrText>
      </w:r>
      <w:r>
        <w:rPr>
          <w:rFonts w:ascii="Times New Roman" w:hAnsi="Times New Roman" w:cs="Times New Roman"/>
        </w:rPr>
        <w:fldChar w:fldCharType="separate"/>
      </w:r>
      <w:r w:rsidRPr="00902A70">
        <w:rPr>
          <w:rFonts w:ascii="Times New Roman" w:hAnsi="Times New Roman" w:cs="Times New Roman"/>
          <w:noProof/>
          <w:lang w:val="fr-FR"/>
        </w:rPr>
        <w:t>(Liang et al. 2005, Dexter et al. 2015, Gooding et al. 2018, Bondarev et al. 2019, O’Brien et al. 2019, Suresh et al. 2019, Giménez et al. 2020)</w:t>
      </w:r>
      <w:r>
        <w:rPr>
          <w:rFonts w:ascii="Times New Roman" w:hAnsi="Times New Roman" w:cs="Times New Roman"/>
        </w:rPr>
        <w:fldChar w:fldCharType="end"/>
      </w:r>
      <w:r w:rsidRPr="00902A70">
        <w:rPr>
          <w:rFonts w:ascii="Times New Roman" w:hAnsi="Times New Roman" w:cs="Times New Roman"/>
          <w:lang w:val="fr-FR"/>
        </w:rPr>
        <w:t xml:space="preserve">. </w:t>
      </w:r>
      <w:r>
        <w:rPr>
          <w:rFonts w:ascii="Times New Roman" w:hAnsi="Times New Roman" w:cs="Times New Roman"/>
        </w:rPr>
        <w:t xml:space="preserve">Detailed studies on the phenology of imperiled and declining species may also assist in species recovery plans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{"citationItems":[{"id":"ITEM-1","itemData":{"DOI":"10.1080/09712119.2018.1497493","ISSN":"09741844","abstract":"Mahseer is an important group of endemic game fish found in the Indian subcontinent inhabiting in streams, riverine pools and lakes. Besides commercial fishery, it also forms lucrative sport fishery in the Himalayan rivers. Samples of golden mahseer (Tor putitora) were collected from the river Kosi at Ramnagar area (lesser Himalayan region) of Uttarakhand, India during 2014–2016 to study reproductive biology and trace any changes in breeding phenology from earlier records. The observed breeding season was from July till September. In males (310–565 mm, 355–1750 g) and females (315–580 mm, 260–2500 g), GSI values surged from late June to early July and peaked in August. Absolute and relative fecundity ranged from 4217 to 8365 and from 3667 to 7348 per kg, respectively. The maximum water temperature was usually recorded in May (30.5°C) and minimum (18.4°C) in January. Sex ratio was estimated at 1:1.25 with χ 2 value of 3.20 and the difference was non-significant. The breeding phenology of golden mahseer may likely have gone through two distinct steps of transformation viz. shifting-prolongation (1911–1981) and reduction-stabilization (1981–present). Even after a probable reduction in duration of breeding season and shift (delay) in onset of breeding in Golden mahseer population of lesser Himalayan region during 1911–1981, some stabilization in breeding phenology appears to have been attained since 2000s. It is predicted that the species appears to be continuously adapting to changing climate in lesser Himalayas.","author":[{"dropping-particle":"","family":"Joshi","given":"Kripal Datt","non-dropping-particle":"","parse-names":false,"suffix":""},{"dropping-particle":"","family":"Das","given":"Shyamal Chandra Shukla","non-dropping-particle":"","parse-names":false,"suffix":""},{"dropping-particle":"","family":"Pathak","given":"Ravindra Kumar","non-dropping-particle":"","parse-names":false,"suffix":""},{"dropping-particle":"","family":"Khan","given":"Amanullah","non-dropping-particle":"","parse-names":false,"suffix":""},{"dropping-particle":"","family":"Sarkar","given":"Uttam Kumar","non-dropping-particle":"","parse-names":false,"suffix":""},{"dropping-particle":"","family":"Roy","given":"Koushik","non-dropping-particle":"","parse-names":false,"suffix":""}],"container-title":"Journal of Applied Animal Research","id":"ITEM-1","issue":"1","issued":{"date-parts":[["2018"]]},"page":"1289-1295","title":"Pattern of reproductive biology of the endangered golden mahseer tor putitora (Hamilton 1822) with special reference to regional climate change implications on breeding phenology from lesser himalayan region, india","type":"article-journal","volume":"46"},"uris":["http://www.mendeley.com/documents/?uuid=474f2d55-3fd1-49f4-bb4f-4d27a7d4bcbc"]},{"id":"ITEM-2","itemData":{"DOI":"10.1007/s10841-019-00214-1","ISBN":"0123456789","ISSN":"15729753","abstract":"Aquatic insect diversity in Japan is declining due to water pollution, invasive species, and habitat loss and modification. As a consequence, many Japanese aquatic insect species have been placed on the Japanese Red List. Helophorus auriculatus Sharp, 1884 (Coleoptera: Helophoridae), one of the ‘Endangered species’ on the Japanese Red List, is a small water beetle that inhabits shallow wetlands, such as small pools in riverbeds and paddy fields. Although it is important to elucidate the life history of endangered species to assist in the recovery of their populations, such ecological knowledge has been scarce for H. auriculatus. Therefore, to clarify the basic life history of this species, especially its phenology and reproductive ecology, we conducted field surveys in paddy field water systems and a rearing experiment in the laboratory. Our results showed that adult H. auriculatus mainly inhabit paddy fields and ditches during the fallow season, and reproduce from autumn to spring. The period from the egg stage to adult emergence required about four months to be completed in the laboratory. Survival from larval hatching to adult emergence was significantly higher at 15 °C than at 20 °C, and only 4.4% of larvae could develop into adults at 20 °C, while 22.7% could do so at 15 °C. We concluded that it is important to flood paddy fields from autumn to spring during the fallow season for the conservation of H. auriculatus.","author":[{"dropping-particle":"","family":"Watanabe","given":"Reiya","non-dropping-particle":"","parse-names":false,"suffix":""},{"dropping-particle":"","family":"Matsushima","given":"Ryosuke","non-dropping-particle":"","parse-names":false,"suffix":""},{"dropping-particle":"","family":"Yoda","given":"Gomei","non-dropping-particle":"","parse-names":false,"suffix":""}],"container-title":"Journal of Insect Conservation","id":"ITEM-2","issue":"4","issued":{"date-parts":[["2020"]]},"page":"603-611","publisher":"Springer International Publishing","title":"Life history of the endangered Japanese aquatic beetle Helophorus auriculatus (Coleoptera: Helophoridae) and implications for its conservation","type":"article-journal","volume":"24"},"uris":["http://www.mendeley.com/documents/?uuid=41cc6b97-2af6-4df1-989d-74495a9086fb"]},{"id":"ITEM-3","itemData":{"author":[{"dropping-particle":"","family":"Gorman","given":"Owen","non-dropping-particle":"","parse-names":false,"suffix":""},{"dropping-particle":"","family":"Stone","given":"Dennis","non-dropping-particle":"","parse-names":false,"suffix":""}],"container-title":"Environmental Biology of Fishes","id":"ITEM-3","issued":{"date-parts":[["1999"]]},"page":"115-133","title":"Ecology of spawning humpback chub, Gila cypha, in the Little Colorado River near Grand Canyon, Arizona","type":"article-journal","volume":"55"},"uris":["http://www.mendeley.com/documents/?uuid=a63d5e17-95db-4a79-923f-65096dd85707"]}],"mendeley":{"formattedCitation":"(Gorman and Stone 1999, Joshi et al. 2018, Watanabe et al. 2020)","plainTextFormattedCitation":"(Gorman and Stone 1999, Joshi et al. 2018, Watanabe et al. 2020)","previouslyFormattedCitation":"(Gorman and Stone 1999, Joshi et al. 2018, Watanabe et al. 2020)"},"properties":{"noteIndex":0},"schema":"https://github.com/citation-style-language/schema/raw/master/csl-citation.json"}</w:instrText>
      </w:r>
      <w:r>
        <w:rPr>
          <w:rFonts w:ascii="Times New Roman" w:hAnsi="Times New Roman" w:cs="Times New Roman"/>
        </w:rPr>
        <w:fldChar w:fldCharType="separate"/>
      </w:r>
      <w:r w:rsidRPr="00965B54">
        <w:rPr>
          <w:rFonts w:ascii="Times New Roman" w:hAnsi="Times New Roman" w:cs="Times New Roman"/>
          <w:noProof/>
        </w:rPr>
        <w:t>(Gorman and Stone 1999, Joshi et al. 2018, Watanabe et al. 2020)</w:t>
      </w:r>
      <w:r>
        <w:rPr>
          <w:rFonts w:ascii="Times New Roman" w:hAnsi="Times New Roman" w:cs="Times New Roman"/>
        </w:rPr>
        <w:fldChar w:fldCharType="end"/>
      </w:r>
      <w:r>
        <w:rPr>
          <w:rFonts w:ascii="Times New Roman" w:hAnsi="Times New Roman" w:cs="Times New Roman"/>
        </w:rPr>
        <w:t xml:space="preserve">. For lotic fish and invertebrates, flow requirements for emergence, spawning, and larval recruitment should be used to inform management of water resources, including planning </w:t>
      </w:r>
      <w:r>
        <w:rPr>
          <w:rFonts w:ascii="Times New Roman" w:hAnsi="Times New Roman" w:cs="Times New Roman"/>
        </w:rPr>
        <w:lastRenderedPageBreak/>
        <w:t xml:space="preserve">of dams which may fragment migratory patterns or timed dam releases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{"citationItems":[{"id":"ITEM-1","itemData":{"DOI":"10.1002/eco.2134","ISSN":"19360592","abstract":"Water managers in New Mexico, USA, stored water in El Vado Reservoir and coordinated releases into the Chama River that augmented the runoff of the Rio Grande, resulting in a discharge &gt;1,500 ft3/s (42.5 m3/s) for 35 days (May 17 to June 20, 2016) at Albuquerque. The managed runoff inundated over 400 ha of previously restored floodplains in the Middle Rio Grande, thereby providing spawning and nursery habitat for the endangered Rio Grande silvery minnow (Hybognathus amarus, RGSM). Spawning began April 9 at annual cumulative degree-days of 717, during daily increases in discharge of 200–300 ft3/s (5.7–8.5 m3/s), and hatch dates were normally distributed over 53 days (April 11 to June 3). RGSM were 73% of larvae collected in six restored floodplain sites and found in shallow water (mean = 19.6 cm), low velocity (mean = 3.9 cm/s), near vegetative cover, and with 75% within 1 m of the water's edge. Declining proportions of early to late larval phases and a near absence of juveniles indicate a gradual departure from floodplains as postflexion mesolarvae and metalarvae 14–22 days post hatch (dph), with most leaving by the juvenile stage 40 dph. The annual RGSM October census showed an increase of 0.16 to 7.20 fish/100 m2 from 2015 to 2016, indicating that the managed runoff resulted in a positive population response. This study showed that constructing floodplains and managing river and reservoir operations to inundate those floodplains during and after RGSM spawning can provide nursery habitat that improves reproductive success and recruitment.","author":[{"dropping-particle":"","family":"Valdez","given":"Richard A.","non-dropping-particle":"","parse-names":false,"suffix":""},{"dropping-particle":"","family":"Haggerty","given":"Grace M.","non-dropping-particle":"","parse-names":false,"suffix":""},{"dropping-particle":"","family":"Richard","given":"Kenneth","non-dropping-particle":"","parse-names":false,"suffix":""},{"dropping-particle":"","family":"Klobucar","given":"Deanna","non-dropping-particle":"","parse-names":false,"suffix":""}],"container-title":"Ecohydrology","id":"ITEM-1","issue":"7","issued":{"date-parts":[["2019"]]},"page":"e2134","title":"Managed spring runoff to improve nursery floodplain habitat for endangered Rio Grande silvery minnow","type":"article-journal","volume":"12"},"uris":["http://www.mendeley.com/documents/?uuid=411f0c89-22c0-4c33-83a8-110bf94e574d"]},{"id":"ITEM-2","itemData":{"author":[{"dropping-particle":"","family":"Gorman","given":"Owen","non-dropping-particle":"","parse-names":false,"suffix":""},{"dropping-particle":"","family":"Stone","given":"Dennis","non-dropping-particle":"","parse-names":false,"suffix":""}],"container-title":"Environmental Biology of Fishes","id":"ITEM-2","issued":{"date-parts":[["1999"]]},"page":"115-133","title":"Ecology of spawning humpback chub, Gila cypha, in the Little Colorado River near Grand Canyon, Arizona","type":"article-journal","volume":"55"},"uris":["http://www.mendeley.com/documents/?uuid=a63d5e17-95db-4a79-923f-65096dd85707"]}],"mendeley":{"formattedCitation":"(Gorman and Stone 1999, Valdez et al. 2019)","plainTextFormattedCitation":"(Gorman and Stone 1999, Valdez et al. 2019)","previouslyFormattedCitation":"(Gorman and Stone 1999, Valdez et al. 2019)"},"properties":{"noteIndex":0},"schema":"https://github.com/citation-style-language/schema/raw/master/csl-citation.json"}</w:instrText>
      </w:r>
      <w:r>
        <w:rPr>
          <w:rFonts w:ascii="Times New Roman" w:hAnsi="Times New Roman" w:cs="Times New Roman"/>
        </w:rPr>
        <w:fldChar w:fldCharType="separate"/>
      </w:r>
      <w:r w:rsidRPr="00965B54">
        <w:rPr>
          <w:rFonts w:ascii="Times New Roman" w:hAnsi="Times New Roman" w:cs="Times New Roman"/>
          <w:noProof/>
        </w:rPr>
        <w:t>(Gorman and Stone 1999, Valdez et al. 2019)</w:t>
      </w:r>
      <w:r>
        <w:rPr>
          <w:rFonts w:ascii="Times New Roman" w:hAnsi="Times New Roman" w:cs="Times New Roman"/>
        </w:rPr>
        <w:fldChar w:fldCharType="end"/>
      </w:r>
      <w:r>
        <w:rPr>
          <w:rFonts w:ascii="Times New Roman" w:hAnsi="Times New Roman" w:cs="Times New Roman"/>
        </w:rPr>
        <w:t xml:space="preserve">. Finally, phenology events can be used to inform species distribution models and improve assessments of potential species range shifts in response to ongoing global change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{"citationItems":[{"id":"ITEM-1","itemData":{"DOI":"10.1098/rstb.2010.0142","ISSN":"14712970","abstract":"Despite the numerous studies which have been conducted during the past decade on species ranges and their relationship to the environment, our understanding of how environmental conditions shape species distribution is still far from complete. Yet, some process-based species distribution models have been able to simulate plants and insects distribution at a global scale. These models strongly rely on the completion of the annual cycle of the species and therefore on their accomplished phenology. In particular, they have shown that the northern limit of species' ranges appears to be caused mainly by the inability to undergo full fruit maturation, while the southern limit appears to be caused by the inability to flower or unfold leaves owing to a lack of chilling temperatures that are necessary to break bud dormancy. I discuss here why phenology is a key adaptive trait in shaping species distribution using mostly examples from plant species, which have been the most documented. After discussing how phenology is involved in fitness and why it is an adaptive trait susceptible to evolve quickly in changing climate conditions, I describe how phenology is related to fitness in species distribution process-based models and discuss the fate of species under climate change scenarios using model projections and experimental or field studies from the literature. © 2010 The Royal Society.","author":[{"dropping-particle":"","family":"Chuine","given":"Isabelle","non-dropping-particle":"","parse-names":false,"suffix":""}],"container-title":"Philosophical Transactions of the Royal Society B: Biological Sciences","id":"ITEM-1","issue":"1555","issued":{"date-parts":[["2010"]]},"page":"3149-3160","title":"Why does phenology drive species distribution?","type":"article-journal","volume":"365"},"uris":["http://www.mendeley.com/documents/?uuid=5ad479e8-1780-4de3-a5f1-b3910e912ca3"]},{"id":"ITEM-2","itemData":{"DOI":"10.1038/s41467-019-12479-w","ISSN":"20411723","PMID":"31649267","abstract":"Advances in phenology (the annual timing of species’ life-cycles) in response to climate change are generally viewed as bioindicators of climate change, but have not been considered as predictors of range expansions. Here, we show that phenology advances combine with the number of reproductive cycles per year (voltinism) to shape abundance and distribution trends in 130 species of British Lepidoptera, in response to ~0.5 °C spring-temperature warming between 1995 and 2014. Early adult emergence in warm years resulted in increased within- and between-year population growth for species with multiple reproductive cycles per year (n = 39 multivoltine species). By contrast, early emergence had neutral or negative consequences for species with a single annual reproductive cycle (n = 91 univoltine species), depending on habitat specialisation. We conclude that phenology advances facilitate polewards range expansions in species exhibiting plasticity for both phenology and voltinism, but may inhibit expansion by less flexible species.","author":[{"dropping-particle":"","family":"Macgregor","given":"Callum J.","non-dropping-particle":"","parse-names":false,"suffix":""},{"dropping-particle":"","family":"Thomas","given":"Chris D.","non-dropping-particle":"","parse-names":false,"suffix":""},{"dropping-particle":"","family":"Roy","given":"David B.","non-dropping-particle":"","parse-names":false,"suffix":""},{"dropping-particle":"","family":"Beaumont","given":"Mark A.","non-dropping-particle":"","parse-names":false,"suffix":""},{"dropping-particle":"","family":"Bell","given":"James R.","non-dropping-particle":"","parse-names":false,"suffix":""},{"dropping-particle":"","family":"Brereton","given":"Tom","non-dropping-particle":"","parse-names":false,"suffix":""},{"dropping-particle":"","family":"Bridle","given":"Jon R.","non-dropping-particle":"","parse-names":false,"suffix":""},{"dropping-particle":"","family":"Dytham","given":"Calvin","non-dropping-particle":"","parse-names":false,"suffix":""},{"dropping-particle":"","family":"Fox","given":"Richard","non-dropping-particle":"","parse-names":false,"suffix":""},{"dropping-particle":"","family":"Gotthard","given":"Karl","non-dropping-particle":"","parse-names":false,"suffix":""},{"dropping-particle":"","family":"Hoffmann","given":"Ary A.","non-dropping-particle":"","parse-names":false,"suffix":""},{"dropping-particle":"","family":"Martin","given":"Geoff","non-dropping-particle":"","parse-names":false,"suffix":""},{"dropping-particle":"","family":"Middlebrook","given":"Ian","non-dropping-particle":"","parse-names":false,"suffix":""},{"dropping-particle":"","family":"Nylin","given":"Sӧren","non-dropping-particle":"","parse-names":false,"suffix":""},{"dropping-particle":"","family":"Platts","given":"Philip J.","non-dropping-particle":"","parse-names":false,"suffix":""},{"dropping-particle":"","family":"Rasteiro","given":"Rita","non-dropping-particle":"","parse-names":false,"suffix":""},{"dropping-particle":"","family":"Saccheri","given":"Ilik J.","non-dropping-particle":"","parse-names":false,"suffix":""},{"dropping-particle":"","family":"Villoutreix","given":"Romain","non-dropping-particle":"","parse-names":false,"suffix":""},{"dropping-particle":"","family":"Wheat","given":"Christopher W.","non-dropping-particle":"","parse-names":false,"suffix":""},{"dropping-particle":"","family":"Hill","given":"Jane K.","non-dropping-particle":"","parse-names":false,"suffix":""}],"container-title":"Nature Communications","id":"ITEM-2","issue":"1","issued":{"date-parts":[["2019"]]},"page":"1-10","title":"Climate-induced phenology shifts linked to range expansions in species with multiple reproductive cycles per year","type":"article-journal","volume":"10"},"uris":["http://www.mendeley.com/documents/?uuid=c6416010-6eeb-48c7-929c-886c3917f3b9"]}],"mendeley":{"formattedCitation":"(Chuine 2010, Macgregor et al. 2019)","plainTextFormattedCitation":"(Chuine 2010, Macgregor et al. 2019)","previouslyFormattedCitation":"(Chuine 2010, Macgregor et al. 2019)"},"properties":{"noteIndex":0},"schema":"https://github.com/citation-style-language/schema/raw/master/csl-citation.json"}</w:instrText>
      </w:r>
      <w:r>
        <w:rPr>
          <w:rFonts w:ascii="Times New Roman" w:hAnsi="Times New Roman" w:cs="Times New Roman"/>
        </w:rPr>
        <w:fldChar w:fldCharType="separate"/>
      </w:r>
      <w:r w:rsidRPr="009C590B">
        <w:rPr>
          <w:rFonts w:ascii="Times New Roman" w:hAnsi="Times New Roman" w:cs="Times New Roman"/>
          <w:noProof/>
        </w:rPr>
        <w:t>(Chuine 2010, Macgregor et al. 2019)</w:t>
      </w:r>
      <w:r>
        <w:rPr>
          <w:rFonts w:ascii="Times New Roman" w:hAnsi="Times New Roman" w:cs="Times New Roman"/>
        </w:rPr>
        <w:fldChar w:fldCharType="end"/>
      </w:r>
      <w:r>
        <w:rPr>
          <w:rFonts w:ascii="Times New Roman" w:hAnsi="Times New Roman" w:cs="Times New Roman"/>
        </w:rPr>
        <w:t>.</w:t>
      </w:r>
    </w:p>
    <w:p w14:paraId="08F77630" w14:textId="73FD26B1" w:rsidR="00E1010E" w:rsidRPr="00DF7C87" w:rsidRDefault="00E1010E" w:rsidP="00E1010E">
      <w:pPr>
        <w:pStyle w:val="Heading3"/>
        <w:rPr>
          <w:rFonts w:ascii="Times New Roman" w:hAnsi="Times New Roman" w:cs="Times New Roman"/>
          <w:szCs w:val="24"/>
        </w:rPr>
      </w:pPr>
      <w:bookmarkStart w:id="32" w:name="_Toc100607887"/>
      <w:r>
        <w:rPr>
          <w:rFonts w:ascii="Times New Roman" w:hAnsi="Times New Roman" w:cs="Times New Roman"/>
          <w:szCs w:val="24"/>
        </w:rPr>
        <w:t>Novel data sources and technologies</w:t>
      </w:r>
      <w:bookmarkEnd w:id="32"/>
    </w:p>
    <w:p w14:paraId="53324561" w14:textId="638C8AB2" w:rsidR="00E1010E" w:rsidRPr="00E1010E" w:rsidRDefault="00E1010E" w:rsidP="004317A3">
      <w:pPr>
        <w:ind w:firstLine="720"/>
        <w:jc w:val="both"/>
        <w:rPr>
          <w:rFonts w:ascii="Times New Roman" w:hAnsi="Times New Roman" w:cs="Times New Roman"/>
        </w:rPr>
      </w:pPr>
      <w:r w:rsidRPr="00E1010E">
        <w:rPr>
          <w:rFonts w:ascii="Times New Roman" w:hAnsi="Times New Roman" w:cs="Times New Roman"/>
        </w:rPr>
        <w:t>Our review identified novel data sources and technologies that can be applied to future freshwater phenology research. For example, citizen science datasets will be invaluable in filling data gaps, particularly in under sampled regions, and show particular promise for monitoring macroinvertebrate emergence at relatively large spatial scales (Hassall et al. 2007). Natural history collections and museum specimens may also provide access to data on phenology events spanning several decades and have identified phenology shifts in plants and invertebrates (Brooks et al. 2014, Meineke and Davies 2019, DeLeo et al. 2020, Olsen et al. 2020). One potential utility of these data not yet explored is whether they can be used to quantify phenology of non-salmonid freshwater fishes, for example to identify dates of presence of spawning condition individuals or arrival dates of juveniles and migrants.</w:t>
      </w:r>
    </w:p>
    <w:p w14:paraId="4FAE3566" w14:textId="142553F7" w:rsidR="00E1010E" w:rsidRDefault="00E1010E" w:rsidP="004317A3">
      <w:pPr>
        <w:jc w:val="both"/>
        <w:rPr>
          <w:rFonts w:ascii="Times New Roman" w:hAnsi="Times New Roman" w:cs="Times New Roman"/>
        </w:rPr>
      </w:pPr>
      <w:r w:rsidRPr="00E1010E">
        <w:rPr>
          <w:rFonts w:ascii="Times New Roman" w:hAnsi="Times New Roman" w:cs="Times New Roman"/>
        </w:rPr>
        <w:tab/>
        <w:t>Novel technologies can also help elucidate trends in phenology events. For example, meteorology radar data can be used to monitor macroinvertebrate emergence (Hansen et al. 2020), video cameras and environmental DNA can provide dates of fish spawning migration events (Kuczynski et al. 2017, Thalinger et al. 2019), and web images can be digitized to estimate phenology dates based on morphological features (e.g., presence of nuptial coloration) (Atsumi and Koizumi 2017)</w:t>
      </w:r>
      <w:r>
        <w:rPr>
          <w:rFonts w:ascii="Times New Roman" w:hAnsi="Times New Roman" w:cs="Times New Roman"/>
        </w:rPr>
        <w:t>.</w:t>
      </w:r>
    </w:p>
    <w:p w14:paraId="29A566C5" w14:textId="02A5B8B0" w:rsidR="00F31B9B" w:rsidRPr="00463612" w:rsidRDefault="00F31B9B" w:rsidP="00463612">
      <w:pPr>
        <w:pStyle w:val="Heading2"/>
        <w:rPr>
          <w:rFonts w:ascii="Times New Roman" w:hAnsi="Times New Roman" w:cs="Times New Roman"/>
          <w:sz w:val="24"/>
          <w:szCs w:val="24"/>
        </w:rPr>
      </w:pPr>
      <w:bookmarkStart w:id="33" w:name="_Toc100607888"/>
      <w:r>
        <w:rPr>
          <w:rFonts w:ascii="Times New Roman" w:hAnsi="Times New Roman" w:cs="Times New Roman"/>
          <w:sz w:val="24"/>
          <w:szCs w:val="24"/>
        </w:rPr>
        <w:t>Conclusion</w:t>
      </w:r>
      <w:bookmarkEnd w:id="33"/>
    </w:p>
    <w:p w14:paraId="7712E865" w14:textId="76DA442A" w:rsidR="00F31B9B" w:rsidRPr="00DF7C87" w:rsidRDefault="00F31B9B" w:rsidP="004317A3">
      <w:pPr>
        <w:ind w:firstLine="720"/>
        <w:jc w:val="both"/>
        <w:rPr>
          <w:rFonts w:ascii="Times New Roman" w:hAnsi="Times New Roman" w:cs="Times New Roman"/>
        </w:rPr>
      </w:pPr>
      <w:r>
        <w:rPr>
          <w:rFonts w:ascii="Times New Roman" w:hAnsi="Times New Roman" w:cs="Times New Roman"/>
        </w:rPr>
        <w:t xml:space="preserve">Consistent in the above knowledge gaps is the need to adopt a more macroscale approach towards freshwater phenology research. Thus far, the body of research has been conducted at relatively small biological, spatial, and temporal scales, but quantifying phenology shifts in response to global change and their implications for biodiversity and ecosystem functioning will demand broader perspectives in each of these dimensions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{"citationItems":[{"id":"ITEM-1","itemData":{"DOI":"10.1098/rsbl.2016.0181","ISSN":"1744957X","PMID":"27247437","abstract":"Accumulating scientific evidence has demonstrated widespread shifts in the biological seasons. These shifts may modify seasonal interspecific interactions, with consequent impacts upon reproductive success and survival. However, current understanding of these impacts is based upon a limited number of studies that adopt a simplified 'bottom-up' food-chain paradigm, at a local scale. I argue that there is much insight to be gained by widening the scope of phenological studies to incorporate food-web interactions and landscape-scale processes across a diversity of ecosystem types, with the ultimate goal of developing a generic understanding of the systems most vulnerable to synchrony effects in the future. I propose that co-location of predator and prey phenological monitoring at sentinel sites, acting as research platforms for detailed food-web studies, experimentation and match-up with earth observation data, would be an important first step in this endeavour.","author":[{"dropping-particle":"","family":"Thackeray","given":"Stephen J.","non-dropping-particle":"","parse-names":false,"suffix":""}],"container-title":"Biology Letters","id":"ITEM-1","issue":"6","issued":{"date-parts":[["2016"]]},"page":"20160181","title":"Casting your network wide: A plea to scale-up phenological research","type":"article-journal","volume":"12"},"uris":["http://www.mendeley.com/documents/?uuid=2c3e8b62-9eb2-4369-92c8-e17b76a1406f"]}],"mendeley":{"formattedCitation":"(Thackeray 2016)","plainTextFormattedCitation":"(Thackeray 2016)","previouslyFormattedCitation":"(Thackeray 2016)"},"properties":{"noteIndex":0},"schema":"https://github.com/citation-style-language/schema/raw/master/csl-citation.json"}</w:instrText>
      </w:r>
      <w:r>
        <w:rPr>
          <w:rFonts w:ascii="Times New Roman" w:hAnsi="Times New Roman" w:cs="Times New Roman"/>
        </w:rPr>
        <w:fldChar w:fldCharType="separate"/>
      </w:r>
      <w:r w:rsidRPr="001864CD">
        <w:rPr>
          <w:rFonts w:ascii="Times New Roman" w:hAnsi="Times New Roman" w:cs="Times New Roman"/>
          <w:noProof/>
        </w:rPr>
        <w:t>(Thackeray 2016)</w:t>
      </w:r>
      <w:r>
        <w:rPr>
          <w:rFonts w:ascii="Times New Roman" w:hAnsi="Times New Roman" w:cs="Times New Roman"/>
        </w:rPr>
        <w:fldChar w:fldCharType="end"/>
      </w:r>
      <w:r>
        <w:rPr>
          <w:rFonts w:ascii="Times New Roman" w:hAnsi="Times New Roman" w:cs="Times New Roman"/>
        </w:rPr>
        <w:t xml:space="preserve">. Additionally, future research should investigate phenology by testing mechanistic hypotheses to assess environmental cues and intrinsic traits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{"citationItems":[{"id":"ITEM-1","itemData":{"DOI":"10.1002/ecm.1337","ISSN":"15577015","abstract":"Species across a wide range of taxa and habitats are shifting phenological events in response to climate change. While advances are common, shifts vary in magnitude and direction within and among species, and the basis for this variation is relatively unknown. We examine previously suggested patterns of variation in phenological shifts in order to understand the cue–response mechanisms that underlie phenological change. Here, we review what is known about the mechanistic basis for nine factors proposed to predict phenological change (latitude, elevation, habitat type, trophic level, migratory strategy, ecological specialization, species’ seasonality, thermoregulatory mode, and generation time). We find that many studies either do not identify a specific underlying mechanism or do not evaluate alternative mechanistic hypotheses, limiting the ability of scientists to predict future responses to global change with accuracy. We present a conceptual framework that emphasizes a critical distinction between environmental (cue-driven) and organismal (response-driven) mechanisms causing variation in phenological shifts and discuss how this distinction can reduce confusion in the field and improve predictions of future phenological change.","author":[{"dropping-particle":"","family":"Chmura","given":"Helen E.","non-dropping-particle":"","parse-names":false,"suffix":""},{"dropping-particle":"","family":"Kharouba","given":"Heather M.","non-dropping-particle":"","parse-names":false,"suffix":""},{"dropping-particle":"","family":"Ashander","given":"Jaime","non-dropping-particle":"","parse-names":false,"suffix":""},{"dropping-particle":"","family":"Ehlman","given":"Sean M.","non-dropping-particle":"","parse-names":false,"suffix":""},{"dropping-particle":"","family":"Rivest","given":"Emily B.","non-dropping-particle":"","parse-names":false,"suffix":""},{"dropping-particle":"","family":"Yang","given":"Louie H.","non-dropping-particle":"","parse-names":false,"suffix":""}],"container-title":"Ecological Monographs","id":"ITEM-1","issue":"1","issued":{"date-parts":[["2019"]]},"page":"e01337","title":"The mechanisms of phenology: the patterns and processes of phenological shifts","type":"article-journal","volume":"89"},"uris":["http://www.mendeley.com/documents/?uuid=74f49179-3415-462b-865e-e441fb0ecce1"]}],"mendeley":{"formattedCitation":"(Chmura et al. 2019)","plainTextFormattedCitation":"(Chmura et al. 2019)","previouslyFormattedCitation":"(Chmura et al. 2019)"},"properties":{"noteIndex":0},"schema":"https://github.com/citation-style-language/schema/raw/master/csl-citation.json"}</w:instrText>
      </w:r>
      <w:r>
        <w:rPr>
          <w:rFonts w:ascii="Times New Roman" w:hAnsi="Times New Roman" w:cs="Times New Roman"/>
        </w:rPr>
        <w:fldChar w:fldCharType="separate"/>
      </w:r>
      <w:r w:rsidRPr="00801394">
        <w:rPr>
          <w:rFonts w:ascii="Times New Roman" w:hAnsi="Times New Roman" w:cs="Times New Roman"/>
          <w:noProof/>
        </w:rPr>
        <w:t>(Chmura et al. 2019)</w:t>
      </w:r>
      <w:r>
        <w:rPr>
          <w:rFonts w:ascii="Times New Roman" w:hAnsi="Times New Roman" w:cs="Times New Roman"/>
        </w:rPr>
        <w:fldChar w:fldCharType="end"/>
      </w:r>
      <w:r>
        <w:rPr>
          <w:rFonts w:ascii="Times New Roman" w:hAnsi="Times New Roman" w:cs="Times New Roman"/>
        </w:rPr>
        <w:t xml:space="preserve">. Analyses of phenology events across broad latitudinal and elevational gradients can be helpful to elucidate environmental and </w:t>
      </w:r>
      <w:r w:rsidRPr="00F31B9B">
        <w:rPr>
          <w:rFonts w:ascii="Times New Roman" w:hAnsi="Times New Roman" w:cs="Times New Roman"/>
        </w:rPr>
        <w:t xml:space="preserve">organismal mechanisms </w:t>
      </w:r>
      <w:r>
        <w:rPr>
          <w:rFonts w:ascii="Times New Roman" w:hAnsi="Times New Roman" w:cs="Times New Roman"/>
        </w:rPr>
        <w:t>underlying variation at large spatial scales but have seldom been applied in freshwater habitats. Creative combinations and applications of emerging and existing data sources with novel methods and technologies will be necessary to expand the scope of freshwater phenology research.</w:t>
      </w:r>
    </w:p>
    <w:p w14:paraId="6B87927D" w14:textId="77777777" w:rsidR="00D94B60" w:rsidRDefault="00D94B60" w:rsidP="005E54E2">
      <w:pPr>
        <w:pStyle w:val="Heading2"/>
        <w:rPr>
          <w:rFonts w:ascii="Times New Roman" w:hAnsi="Times New Roman" w:cs="Times New Roman"/>
          <w:sz w:val="24"/>
          <w:szCs w:val="24"/>
        </w:rPr>
      </w:pPr>
    </w:p>
    <w:p w14:paraId="0FD274F9" w14:textId="2AAAF41B" w:rsidR="00975E37" w:rsidRPr="00DF7C87" w:rsidRDefault="00975E37" w:rsidP="00463612">
      <w:pPr>
        <w:pStyle w:val="Heading2"/>
        <w:rPr>
          <w:rFonts w:ascii="Times New Roman" w:hAnsi="Times New Roman" w:cs="Times New Roman"/>
        </w:rPr>
      </w:pPr>
      <w:r w:rsidRPr="00DF7C87">
        <w:rPr>
          <w:rFonts w:ascii="Times New Roman" w:hAnsi="Times New Roman" w:cs="Times New Roman"/>
          <w:sz w:val="24"/>
          <w:szCs w:val="24"/>
        </w:rPr>
        <w:br w:type="page"/>
      </w:r>
      <w:bookmarkStart w:id="34" w:name="_Toc289175831"/>
      <w:bookmarkStart w:id="35" w:name="_Toc100607889"/>
      <w:r w:rsidR="00FF1665" w:rsidRPr="00DF7C87">
        <w:rPr>
          <w:rFonts w:ascii="Times New Roman" w:hAnsi="Times New Roman" w:cs="Times New Roman"/>
        </w:rPr>
        <w:lastRenderedPageBreak/>
        <w:t>R</w:t>
      </w:r>
      <w:bookmarkEnd w:id="34"/>
      <w:r w:rsidR="00DF6E72">
        <w:rPr>
          <w:rFonts w:ascii="Times New Roman" w:hAnsi="Times New Roman" w:cs="Times New Roman"/>
        </w:rPr>
        <w:t>eferences</w:t>
      </w:r>
      <w:bookmarkEnd w:id="35"/>
    </w:p>
    <w:p w14:paraId="71C0AC27" w14:textId="2EE5E5B5" w:rsidR="00834D4D" w:rsidRPr="00834D4D" w:rsidRDefault="00834D4D" w:rsidP="002F6B13">
      <w:pPr>
        <w:ind w:left="360" w:hanging="360"/>
        <w:jc w:val="both"/>
        <w:rPr>
          <w:rFonts w:ascii="Times New Roman" w:hAnsi="Times New Roman" w:cs="Times New Roman"/>
        </w:rPr>
      </w:pPr>
      <w:r w:rsidRPr="005D67DB">
        <w:rPr>
          <w:rFonts w:ascii="Times New Roman" w:hAnsi="Times New Roman" w:cs="Times New Roman"/>
        </w:rPr>
        <w:t xml:space="preserve">Adrian, R. et al. 1999. </w:t>
      </w:r>
      <w:r w:rsidRPr="00834D4D">
        <w:rPr>
          <w:rFonts w:ascii="Times New Roman" w:hAnsi="Times New Roman" w:cs="Times New Roman"/>
        </w:rPr>
        <w:t>Effects of ice duration on plankton succession during spring in a shallow polymictic lake. - Freshw. Biol. 41: 621–634.</w:t>
      </w:r>
    </w:p>
    <w:p w14:paraId="0799469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Adrian, R. et al. 2006. Life-history traits of lake plankton species may govern their phenological response to climate warming. - Glob. Chang. Biol. 12: 652–661.</w:t>
      </w:r>
    </w:p>
    <w:p w14:paraId="1E35AA0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Altermatt, F. 2010a. Tell me what you eat and I’ll tell you when you fly: Diet can predict phenological changes in response to climate change. - Ecol. Lett. 13: 1475–1484.</w:t>
      </w:r>
    </w:p>
    <w:p w14:paraId="0BC9B27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Altermatt, F. 2010b. Climatic warming increases voltinism in european butterflies and moths. - Proc. R. Soc. B Biol. Sci. 277: 1281–1287.</w:t>
      </w:r>
    </w:p>
    <w:p w14:paraId="53CFDE09"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Anderson, H. E. et al. 2019. </w:t>
      </w:r>
      <w:r w:rsidRPr="00834D4D">
        <w:rPr>
          <w:rFonts w:ascii="Times New Roman" w:hAnsi="Times New Roman" w:cs="Times New Roman"/>
        </w:rPr>
        <w:t>Water temperature drives variability in salmonfly abundance, emergence timing, and body size. - River Res. Appl. 35: 1013–1022.</w:t>
      </w:r>
    </w:p>
    <w:p w14:paraId="6885ED9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Ardyna, M. and Arrigo, K. R. 2020. Phytoplankton dynamics in a changing Arctic Ocean. - Nat. Clim. Chang. 10: 892–903.</w:t>
      </w:r>
    </w:p>
    <w:p w14:paraId="74F7958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Asch, R. G. 2015. Climate change and decadal shifts in the phenology of larval fishes in the California Current ecosystem. - Proc. Natl. Acad. Sci. U. S. A. 112: E4065–E4074.</w:t>
      </w:r>
    </w:p>
    <w:p w14:paraId="59309C0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Atsumi, K. and Koizumi, I. 2017. Web image search revealed large-scale variations in breeding season and nuptial coloration in a mutually ornamented fish, Tribolodon hakonensis. - Ecol. Res. 32: 567–578.</w:t>
      </w:r>
    </w:p>
    <w:p w14:paraId="38DDE0A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Austin, C. S. et al. 2019. </w:t>
      </w:r>
      <w:r w:rsidRPr="00834D4D">
        <w:rPr>
          <w:rFonts w:ascii="Times New Roman" w:hAnsi="Times New Roman" w:cs="Times New Roman"/>
        </w:rPr>
        <w:t>Spawning and emergence phenology of bull trout Salvelinus confluentus under differing thermal regimes. - J. Fish Biol. 94: 191–195.</w:t>
      </w:r>
    </w:p>
    <w:p w14:paraId="33003E0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Auth, T. D. et al. 2018. Phenological and distributional shifts in ichthyoplankton associated with recent warming in the northeast Pacific Ocean. - Glob. Chang. Biol. 24: 259–272.</w:t>
      </w:r>
    </w:p>
    <w:p w14:paraId="2B58B12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Ayllón, D. et al. 2019. Mechanistic simulations predict that thermal and hydrological effects of climate change on Mediterranean trout cannot be offset by adaptive behaviour, evolution, and increased food production. - Sci. Total Environ. 693: 133648.</w:t>
      </w:r>
    </w:p>
    <w:p w14:paraId="0491868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Baranov, V. et al. 2020. Complex and nonlinear climate-driven changes in freshwater insect communities over 42 years. - Conserv. Biol. 0: 1–11.</w:t>
      </w:r>
    </w:p>
    <w:p w14:paraId="5DE3B77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Beck, H. E. et al. 2018. Present and future köppen-geiger climate classification maps at 1-km resolution. - Sci. Data 5: 1–12.</w:t>
      </w:r>
    </w:p>
    <w:p w14:paraId="040183A8"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Bell, D. A. et al. 2017. </w:t>
      </w:r>
      <w:r w:rsidRPr="00834D4D">
        <w:rPr>
          <w:rFonts w:ascii="Times New Roman" w:hAnsi="Times New Roman" w:cs="Times New Roman"/>
        </w:rPr>
        <w:t>Climate-induced trends in predator-prey synchrony differ across life-history stages of an anadromous salmonid. - Can. J. Fish. Aquat. Sci. 74: 1431–1438.</w:t>
      </w:r>
    </w:p>
    <w:p w14:paraId="4924857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Bennett, J. M. et al. 2018. GlobTherm, a global database on thermal tolerances for aquatic and terrestrial organisms. - Sci. Data 5: 1–7.</w:t>
      </w:r>
    </w:p>
    <w:p w14:paraId="19202FD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Benstead, J. P. and Huryn, A. D. 2011. Extreme seasonality of litter breakdown in an arctic spring-fed stream is driven by shredder phenology, not temperature. - Freshw. Biol. 56: 2034–2044.</w:t>
      </w:r>
    </w:p>
    <w:p w14:paraId="02D84B9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Bland, L. M. 2017. Global correlates of extinction risk in freshwater crayfish. - Anim. Conserv. 20: 532–542.</w:t>
      </w:r>
    </w:p>
    <w:p w14:paraId="3ED966D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Blenckner, T. et al. 2007. Large-scale climatic signatures in lakes across Europe: A meta-analysis. - Glob. Chang. Biol. 13: 1314–1326.</w:t>
      </w:r>
    </w:p>
    <w:p w14:paraId="354BA878"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Blois, J. L. et al. 2013. </w:t>
      </w:r>
      <w:r w:rsidRPr="00834D4D">
        <w:rPr>
          <w:rFonts w:ascii="Times New Roman" w:hAnsi="Times New Roman" w:cs="Times New Roman"/>
        </w:rPr>
        <w:t>Space can substitute for time in predicting climate-change effects on biodiversity. - Proc. Natl. Acad. Sci. 110: 9374–9379.</w:t>
      </w:r>
    </w:p>
    <w:p w14:paraId="328AC3F5"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lastRenderedPageBreak/>
        <w:t xml:space="preserve">Bondarev, D. L. et al. 2019. </w:t>
      </w:r>
      <w:r w:rsidRPr="00834D4D">
        <w:rPr>
          <w:rFonts w:ascii="Times New Roman" w:hAnsi="Times New Roman" w:cs="Times New Roman"/>
        </w:rPr>
        <w:t>The impact of temporal patterns of temperature and precipitation on silver Prussian carp (Carassius gibelio) spawning events. - Biosyst. Divers. 27: 106–117.</w:t>
      </w:r>
    </w:p>
    <w:p w14:paraId="108C68F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Brodersen, J. et al. 2011. Interplay between temperature, fish partial migration and trophic dynamics. - Oikos 120: 1838–1846.</w:t>
      </w:r>
    </w:p>
    <w:p w14:paraId="75A3B93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Brooks, S. J. et al. 2014. </w:t>
      </w:r>
      <w:r w:rsidRPr="00834D4D">
        <w:rPr>
          <w:rFonts w:ascii="Times New Roman" w:hAnsi="Times New Roman" w:cs="Times New Roman"/>
        </w:rPr>
        <w:t>Natural history museum collections provide information on phenological change in British butterflies since the late-nineteenth century. - Int. J. Biometeorol. 58: 1749–1758.</w:t>
      </w:r>
    </w:p>
    <w:p w14:paraId="2504C1D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Campbell, E. Y. et al. 2019. Phenology of hatching, emergence, and end-of-season body size in young-of-year coho salmon in thermally contrasting streams draining the Copper River Delta, Alaska. - Can. J. Fish. Aquat. Sci. 76: 185–191.</w:t>
      </w:r>
    </w:p>
    <w:p w14:paraId="428CB5D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Capellini, I. et al. 2015. The role of life history traits in mammalian invasion success. - Ecol. Lett. 18: 1099–1107.</w:t>
      </w:r>
    </w:p>
    <w:p w14:paraId="2B299C9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Carter, S. K. et al. 2018. Shifts in phenological distributions reshape interaction potential in natural communities. - Ecol. Lett. 21: 1143–1151.</w:t>
      </w:r>
    </w:p>
    <w:p w14:paraId="7668A39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Castro-Rebolledo, M. I. and Donato-Rondon, J. C. 2015. Emergence patterns in tropical insects: The role of water discharge frequency in an Andean Stream. - Ann. Limnol. 51: 147–155.</w:t>
      </w:r>
    </w:p>
    <w:p w14:paraId="2757EEA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Catalano, M. J. and Bozek, M. A. 2015. Influence of environmental variables on catostomid spawning phenology in a warmwater river. - Am. Midl. Nat. 173: 1–16.</w:t>
      </w:r>
    </w:p>
    <w:p w14:paraId="736B7BF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Chambers, L. E. et al. 2013. Phenological Changes in the Southern Hemisphere. - PLoS One 8: e75514.</w:t>
      </w:r>
    </w:p>
    <w:p w14:paraId="7D7FCA3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Chang, J. et al. 2019. An R package and online resource for macroevolutionary studies using the ray-finned fish tree of life. - Methods Ecol. Evol. 10: 1118–1124.</w:t>
      </w:r>
    </w:p>
    <w:p w14:paraId="2A7E446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Chapman, D. S. et al. 2014. Phenology predicts the native and invasive range limits of common ragweed. - Glob. Chang. Biol. 20: 192–202.</w:t>
      </w:r>
    </w:p>
    <w:p w14:paraId="4913E15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Charvet, S. et al. 2000. Traits of benthic macroinvertebrates in semi-natural french streams: An initial application to biomonitoring in Europe. - Freshw. Biol. 43: 277–296.</w:t>
      </w:r>
    </w:p>
    <w:p w14:paraId="1AB894F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Chevalier, M. et al. 2014. Spatial synchrony in stream fish populations: Influence of species traits. - Ecography (Cop.). 37: 960–968.</w:t>
      </w:r>
    </w:p>
    <w:p w14:paraId="36383AE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Chmura, H. E. et al. 2019. The mechanisms of phenology: the patterns and processes of phenological shifts. - Ecol. Monogr. 89: e01337.</w:t>
      </w:r>
    </w:p>
    <w:p w14:paraId="2637671D" w14:textId="77777777" w:rsidR="00834D4D" w:rsidRPr="00834D4D" w:rsidRDefault="00834D4D" w:rsidP="002F6B13">
      <w:pPr>
        <w:ind w:left="360" w:hanging="360"/>
        <w:jc w:val="both"/>
        <w:rPr>
          <w:rFonts w:ascii="Times New Roman" w:hAnsi="Times New Roman" w:cs="Times New Roman"/>
          <w:lang w:val="fr-FR"/>
        </w:rPr>
      </w:pPr>
      <w:r w:rsidRPr="00834D4D">
        <w:rPr>
          <w:rFonts w:ascii="Times New Roman" w:hAnsi="Times New Roman" w:cs="Times New Roman"/>
        </w:rPr>
        <w:t xml:space="preserve">Chuine, I. 2010. Why does phenology drive species distribution? - Philos. </w:t>
      </w:r>
      <w:r w:rsidRPr="00834D4D">
        <w:rPr>
          <w:rFonts w:ascii="Times New Roman" w:hAnsi="Times New Roman" w:cs="Times New Roman"/>
          <w:lang w:val="fr-FR"/>
        </w:rPr>
        <w:t>Trans. R. Soc. B Biol. Sci. 365: 3149–3160.</w:t>
      </w:r>
    </w:p>
    <w:p w14:paraId="367B7EC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Coffer, M. M. et al. 2020. </w:t>
      </w:r>
      <w:r w:rsidRPr="00834D4D">
        <w:rPr>
          <w:rFonts w:ascii="Times New Roman" w:hAnsi="Times New Roman" w:cs="Times New Roman"/>
        </w:rPr>
        <w:t>Quantifying national and regional cyanobacterial occurrence in US lakes using satellite remote sensing. - Ecol. Indic. 111: 105976.</w:t>
      </w:r>
    </w:p>
    <w:p w14:paraId="3ABC7250"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Compson, Z. G. et al. 2019. </w:t>
      </w:r>
      <w:r w:rsidRPr="00834D4D">
        <w:rPr>
          <w:rFonts w:ascii="Times New Roman" w:hAnsi="Times New Roman" w:cs="Times New Roman"/>
        </w:rPr>
        <w:t>Network-Based Biomonitoring: Exploring Freshwater Food Webs With Stable Isotope Analysis and DNA Metabarcoding. - Front. Ecol. Evol. in press.</w:t>
      </w:r>
    </w:p>
    <w:p w14:paraId="6A7A39D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Criddle, K. R. and Shimizu, I. 2014. The economic importance of wild Pacific Salmon. - In: Salmon: Biology, Ecological Impacts and Economic Importance. Nova Science Publishers, Inc., pp. 269–306.</w:t>
      </w:r>
    </w:p>
    <w:p w14:paraId="6E0A7BB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Davies, W. J. 2019. Multiple temperature effects on phenology and body size in wild butterflies predict a complex response to climate change. - Ecology 100: 1–11.</w:t>
      </w:r>
    </w:p>
    <w:p w14:paraId="233A2B8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lastRenderedPageBreak/>
        <w:t xml:space="preserve">de Senerpont Domis, L. N. et al. 2007. </w:t>
      </w:r>
      <w:r w:rsidRPr="00834D4D">
        <w:rPr>
          <w:rFonts w:ascii="Times New Roman" w:hAnsi="Times New Roman" w:cs="Times New Roman"/>
        </w:rPr>
        <w:t>Can overwintering versus diapausing strategy in Daphnia determine match-mismatch events in zooplankton-algae interactions? - Oecologia 150: 682–698.</w:t>
      </w:r>
    </w:p>
    <w:p w14:paraId="09A4852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Deacy, W. et al. 2016. Kodiak brown bears surf the salmon red wave: Direct evidence from GPS collared individuals. - Ecology 97: 1091–1098.</w:t>
      </w:r>
    </w:p>
    <w:p w14:paraId="0794077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Deacy, W. W. et al. 2019. Variation in spawning phenology within salmon populations influences landscape-level patterns of brown bear activity. - Ecosphere 10: e02575.</w:t>
      </w:r>
    </w:p>
    <w:p w14:paraId="54EF878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DeLeo, V. L. et al. 2020. </w:t>
      </w:r>
      <w:r w:rsidRPr="00834D4D">
        <w:rPr>
          <w:rFonts w:ascii="Times New Roman" w:hAnsi="Times New Roman" w:cs="Times New Roman"/>
        </w:rPr>
        <w:t>Effects of two centuries of global environmental variation on phenology and physiology of Arabidopsis thaliana. - Glob. Chang. Biol. 26: 523–538.</w:t>
      </w:r>
    </w:p>
    <w:p w14:paraId="042FD07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Dexter, E. et al. 2015. Persistent vs. ephemeral invasions: 8.5 years of zooplankton community dynamics in the Columbia River. - Limnol. Oceanogr. 60: 527–539.</w:t>
      </w:r>
    </w:p>
    <w:p w14:paraId="395E21F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Diez, J. M. et al. 2012. Forecasting phenology: From species variability to community patterns. - Ecol. Lett. 15: 545–553.</w:t>
      </w:r>
    </w:p>
    <w:p w14:paraId="6B495F9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Donnelly, A. et al. 2011. A review of climate-driven mismatches between interdependent phenophases in terrestrial and aquatic ecosystems. - Int. J. Biometeorol. 55: 805–817.</w:t>
      </w:r>
    </w:p>
    <w:p w14:paraId="78E5D8E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Dudgeon, D. et al. 2006. Freshwater biodiversity: Importance, threats, status and conservation challenges. - Biol. Rev. Camb. Philos. Soc. 81: 163–182.</w:t>
      </w:r>
    </w:p>
    <w:p w14:paraId="24C02D0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Duffy, M. A. 2010. Ecological consequences of intraspecific variation in lake Daphnia. - Freshw. Biol. 55: 995–1004.</w:t>
      </w:r>
    </w:p>
    <w:p w14:paraId="7B8B53A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Elliott, J. A. 2012a. Is the future blue-green? A review of the current model predictions of how climate change could affect pelagic freshwater cyanobacteria. - Water Res. 46: 1364–1371.</w:t>
      </w:r>
    </w:p>
    <w:p w14:paraId="2B153B2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Elliott, J. . 2012b. Predicting the impact of changing nutrient load and temperature on the phytoplankton of England’s largest lake, Windermere. - Freshw. Biol. 57: 400–413.</w:t>
      </w:r>
    </w:p>
    <w:p w14:paraId="688A5EC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Elliott, J. A. et al. 2006. Testing the sensitivity of phytoplankton communities to changes in water temperature and nutrient load, in a temperate lake. - Hydrobiologia 559: 401–411.</w:t>
      </w:r>
    </w:p>
    <w:p w14:paraId="1F636A9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Flitcroft, R. L. et al. 2016. </w:t>
      </w:r>
      <w:r w:rsidRPr="00834D4D">
        <w:rPr>
          <w:rFonts w:ascii="Times New Roman" w:hAnsi="Times New Roman" w:cs="Times New Roman"/>
        </w:rPr>
        <w:t>Linking hydroclimate to fish phenology and habitat use with ichthyographs. - PLoS One 11: 1–12.</w:t>
      </w:r>
    </w:p>
    <w:p w14:paraId="43FDCCD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Forster, J. et al. 2012. Warming-induced reductions in body size are greater in aquatic than terrestrial species. - Proc. Natl. Acad. Sci. 109: 19310–19314.</w:t>
      </w:r>
    </w:p>
    <w:p w14:paraId="7AA8631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Frimpong, E. A. and Angermeier, P. L. 2009. FishTraits : A Database of Ecological and Life-history Traits of Freshwater Fishes of the United States FishTraits : - Fisheries 34: 487-495.</w:t>
      </w:r>
    </w:p>
    <w:p w14:paraId="28ED72E5" w14:textId="77777777" w:rsidR="00834D4D" w:rsidRPr="00834D4D" w:rsidRDefault="00834D4D" w:rsidP="002F6B13">
      <w:pPr>
        <w:ind w:left="360" w:hanging="360"/>
        <w:jc w:val="both"/>
        <w:rPr>
          <w:rFonts w:ascii="Times New Roman" w:hAnsi="Times New Roman" w:cs="Times New Roman"/>
          <w:lang w:val="fr-FR"/>
        </w:rPr>
      </w:pPr>
      <w:r w:rsidRPr="00834D4D">
        <w:rPr>
          <w:rFonts w:ascii="Times New Roman" w:hAnsi="Times New Roman" w:cs="Times New Roman"/>
        </w:rPr>
        <w:t xml:space="preserve">Froese, R. and Pauly, D. 2018. </w:t>
      </w:r>
      <w:r w:rsidRPr="00834D4D">
        <w:rPr>
          <w:rFonts w:ascii="Times New Roman" w:hAnsi="Times New Roman" w:cs="Times New Roman"/>
          <w:lang w:val="fr-FR"/>
        </w:rPr>
        <w:t>FishBase. - www.fishbase.org</w:t>
      </w:r>
    </w:p>
    <w:p w14:paraId="385D8E7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Galloway, A. W. E. et al. 2014. </w:t>
      </w:r>
      <w:r w:rsidRPr="00834D4D">
        <w:rPr>
          <w:rFonts w:ascii="Times New Roman" w:hAnsi="Times New Roman" w:cs="Times New Roman"/>
        </w:rPr>
        <w:t>Diet-specific biomarkers show that high-quality phytoplankton fuels herbivorous zooplankton in large boreal lakes. - Freshw. Biol. 59: 1902–1915.</w:t>
      </w:r>
    </w:p>
    <w:p w14:paraId="782E30F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Gerten, D. and Adrian, R. 2002. Species-specific changes in the phenology and peak abundance of freshwater copepods in response to warm summers. - Freshw. Biol. 47: 2163–2173.</w:t>
      </w:r>
    </w:p>
    <w:p w14:paraId="1F1911C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Giam, X. and Olden, J. D. 2016. Environment and predation govern fish community assembly in temperate streams. - Glob. Ecol. Biogeogr. 25: 1194–1205.</w:t>
      </w:r>
    </w:p>
    <w:p w14:paraId="1FCBD2F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Giberson, D. J. and Garnett, H. L. 1996. Species composition, distribution, and summer emergence phenology of stoneflies (Insecta: Plecoptera) from Catamaran Brook, New Brunswick. - Can. J. Zool. 74: 1260–1267.</w:t>
      </w:r>
    </w:p>
    <w:p w14:paraId="696A09A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Gillooly, J. F. et al. 2001. Effects of size and temperature on metabolic rate. - Science (80-. ). 293: 2248–2251.</w:t>
      </w:r>
    </w:p>
    <w:p w14:paraId="2400378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Gillooly, J. F. et al. 2002. Effects of size and temperature on developmental time. - Nature 417: 70–73.</w:t>
      </w:r>
    </w:p>
    <w:p w14:paraId="375F58A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Giménez, L. et al. 2020. Exploring larval phenology as predictor for range expansion in an invasive species. - Ecography (Cop.).: 1423–1434.</w:t>
      </w:r>
    </w:p>
    <w:p w14:paraId="5FD8453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Global Runoff Data Centre 2020. Global Runoff Data Centre.</w:t>
      </w:r>
    </w:p>
    <w:p w14:paraId="06E3832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Gooding, E. L. et al. 2018. Life History and Phenological Characteristics of the Invasive Island Apple Snail Pomacea maculata (Perry, 1810) in Stormwater Retention Ponds in Coastal South Carolina, USA. - J. Shellfish Res. 37: 229–238.</w:t>
      </w:r>
    </w:p>
    <w:p w14:paraId="612B4FE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Gordo, O. and Sanz, J. J. 2006. Climate change and bird phenology: A long-term study in the Iberian Peninsula. - Glob. Chang. Biol. 12: 1993–2004.</w:t>
      </w:r>
    </w:p>
    <w:p w14:paraId="55A5178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Gorman, O. and Stone, D. 1999. Ecology of spawning humpback chub, Gila cypha, in the Little Colorado River near Grand Canyon, Arizona. - Environ. Biol. Fishes 55: 115–133.</w:t>
      </w:r>
    </w:p>
    <w:p w14:paraId="39836763"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Hansen, H. H. et al. 2020. </w:t>
      </w:r>
      <w:r w:rsidRPr="00834D4D">
        <w:rPr>
          <w:rFonts w:ascii="Times New Roman" w:hAnsi="Times New Roman" w:cs="Times New Roman"/>
        </w:rPr>
        <w:t>An unseen synchrony or recurrent resource pulse opportunity? linking fisheries with aeroecology. - Remote Sens. Ecol. Conserv. 6: 366–380.</w:t>
      </w:r>
    </w:p>
    <w:p w14:paraId="01220B4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Haraldstad, T. et al. 2017. Diel migration pattern of Atlantic salmon (Salmo salar) and sea trout (Salmo trutta) smolts: an assessment of environmental cues. - Ecol. Freshw. Fish 26: 541–551.</w:t>
      </w:r>
    </w:p>
    <w:p w14:paraId="12181D4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Hardersen, S. 2008. Dragonfly (Odonata) communities at three lotic sites with different hydrological characteristics. - Ital. J. Zool. 75: 271–283.</w:t>
      </w:r>
    </w:p>
    <w:p w14:paraId="42280F4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Harper, M. P. and Peckarsky, B. L. 2006. Emergence cues of a mayfly in a high-altitude stream ecosystem: Potential response to climate change. - Ecol. Appl. 16: 612–621.</w:t>
      </w:r>
    </w:p>
    <w:p w14:paraId="15DDE32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Harrison, I. et al. 2018. The Freshwater and Biodiversity Crisis. - Science (80-. ). 362: 1369.</w:t>
      </w:r>
    </w:p>
    <w:p w14:paraId="7C6029A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Hassall, C. et al. 2007. Historical changes in the phenology of British Odonata are related to climate. - Glob. Chang. Biol. 13: 933–941.</w:t>
      </w:r>
    </w:p>
    <w:p w14:paraId="102BE23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Heberling, J. M. et al. 2019. Phenological mismatch with trees reduces wildflower carbon budgets. - Ecol. Lett. 22: 616–623.</w:t>
      </w:r>
    </w:p>
    <w:p w14:paraId="7E92F288" w14:textId="77777777" w:rsidR="00834D4D" w:rsidRPr="00834D4D" w:rsidRDefault="00834D4D" w:rsidP="002F6B13">
      <w:pPr>
        <w:ind w:left="360" w:hanging="360"/>
        <w:jc w:val="both"/>
        <w:rPr>
          <w:rFonts w:ascii="Times New Roman" w:hAnsi="Times New Roman" w:cs="Times New Roman"/>
        </w:rPr>
      </w:pPr>
      <w:r w:rsidRPr="0069153B">
        <w:rPr>
          <w:rFonts w:ascii="Times New Roman" w:hAnsi="Times New Roman" w:cs="Times New Roman"/>
        </w:rPr>
        <w:t xml:space="preserve">Heim, K. C. et al. 2019. </w:t>
      </w:r>
      <w:r w:rsidRPr="00834D4D">
        <w:rPr>
          <w:rFonts w:ascii="Times New Roman" w:hAnsi="Times New Roman" w:cs="Times New Roman"/>
        </w:rPr>
        <w:t>A general model of temporary aquatic habitat use: Water phenology as a life history filter. - Fish Fish.: faf.12386.</w:t>
      </w:r>
    </w:p>
    <w:p w14:paraId="666F4A5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 xml:space="preserve"> 2007. Body size: The structure and function of aquatic systems (AG Hildrew, D Raffaelli, and R Edmonds-Brown, Eds.). - Cambridge University Press.</w:t>
      </w:r>
    </w:p>
    <w:p w14:paraId="568393B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Holmes, E. E. et al. 2012. </w:t>
      </w:r>
      <w:r w:rsidRPr="00834D4D">
        <w:rPr>
          <w:rFonts w:ascii="Times New Roman" w:hAnsi="Times New Roman" w:cs="Times New Roman"/>
        </w:rPr>
        <w:t>MARSS: Multivariate autoregressive state-space models for analyzing time-series data. - R J. 4: 11–19.</w:t>
      </w:r>
    </w:p>
    <w:p w14:paraId="10C5CDF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Hopkins, A. D. 1919. The Bioclimatic Law as Applied to Entomological Research and Farm Practise. - Sci. Mon. 8: 496–513.</w:t>
      </w:r>
    </w:p>
    <w:p w14:paraId="0F7B15F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Hopkins, A. D. 1920. The bioclimatic law. - J. Washingt. Acad. Sci. 10: 34–40.</w:t>
      </w:r>
    </w:p>
    <w:p w14:paraId="0007203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Hovel, R. A. et al. 2019. A wide window of migration phenology captures inter-annual variability of favourable conditions: Results of a whole-lake experiment with juvenile Pacific salmon. - Freshw. Biol. 64: 46–55.</w:t>
      </w:r>
    </w:p>
    <w:p w14:paraId="2C6AC1C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Hua, F. et al. 2016. Community-wide changes in intertaxonomic temporal co-occurrence resulting from phenological shifts. - Glob. Chang. Biol. 22: 1746–1754.</w:t>
      </w:r>
    </w:p>
    <w:p w14:paraId="1697EDA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Huey, R. B. and Berrigan, D. 2001. Temperature, demography, and ectotherm fitness. - Am. Nat. 158: 204–210.</w:t>
      </w:r>
    </w:p>
    <w:p w14:paraId="5D85977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Hutchings, J. A. et al. 2013. </w:t>
      </w:r>
      <w:r w:rsidRPr="00834D4D">
        <w:rPr>
          <w:rFonts w:ascii="Times New Roman" w:hAnsi="Times New Roman" w:cs="Times New Roman"/>
        </w:rPr>
        <w:t>Life-history correlates of extinction risk and recovery potential. - Ecol. Appl. 22: 1061–1067.</w:t>
      </w:r>
    </w:p>
    <w:p w14:paraId="69103147"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Jolley, J. C. et al. 2010. </w:t>
      </w:r>
      <w:r w:rsidRPr="00834D4D">
        <w:rPr>
          <w:rFonts w:ascii="Times New Roman" w:hAnsi="Times New Roman" w:cs="Times New Roman"/>
        </w:rPr>
        <w:t>Match-mismatch regulation for bluegill and yellow perch larvae and their prey in Sandhill lakes. - J. Fish Wildl. Manag. 1: 73–85.</w:t>
      </w:r>
    </w:p>
    <w:p w14:paraId="2D3F5F7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Jönsson, A. M. et al. 2009. Spatio-temporal impact of climate change on the activity and voltinism of the spruce bark beetle, Ips typographus. - Glob. Chang. Biol. 15: 486–499.</w:t>
      </w:r>
    </w:p>
    <w:p w14:paraId="733E169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Joshi, K. D. et al. 2018. Pattern of reproductive biology of the endangered golden mahseer tor putitora (Hamilton 1822) with special reference to regional climate change implications on breeding phenology from lesser himalayan region, india. - J. Appl. Anim. Res. 46: 1289–1295.</w:t>
      </w:r>
    </w:p>
    <w:p w14:paraId="2FF4BDA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Kharouba, H. M. et al. 2018. Global shifts in the phenological synchrony of species interactions over recent decades. - Proc. Natl. Acad. Sci. U. S. A. 115: 5211–5216.</w:t>
      </w:r>
    </w:p>
    <w:p w14:paraId="5B1D593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Kim, S. and Kanno, Y. 2020. Spawning periodicity and synchrony of bluehead chub (Nocomis leptocephalus) and a nest associate, yellowfin shiner (Notropis lutipinnis), across local streams. - Ecol. Freshw. Fish 29: 299–310.</w:t>
      </w:r>
    </w:p>
    <w:p w14:paraId="0FF42B6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King, A. J. et al. 2020. Preliminary evidence of spawning phenologies of freshwater fish in a wet–dry tropical river: the importance of both wet and dry seasons. - Mar. Freshw. Res. 71: 202–212.</w:t>
      </w:r>
    </w:p>
    <w:p w14:paraId="253216D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Kovach, R. P. et al. 2015. Temporal patterns in adult salmon migration timing across southeast Alaska. - Glob. Chang. Biol. 21: 1821–1833.</w:t>
      </w:r>
    </w:p>
    <w:p w14:paraId="0DA3ED3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Kovach, R. P. et al. 2016. Impacts of climatic variation on trout: a global synthesis and path forward. - Rev. Fish Biol. Fish. 26: 135–151.</w:t>
      </w:r>
    </w:p>
    <w:p w14:paraId="64CFEAA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Krabbenhoft, T. J. et al. 2014a. Interannual variation in reproductive phenology in a riverine fish assemblage: Implications for predicting the effects of climate change and altered flow regimes. - Freshw. Biol. 59: 1744–1754.</w:t>
      </w:r>
    </w:p>
    <w:p w14:paraId="176B330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Krabbenhoft, T. J. et al. 2014b. Interannual variation in reproductive phenology in a riverine fish assemblage: Implications for predicting the effects of climate change and altered flow regimes. - Freshw. Biol. 59: 1744–1754.</w:t>
      </w:r>
    </w:p>
    <w:p w14:paraId="0690C21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Kuczynski, L. et al. 2017. Indirect effect of temperature on fish population abundances through phenological changes. - PLoS One 12: 1–13.</w:t>
      </w:r>
    </w:p>
    <w:p w14:paraId="7A7301E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Larsen, S. et al. 2016. Resource subsidies between stream and terrestrial ecosystems under global change. - Glob. Chang. Biol. 22: 2489–2504.</w:t>
      </w:r>
    </w:p>
    <w:p w14:paraId="291D36C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Lau, D. C. P. et al. 2014. Autochthonous resources are the main driver of consumer production in dystrophic boreal lakes. - Ecology 95: 1506–1519.</w:t>
      </w:r>
    </w:p>
    <w:p w14:paraId="60CABF1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Liang, S. H. et al. 2005. </w:t>
      </w:r>
      <w:r w:rsidRPr="00834D4D">
        <w:rPr>
          <w:rFonts w:ascii="Times New Roman" w:hAnsi="Times New Roman" w:cs="Times New Roman"/>
        </w:rPr>
        <w:t>Size structure, reproductive phenology, and sex ratio of an exotic armored catfish (Liposarcus multiradiatus) in the Kaoping River of Southern Taiwan. - Zool. Stud. 44: 252–259.</w:t>
      </w:r>
    </w:p>
    <w:p w14:paraId="5D10BC0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Lisi, P. J. and Schindler, D. E. 2011. Spatial variation in timing of marine subsidies influences riparian phenology through a plant-pollinator mutualism. - Ecosphere 2: art101.</w:t>
      </w:r>
    </w:p>
    <w:p w14:paraId="660B267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Lurgi, M. et al. 2012. Novel communities from climate change. - Philos. Trans. R. Soc. B Biol. Sci. 367: 2913–2922.</w:t>
      </w:r>
    </w:p>
    <w:p w14:paraId="54D0C5EE"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Lynch, A. J. et al. 2016. </w:t>
      </w:r>
      <w:r w:rsidRPr="00834D4D">
        <w:rPr>
          <w:rFonts w:ascii="Times New Roman" w:hAnsi="Times New Roman" w:cs="Times New Roman"/>
        </w:rPr>
        <w:t>Climate Change Effects on North American Inland Fish Populations and Assemblages. - Fisheries 41: 346–361.</w:t>
      </w:r>
    </w:p>
    <w:p w14:paraId="6846159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Lyons, J. et al. 2015. Trends in the reproductive phenology of two great lakes fishes. - Trans. Am. Fish. Soc. 144: 1263–1274.</w:t>
      </w:r>
    </w:p>
    <w:p w14:paraId="63B77C2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Macgregor, C. J. et al. 2019. Climate-induced phenology shifts linked to range expansions in species with multiple reproductive cycles per year. - Nat. Commun. 10: 1–10.</w:t>
      </w:r>
    </w:p>
    <w:p w14:paraId="1121C6E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McMeans, B. C. et al. 2019. Consumer trophic positions respond variably to seasonally fluctuating environments. - Ecology 0: e02570.</w:t>
      </w:r>
    </w:p>
    <w:p w14:paraId="57D80EE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Mcnamara, J. M. et al. 2011. </w:t>
      </w:r>
      <w:r w:rsidRPr="00834D4D">
        <w:rPr>
          <w:rFonts w:ascii="Times New Roman" w:hAnsi="Times New Roman" w:cs="Times New Roman"/>
        </w:rPr>
        <w:t>Cues and the optimal timing of activities under environmental changes. - Ecol. Lett. 14: 1183–1190.</w:t>
      </w:r>
    </w:p>
    <w:p w14:paraId="16C10B0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Meineke, E. K. and Davies, T. J. 2019. Museum specimens provide novel insights into changing plant–herbivore interactions. - Philos. Trans. R. Soc. B Biol. Sci. 374: 20170393.</w:t>
      </w:r>
    </w:p>
    <w:p w14:paraId="06D144EB"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Mendoza-Henao, A. M. et al. 2019. </w:t>
      </w:r>
      <w:r w:rsidRPr="00834D4D">
        <w:rPr>
          <w:rFonts w:ascii="Times New Roman" w:hAnsi="Times New Roman" w:cs="Times New Roman"/>
        </w:rPr>
        <w:t>A morphological database for Colombian anuran species from conservation-priority ecosystems. - Ecology 100: 2685.</w:t>
      </w:r>
    </w:p>
    <w:p w14:paraId="254DAD6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Meneks, M. L. et al. 2003. </w:t>
      </w:r>
      <w:r w:rsidRPr="00834D4D">
        <w:rPr>
          <w:rFonts w:ascii="Times New Roman" w:hAnsi="Times New Roman" w:cs="Times New Roman"/>
        </w:rPr>
        <w:t>Larval fish as indicators of reproductive success in unchannelized and channelized tributaries of the red river basin, minnesota. - J. Freshw. Ecol. 18: 141–154.</w:t>
      </w:r>
    </w:p>
    <w:p w14:paraId="3001636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Menzel, A. et al. 2006. European phenological response to climate change matches the warming pattern. - Glob. Chang. Biol. 12: 1969–1976.</w:t>
      </w:r>
    </w:p>
    <w:p w14:paraId="404FB90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Miller-Rushing, A. J. et al. 2010. The effects of phenological mismatches on demography. - Philos. Trans. R. Soc. B Biol. Sci. 365: 3177–3186.</w:t>
      </w:r>
    </w:p>
    <w:p w14:paraId="4D7AA52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Mims, M. C. and Olden, J. D. 2012. Life history theory predicts fish assemblage response to hydrologic regimes. - Ecology 93: 35–45.</w:t>
      </w:r>
    </w:p>
    <w:p w14:paraId="751F827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Mims, M. C. and Olden, J. D. 2013. Fish assemblages respond to altered flow regimes via ecological filtering of life history strategies. - Freshw. Biol. 58: 50–62.</w:t>
      </w:r>
    </w:p>
    <w:p w14:paraId="54DC13B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Mims, M. C. et al. 2010. Life history trait diversity of native freshwater fishes in North America. - Ecol. Freshw. Fish 19: 390–400.</w:t>
      </w:r>
    </w:p>
    <w:p w14:paraId="19EE796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Moyes, K. et al. 2011. Advancing breeding phenology in response to environmental change in a wild red deer population. - Glob. Chang. Biol. 17: 2455–2469.</w:t>
      </w:r>
    </w:p>
    <w:p w14:paraId="6CB4374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Mundy, P. R. and Evenson, D. F. 2011. Environmental controls of phenology of high-latitude Chinook salmon populations of the Yukon River, North America, with application to fishery management. - ICES J. Mar. Sci. 68: 1155–1164.</w:t>
      </w:r>
    </w:p>
    <w:p w14:paraId="58B9E7AD"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Myers, B. J. E. et al. 2017. </w:t>
      </w:r>
      <w:r w:rsidRPr="00834D4D">
        <w:rPr>
          <w:rFonts w:ascii="Times New Roman" w:hAnsi="Times New Roman" w:cs="Times New Roman"/>
        </w:rPr>
        <w:t>Global synthesis of the documented and projected effects of climate change on inland fishes. - Rev. Fish Biol. Fish. 27: 339–361.</w:t>
      </w:r>
    </w:p>
    <w:p w14:paraId="6EF9B0E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Newbold, J. D. et al. 1994. A model for seasonal synchrony in stream mayflies. - J. North Am. Benthol. Soc. 13: 3–18.</w:t>
      </w:r>
    </w:p>
    <w:p w14:paraId="7C05BFE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Nicolle, A. et al. 2012. Predicted warming and browning affect timing and magnitude of plankton phenological events in lakes: A mesocosm study. - Freshw. Biol. 57: 684–695.</w:t>
      </w:r>
    </w:p>
    <w:p w14:paraId="039FDD2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O’Brien, T. P. et al. 2019. Phenology and species diversity in a Lake Huron ichthyoplankton community: Ecological implications of invasive species dominance. - J. Great Lakes Res. 45: 176–186.</w:t>
      </w:r>
    </w:p>
    <w:p w14:paraId="26F4121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Ohlberger, J. et al. 2014. When phenology matters: Age - size truncation alters population response to trophic mismatch. - Proc. R. Soc. B Biol. Sci. 281: 20140938.</w:t>
      </w:r>
    </w:p>
    <w:p w14:paraId="7C66A590"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Oliveira, B. F. et al. 2017. </w:t>
      </w:r>
      <w:r w:rsidRPr="00834D4D">
        <w:rPr>
          <w:rFonts w:ascii="Times New Roman" w:hAnsi="Times New Roman" w:cs="Times New Roman"/>
        </w:rPr>
        <w:t>AmphiBIO, a global database for amphibian ecological traits. - Sci. Data 4: 1–7.</w:t>
      </w:r>
    </w:p>
    <w:p w14:paraId="08EA81C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Olsen, K. et al. 2020. Natural history museum collection and citizen science data show advancing phenology of Danish hoverflies (Insecta: Diptera, Syrphidae) with increasing annual temperature. - PLoS One 15: 5–8.</w:t>
      </w:r>
    </w:p>
    <w:p w14:paraId="2781312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Parmesan, C. 2006. Ecological and evolutionary responses to recent climate change. - Annu. Rev. Ecol. Evol. Syst. 37: 637–669.</w:t>
      </w:r>
    </w:p>
    <w:p w14:paraId="224806D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Parmesan, C. and Yohe, G. 2003. A globally coherent fingerprint of climate change impacts across natural systems. - Nature 421: 37–42.</w:t>
      </w:r>
    </w:p>
    <w:p w14:paraId="403BB6E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Peckarsky, B. L. et al. 2000. </w:t>
      </w:r>
      <w:r w:rsidRPr="00834D4D">
        <w:rPr>
          <w:rFonts w:ascii="Times New Roman" w:hAnsi="Times New Roman" w:cs="Times New Roman"/>
        </w:rPr>
        <w:t>Hydrologic and behavioral constraints on oviposition of stream insects: Implications for adult dispersal. - Oecologia 125: 186–200.</w:t>
      </w:r>
    </w:p>
    <w:p w14:paraId="4DE5AB37"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Peterson, M. S. and VanderKooy, S. J. 1995. Phenology and spatial and temporal distribution of larval fishes in a partially channelized warmwater stream. - Ecol. Freshw. Fish 4: 93–105.</w:t>
      </w:r>
    </w:p>
    <w:p w14:paraId="7EE6464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Piao, S. et al. 2019. Plant phenology and global climate change: Current progresses and challenges. - Glob. Chang. Biol. 25: 1922–1940.</w:t>
      </w:r>
    </w:p>
    <w:p w14:paraId="63220D51" w14:textId="77777777" w:rsidR="00834D4D" w:rsidRPr="00834D4D" w:rsidRDefault="00834D4D" w:rsidP="002F6B13">
      <w:pPr>
        <w:ind w:left="360" w:hanging="360"/>
        <w:jc w:val="both"/>
        <w:rPr>
          <w:rFonts w:ascii="Times New Roman" w:hAnsi="Times New Roman" w:cs="Times New Roman"/>
        </w:rPr>
      </w:pPr>
      <w:r w:rsidRPr="0069153B">
        <w:rPr>
          <w:rFonts w:ascii="Times New Roman" w:hAnsi="Times New Roman" w:cs="Times New Roman"/>
        </w:rPr>
        <w:t xml:space="preserve">Poff, N. L. R. et al. 2006. </w:t>
      </w:r>
      <w:r w:rsidRPr="00834D4D">
        <w:rPr>
          <w:rFonts w:ascii="Times New Roman" w:hAnsi="Times New Roman" w:cs="Times New Roman"/>
        </w:rPr>
        <w:t>Functional trait niches of North American lotic insects: Traits-based ecological applications in light of phylogenetic relationships. - J. North Am. Benthol. Soc. 25: 730–755.</w:t>
      </w:r>
    </w:p>
    <w:p w14:paraId="2C65D73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Purvis, A. et al. 2000. Predicting extinction risk in declining species. - Proc. R. Soc. B Biol. Sci. 267: 1947–1952.</w:t>
      </w:r>
    </w:p>
    <w:p w14:paraId="59FEE77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Renner, S. S. and Zohner, C. M. 2018. Climate Change and Phenological Mismatch in Trophic Interactions Among Plants, Insects, and Vertebrates. - Annu. Rev. Ecol. Evol. Syst. 49: 165–182.</w:t>
      </w:r>
    </w:p>
    <w:p w14:paraId="2302DC2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Rodger, A. W. et al. 2016. Larval fish abundance in relation to environmental variables in two Texas Gulf Coast rivers. - J. Freshw. Ecol. 31: 625–640.</w:t>
      </w:r>
    </w:p>
    <w:p w14:paraId="3FC4C42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Root, T. L. et al. 2003. Fingerprints of global warming on wild animals and plants. - Nature 42: 57–60.</w:t>
      </w:r>
    </w:p>
    <w:p w14:paraId="7AA5A291"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Rubenstein, M. A. et al. 2019. </w:t>
      </w:r>
      <w:r w:rsidRPr="00834D4D">
        <w:rPr>
          <w:rFonts w:ascii="Times New Roman" w:hAnsi="Times New Roman" w:cs="Times New Roman"/>
        </w:rPr>
        <w:t>Trophic implications of a phenological paradigm shift: Bald eagles and salmon in a changing climate. - J. Appl. Ecol. 56: 769–778.</w:t>
      </w:r>
    </w:p>
    <w:p w14:paraId="3F5AA0C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Rudolf, V. H. W. 2019. The role of seasonal timing and phenological shifts for species coexistence. - Ecol. Lett. 22: 1324–1338.</w:t>
      </w:r>
    </w:p>
    <w:p w14:paraId="12D7590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Ruhi, A. et al. 2018a. Tracking the pulse of the Earth’s fresh waters. - Nat. Sustain. 1: 198–203.</w:t>
      </w:r>
    </w:p>
    <w:p w14:paraId="6A7E12E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Ruhi, A. et al. 2018b. Detrimental effects of a novel flow regime on the functional trajectory of an aquatic invertebrate metacommunity. - Glob. Chang. Biol. 24: 3749–3765.</w:t>
      </w:r>
    </w:p>
    <w:p w14:paraId="01A7900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Samways, K. M. et al. 2018. Aquatic food‐web dynamics following incorporation of nutrients derived from Atlantic anadromous fishes. - J. Fish Biol. 92: 399–419.</w:t>
      </w:r>
    </w:p>
    <w:p w14:paraId="144CC57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Schindler, D. E. et al. 2005. </w:t>
      </w:r>
      <w:r w:rsidRPr="00834D4D">
        <w:rPr>
          <w:rFonts w:ascii="Times New Roman" w:hAnsi="Times New Roman" w:cs="Times New Roman"/>
        </w:rPr>
        <w:t>Effects of changing climate on zooplankton and juvenile sockeye salmon growth in southwestern Alaska. - Ecology 86: 198–209.</w:t>
      </w:r>
    </w:p>
    <w:p w14:paraId="6040422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Schmidt-Kloiber, A. et al. 2015. www.freshwaterecology.info - an online tool that unifies, standardises and codifies more than 20,000 European freshwater organisms and their ecological preferences. - Ecol. Indic. 53: 271–282.</w:t>
      </w:r>
    </w:p>
    <w:p w14:paraId="1C374C1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Scranton, K. and Amarasekare, P. 2017. Predicting phenological shifts in a changing climate. - Proc. Natl. Acad. Sci. U. S. A. 114: 13212–13217.</w:t>
      </w:r>
    </w:p>
    <w:p w14:paraId="106EF60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Seebens, H. et al. 2009. Copepod life cycle adaptations and success in response to phytoplankton spring bloom phenology. - Glob. Chang. Biol. 15: 1394–1404.</w:t>
      </w:r>
    </w:p>
    <w:p w14:paraId="0BE25FE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Sheppard, L. W. et al. 2016. Changes in large-scale climate alter spatial synchrony of aphid pests. - Nat. Clim. Chang. 6: 610–613.</w:t>
      </w:r>
    </w:p>
    <w:p w14:paraId="06864BE8" w14:textId="77777777" w:rsidR="00834D4D" w:rsidRPr="00834D4D" w:rsidRDefault="00834D4D" w:rsidP="002F6B13">
      <w:pPr>
        <w:ind w:left="360" w:hanging="360"/>
        <w:jc w:val="both"/>
        <w:rPr>
          <w:rFonts w:ascii="Times New Roman" w:hAnsi="Times New Roman" w:cs="Times New Roman"/>
          <w:lang w:val="fr-FR"/>
        </w:rPr>
      </w:pPr>
      <w:r w:rsidRPr="00834D4D">
        <w:rPr>
          <w:rFonts w:ascii="Times New Roman" w:hAnsi="Times New Roman" w:cs="Times New Roman"/>
        </w:rPr>
        <w:t xml:space="preserve">Sherry, R. A. et al. 2007. Divergence of reproductive phenology under climate warming. - Proc. </w:t>
      </w:r>
      <w:r w:rsidRPr="00834D4D">
        <w:rPr>
          <w:rFonts w:ascii="Times New Roman" w:hAnsi="Times New Roman" w:cs="Times New Roman"/>
          <w:lang w:val="fr-FR"/>
        </w:rPr>
        <w:t>Natl. Acad. Sci. U. S. A. 104: 198–202.</w:t>
      </w:r>
    </w:p>
    <w:p w14:paraId="691ACA1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Shuter, B. J. et al. 2012. </w:t>
      </w:r>
      <w:r w:rsidRPr="00834D4D">
        <w:rPr>
          <w:rFonts w:ascii="Times New Roman" w:hAnsi="Times New Roman" w:cs="Times New Roman"/>
        </w:rPr>
        <w:t>The role of winter phenology in shaping the ecology of freshwater fish and their sensitivities to climate change. - Aquat. Sci. 74: 637–657.</w:t>
      </w:r>
    </w:p>
    <w:p w14:paraId="43C7A0C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Smith, M. A. K. 1991. Models of seasonal growth of the equatorial carp Labeo dussumieri in response to the river flood cycle. - Environ. Biol. Fishes 31: 157–170.</w:t>
      </w:r>
    </w:p>
    <w:p w14:paraId="5C6FFCFC"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Sparks, M. M. et al. 2019. Influences of spawning timing, water temperature, and climatic warming on early life history phenology in western alaska sockeye salmon. - Can. J. Fish. Aquat. Sci. 76: 123–135.</w:t>
      </w:r>
    </w:p>
    <w:p w14:paraId="4F4931B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Staudinger, M. D. et al. 2019. It’s about time: A synthesis of changing phenology in the Gulf of Maine ecosystem. - Fish. Oceanogr. 28: 532–566.</w:t>
      </w:r>
    </w:p>
    <w:p w14:paraId="46049E4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Stenseth, N. C. et al. 2002. Ecological effects of climate fluctuations. - Science (80-. ). 297: 1292–1296.</w:t>
      </w:r>
    </w:p>
    <w:p w14:paraId="3A390C7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Suresh, V. R. et al. 2019. Vermiculated sailfin catfish, Pterygoplichthys disjunctivus (Actinopterygii: Siluriformes: Loricariidae): Invasion, biology, and initial impacts in east Kolkata Wetlands, India. - Acta Ichthyol. Piscat. 49: 221–233.</w:t>
      </w:r>
    </w:p>
    <w:p w14:paraId="39A0290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Takimoto, G. and Sato, T. 2020. Timing and duration of phenological resources: Toward a mechanistic understanding of their impacts on community structure and ecosystem processes in stream food chains. - Ecol. Res. 35: 463–473.</w:t>
      </w:r>
    </w:p>
    <w:p w14:paraId="50534F7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Tang, J. et al. 2016. Emerging opportunities and challenges in phenology: A review. - Ecosphere 7: 1–17.</w:t>
      </w:r>
    </w:p>
    <w:p w14:paraId="271CFC4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Thackeray, S. J. 2016. Casting your network wide: A plea to scale-up phenological research. - Biol. Lett. 12: 20160181.</w:t>
      </w:r>
    </w:p>
    <w:p w14:paraId="1E06D41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Thackeray, S. J. et al. 2008. Long-term change in the phenology of spring phytoplankton: Species-specific responses to nutrient enrichment and climatic change. - J. Ecol. 96: 523–535.</w:t>
      </w:r>
    </w:p>
    <w:p w14:paraId="070219F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Thackeray, S. J. et al. 2010. Trophic level asynchrony in rates of phenological change for marine, freshwater and terrestrial environments. - Glob. Chang. Biol. 16: 3304–3313.</w:t>
      </w:r>
    </w:p>
    <w:p w14:paraId="76ABF73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lastRenderedPageBreak/>
        <w:t>Thackeray, S. J. et al. 2016. Phenological sensitivity to climate across taxa and trophic levels. - Nature 535: 241–245.</w:t>
      </w:r>
    </w:p>
    <w:p w14:paraId="3E38FAC9"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Thalinger, B. et al. 2019. Monitoring spawning migrations of potamodromous fish species via eDNA. - Sci. Rep. 9: 1–11.</w:t>
      </w:r>
    </w:p>
    <w:p w14:paraId="2AF9D533" w14:textId="77777777" w:rsidR="00834D4D" w:rsidRPr="00834D4D" w:rsidRDefault="00834D4D" w:rsidP="002F6B13">
      <w:pPr>
        <w:ind w:left="360" w:hanging="360"/>
        <w:jc w:val="both"/>
        <w:rPr>
          <w:rFonts w:ascii="Times New Roman" w:hAnsi="Times New Roman" w:cs="Times New Roman"/>
        </w:rPr>
      </w:pPr>
      <w:r w:rsidRPr="00352276">
        <w:rPr>
          <w:rFonts w:ascii="Times New Roman" w:hAnsi="Times New Roman" w:cs="Times New Roman"/>
          <w:lang w:val="fr-FR"/>
        </w:rPr>
        <w:t xml:space="preserve">Thompson, R. M. et al. 2012. </w:t>
      </w:r>
      <w:r w:rsidRPr="00834D4D">
        <w:rPr>
          <w:rFonts w:ascii="Times New Roman" w:hAnsi="Times New Roman" w:cs="Times New Roman"/>
        </w:rPr>
        <w:t>Food webs: Reconciling the structure and function of biodiversity. - Trends Ecol. Evol. 27: 689–697.</w:t>
      </w:r>
    </w:p>
    <w:p w14:paraId="4D74D9B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Trochet, A. et al. 2014. A database of life-history traits of European amphibians. - Biodivers. Data J. in press.</w:t>
      </w:r>
    </w:p>
    <w:p w14:paraId="16D25486"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Turner, T. F. et al. 2010. Reproductive phenology and fish community structure in an arid-land river system. - Am. Fish. Soc. Symp. 73: 427–446.</w:t>
      </w:r>
    </w:p>
    <w:p w14:paraId="1E014DE2"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Usseglio-Polatera, P. et al. 2000. Biological and ecological traits of benthic freshwater macroinvertebrates: Relationships and definition of groups with similar traits. - Freshw. Biol. 43: 175–205.</w:t>
      </w:r>
    </w:p>
    <w:p w14:paraId="3315893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Valdez, R. A. et al. 2019. Managed spring runoff to improve nursery floodplain habitat for endangered Rio Grande silvery minnow. - Ecohydrology 12: e2134.</w:t>
      </w:r>
    </w:p>
    <w:p w14:paraId="5C3E63C4"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lang w:val="fr-FR"/>
        </w:rPr>
        <w:t xml:space="preserve">Vieira, B. N. K. M. et al. 2006. </w:t>
      </w:r>
      <w:r w:rsidRPr="00834D4D">
        <w:rPr>
          <w:rFonts w:ascii="Times New Roman" w:hAnsi="Times New Roman" w:cs="Times New Roman"/>
        </w:rPr>
        <w:t>A Database of Lotic Invertebrate Traits for North America. - Director: 19.</w:t>
      </w:r>
    </w:p>
    <w:p w14:paraId="60862D0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Villalobos-Jiménez, G. and Hassall, C. 2017. Effects of the urban heat island on the phenology of Odonata in London, UK. - Int. J. Biometeorol. 61: 1337–1346.</w:t>
      </w:r>
    </w:p>
    <w:p w14:paraId="167AECD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Visser, M. E. and Both, C. 2005. Shifts in phenology due to global climate change: The need for a yardstick. - Proc. R. Soc. B Biol. Sci. 272: 2561–2569.</w:t>
      </w:r>
    </w:p>
    <w:p w14:paraId="04DCD8E3"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Vitasse, Y. et al. 2018. Global warming leads to more uniform spring phenology across elevations. - Proc. Natl. Acad. Sci. U. S. A. 115: 1004–1008.</w:t>
      </w:r>
    </w:p>
    <w:p w14:paraId="27793BB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Wagner, A. and Benndorf, J. 2007. Climate-driven warming during spring destabilises a Daphnia population: A mechanistic food web approach. - Oecologia 151: 351–364.</w:t>
      </w:r>
    </w:p>
    <w:p w14:paraId="70F44DEA"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Wagner, A. et al. 2013. Food-web-mediated effects of climate warming: Consequences for the seasonal Daphnia dynamics. - Freshw. Biol. 58: 573–587.</w:t>
      </w:r>
    </w:p>
    <w:p w14:paraId="675E0EEE"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Walters, A. W. et al. 2013. Species- and community-level responses combine to drive phenology of lake phytoplankton. - Ecology 94: 2188–2194.</w:t>
      </w:r>
    </w:p>
    <w:p w14:paraId="1E6FA34B"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Walther, G. R. 2010. Community and ecosystem responses to recent climate change. - Philos. Trans. R. Soc. B Biol. Sci. 365: 2019–2024.</w:t>
      </w:r>
    </w:p>
    <w:p w14:paraId="3BD83E20"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Watanabe, R. et al. 2020. Life history of the endangered Japanese aquatic beetle Helophorus auriculatus (Coleoptera: Helophoridae) and implications for its conservation. - J. Insect Conserv. 24: 603–611.</w:t>
      </w:r>
    </w:p>
    <w:p w14:paraId="71D42F35"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Winder, M. and Sommer, U. 2012. Phytoplankton response to a changing climate. - Hydrobiologia 698: 5–16.</w:t>
      </w:r>
    </w:p>
    <w:p w14:paraId="7423FF6F"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Winder, M. et al. 2009. Disrupted seasonal clockwork in the population dynamics of a freshwater copepod by climate warming. - Limnol. Oceanogr. 54: 2493–2505.</w:t>
      </w:r>
    </w:p>
    <w:p w14:paraId="240B36D8" w14:textId="77777777" w:rsidR="00834D4D" w:rsidRPr="00834D4D" w:rsidRDefault="00834D4D" w:rsidP="002F6B13">
      <w:pPr>
        <w:ind w:left="360" w:hanging="360"/>
        <w:jc w:val="both"/>
        <w:rPr>
          <w:rFonts w:ascii="Times New Roman" w:hAnsi="Times New Roman" w:cs="Times New Roman"/>
        </w:rPr>
      </w:pPr>
      <w:r w:rsidRPr="00834D4D">
        <w:rPr>
          <w:rFonts w:ascii="Times New Roman" w:hAnsi="Times New Roman" w:cs="Times New Roman"/>
        </w:rPr>
        <w:t>Wojtal-Frankiewicz, A. 2012. The effects of global warming on Daphnia spp. population dynamics: A review. - Aquat. Ecol. 46: 37–53.</w:t>
      </w:r>
    </w:p>
    <w:p w14:paraId="17DE38AF" w14:textId="62D51162" w:rsidR="00975E37" w:rsidRPr="00DF7C87" w:rsidRDefault="00834D4D" w:rsidP="002F6B13">
      <w:pPr>
        <w:ind w:left="360" w:hanging="360"/>
        <w:jc w:val="both"/>
        <w:rPr>
          <w:rFonts w:ascii="Times New Roman" w:hAnsi="Times New Roman" w:cs="Times New Roman"/>
        </w:rPr>
      </w:pPr>
      <w:r w:rsidRPr="00834D4D">
        <w:rPr>
          <w:rFonts w:ascii="Times New Roman" w:hAnsi="Times New Roman" w:cs="Times New Roman"/>
        </w:rPr>
        <w:t>Yang, L. H. and Rudolf, V. H. W. 2010. Phenology, ontogeny and the effects of climate change on the timing of species interactions. - Ecol. Lett. 13: 1–10.</w:t>
      </w:r>
    </w:p>
    <w:p w14:paraId="43314098" w14:textId="03E780E9" w:rsidR="00975E37" w:rsidRPr="00DF7C87" w:rsidRDefault="00975E37" w:rsidP="005E54E2">
      <w:pPr>
        <w:pStyle w:val="Heading2"/>
        <w:rPr>
          <w:rFonts w:ascii="Times New Roman" w:hAnsi="Times New Roman" w:cs="Times New Roman"/>
        </w:rPr>
      </w:pPr>
      <w:r w:rsidRPr="00DF7C87">
        <w:rPr>
          <w:rFonts w:ascii="Times New Roman" w:hAnsi="Times New Roman" w:cs="Times New Roman"/>
          <w:sz w:val="24"/>
          <w:szCs w:val="24"/>
        </w:rPr>
        <w:br w:type="page"/>
      </w:r>
      <w:bookmarkStart w:id="36" w:name="_Toc289175832"/>
      <w:bookmarkStart w:id="37" w:name="_Toc100607890"/>
      <w:r w:rsidRPr="00DF7C87">
        <w:rPr>
          <w:rFonts w:ascii="Times New Roman" w:hAnsi="Times New Roman" w:cs="Times New Roman"/>
        </w:rPr>
        <w:lastRenderedPageBreak/>
        <w:t>A</w:t>
      </w:r>
      <w:bookmarkEnd w:id="36"/>
      <w:r w:rsidR="00DF6E72">
        <w:rPr>
          <w:rFonts w:ascii="Times New Roman" w:hAnsi="Times New Roman" w:cs="Times New Roman"/>
        </w:rPr>
        <w:t>ppendix</w:t>
      </w:r>
      <w:bookmarkEnd w:id="37"/>
    </w:p>
    <w:p w14:paraId="73841864" w14:textId="0C10881B" w:rsidR="006D727C" w:rsidRPr="00F96FE7" w:rsidRDefault="006D727C" w:rsidP="00FC2275">
      <w:pPr>
        <w:ind w:left="360" w:hanging="360"/>
        <w:jc w:val="both"/>
        <w:rPr>
          <w:rFonts w:ascii="Times New Roman" w:hAnsi="Times New Roman" w:cs="Times New Roman"/>
          <w:b/>
          <w:bCs/>
        </w:rPr>
      </w:pPr>
      <w:r w:rsidRPr="00F96FE7">
        <w:rPr>
          <w:rFonts w:ascii="Times New Roman" w:hAnsi="Times New Roman" w:cs="Times New Roman"/>
          <w:b/>
          <w:bCs/>
        </w:rPr>
        <w:t>List</w:t>
      </w:r>
      <w:r w:rsidR="00F96FE7" w:rsidRPr="00F96FE7">
        <w:rPr>
          <w:rFonts w:ascii="Times New Roman" w:hAnsi="Times New Roman" w:cs="Times New Roman"/>
          <w:b/>
          <w:bCs/>
        </w:rPr>
        <w:t xml:space="preserve"> A1. List</w:t>
      </w:r>
      <w:r w:rsidRPr="00F96FE7">
        <w:rPr>
          <w:rFonts w:ascii="Times New Roman" w:hAnsi="Times New Roman" w:cs="Times New Roman"/>
          <w:b/>
          <w:bCs/>
        </w:rPr>
        <w:t xml:space="preserve"> of studies included in our literature review.</w:t>
      </w:r>
    </w:p>
    <w:p w14:paraId="3A3CCD16" w14:textId="77777777" w:rsidR="006D727C" w:rsidRPr="006D727C" w:rsidRDefault="006D727C" w:rsidP="00FC2275">
      <w:pPr>
        <w:ind w:left="360" w:hanging="360"/>
        <w:jc w:val="both"/>
        <w:rPr>
          <w:rFonts w:ascii="Times New Roman" w:hAnsi="Times New Roman" w:cs="Times New Roman"/>
        </w:rPr>
      </w:pPr>
    </w:p>
    <w:p w14:paraId="19A7A925" w14:textId="6218FBE3" w:rsidR="00EC1E58" w:rsidRPr="005D67DB" w:rsidRDefault="00EC1E58" w:rsidP="00FC2275">
      <w:pPr>
        <w:ind w:left="360" w:hanging="360"/>
        <w:jc w:val="both"/>
        <w:rPr>
          <w:rFonts w:ascii="Times New Roman" w:hAnsi="Times New Roman" w:cs="Times New Roman"/>
        </w:rPr>
      </w:pPr>
      <w:r w:rsidRPr="004C401A">
        <w:rPr>
          <w:rFonts w:ascii="Times New Roman" w:hAnsi="Times New Roman" w:cs="Times New Roman"/>
        </w:rPr>
        <w:t xml:space="preserve">Adrian, R. et al. 1999. </w:t>
      </w:r>
      <w:r w:rsidRPr="005D67DB">
        <w:rPr>
          <w:rFonts w:ascii="Times New Roman" w:hAnsi="Times New Roman" w:cs="Times New Roman"/>
        </w:rPr>
        <w:t>Effects of ice duration on plankton succession during spring in a shallow polymictic lake. - Freshw. Biol. 41: 621–634.</w:t>
      </w:r>
    </w:p>
    <w:p w14:paraId="5010BA1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Adrian, R. et al. 2006. Life-history traits of lake plankton species may govern their phenological response to climate warming. - Glob. Chang. Biol. 12: 652–661.</w:t>
      </w:r>
    </w:p>
    <w:p w14:paraId="2CC019C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Agüero-Pelegrin, M. et al. 1999. The life cycle of Lestes viridis (Odonata: Lestidae) in two seasonal streams of the Sierra Morena Mountains (Southern Spain). - Aquat. Insects 21: 187–196.</w:t>
      </w:r>
    </w:p>
    <w:p w14:paraId="60A92F05" w14:textId="7189FD8F"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Ainslie, N. 2016. Phenology and gene expression of Paralemanea catenata (Lemaneaceae, Rhodophyta) in a Southern California stream.</w:t>
      </w:r>
    </w:p>
    <w:p w14:paraId="557DC33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Alexandrou, O. et al. 2016. Breeding density, spacing of nest-sites and breeding performance of black storks Ciconia nigra in Dadia-Lefkimi-Soufli Forest National Park, north-eastern Greece. - North. West. J. Zool. 12: 7–13.</w:t>
      </w:r>
    </w:p>
    <w:p w14:paraId="54B6B3C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Amari, H. et al. 2019. Differential elevational cline in the phenology and demography of two temporally isolated populations of a damselfly: Not two but one taxon? - Ecol. Entomol. 44: 93–104.</w:t>
      </w:r>
    </w:p>
    <w:p w14:paraId="001BA5E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Amoros, C. and Bornette, G. 1999. Antagonistic and cumulative effects of connectivity: a predictive model based on aquatic vegetation in riverine wetlands. - Large Rivers 11: 311–327.</w:t>
      </w:r>
    </w:p>
    <w:p w14:paraId="3FB727E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Anderson, H. E. et al. 2019. </w:t>
      </w:r>
      <w:r w:rsidRPr="005D67DB">
        <w:rPr>
          <w:rFonts w:ascii="Times New Roman" w:hAnsi="Times New Roman" w:cs="Times New Roman"/>
        </w:rPr>
        <w:t>Water temperature drives variability in salmonfly abundance, emergence timing, and body size. - River Res. Appl. 35: 1013–1022.</w:t>
      </w:r>
    </w:p>
    <w:p w14:paraId="708315EC"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Anderson, H. E. et al. 2019. </w:t>
      </w:r>
      <w:r w:rsidRPr="005D67DB">
        <w:rPr>
          <w:rFonts w:ascii="Times New Roman" w:hAnsi="Times New Roman" w:cs="Times New Roman"/>
        </w:rPr>
        <w:t>Thermal variability drives synchronicity of an aquatic insect resource pulse. – Ecosphere 10: e02852.</w:t>
      </w:r>
    </w:p>
    <w:p w14:paraId="6FECE5C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Anderson, T. L. et al. 2015. </w:t>
      </w:r>
      <w:r w:rsidRPr="005D67DB">
        <w:rPr>
          <w:rFonts w:ascii="Times New Roman" w:hAnsi="Times New Roman" w:cs="Times New Roman"/>
        </w:rPr>
        <w:t>Abundance and phenology patterns of two pond-breeding salamanders determine species interactions in natural populations. - Oecologia 177: 761–773.</w:t>
      </w:r>
    </w:p>
    <w:p w14:paraId="6E373A63" w14:textId="77777777" w:rsidR="00EC1E58" w:rsidRPr="005D67DB" w:rsidRDefault="00EC1E58" w:rsidP="00FC2275">
      <w:pPr>
        <w:ind w:left="360" w:hanging="360"/>
        <w:jc w:val="both"/>
        <w:rPr>
          <w:rFonts w:ascii="Times New Roman" w:hAnsi="Times New Roman" w:cs="Times New Roman"/>
          <w:lang w:val="fr-FR"/>
        </w:rPr>
      </w:pPr>
      <w:r w:rsidRPr="005D67DB">
        <w:rPr>
          <w:rFonts w:ascii="Times New Roman" w:hAnsi="Times New Roman" w:cs="Times New Roman"/>
          <w:lang w:val="fr-FR"/>
        </w:rPr>
        <w:t>Annani, F. et al. 2012. Aquatic hemiptera of northeastern Algeria: Distribution phenology and conservation. - Rev. d’Ecologie (La Terre la Vie) 67: 423–435.</w:t>
      </w:r>
    </w:p>
    <w:p w14:paraId="57C7CBF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Anneville, O. et al. 2007. </w:t>
      </w:r>
      <w:r w:rsidRPr="005D67DB">
        <w:rPr>
          <w:rFonts w:ascii="Times New Roman" w:hAnsi="Times New Roman" w:cs="Times New Roman"/>
        </w:rPr>
        <w:t>Long-term changes in the copepod community of Lake Geneva. - J. Plankton Res. 29: 49–59.</w:t>
      </w:r>
    </w:p>
    <w:p w14:paraId="26E9BBF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Archdeacon, T. P. et al. 2020. </w:t>
      </w:r>
      <w:r w:rsidRPr="005D67DB">
        <w:rPr>
          <w:rFonts w:ascii="Times New Roman" w:hAnsi="Times New Roman" w:cs="Times New Roman"/>
        </w:rPr>
        <w:t>Drought results in recruitment failure of Rio Grande silvery minnow (Hybognathus amarus), an imperiled, pelagic broadcast-spawning minnow. - Environ. Biol. Fishes 103: 1033–1044.</w:t>
      </w:r>
    </w:p>
    <w:p w14:paraId="6FDDEE9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Aresco, M. J. 2004. Reproductive ecology of Pseudemys floridana and Trachemys scripta (Testudines: Emydidae) in northwestern Florida. - J. Herpetol. 38: 249–256.</w:t>
      </w:r>
    </w:p>
    <w:p w14:paraId="3017FA1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Arntzen, J. W. 2002. Seasonal variation in sex ratio and asynchronous presence at ponds of male and female Triturus newts. - J. Herpetol. 36: 30–35.</w:t>
      </w:r>
    </w:p>
    <w:p w14:paraId="22E2245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Atsumi, K. and Koizumi, I. 2017. Web image search revealed large-scale variations in breeding season and nuptial coloration in a mutually ornamented fish, Tribolodon hakonensis. - Ecol. Res. 32: 567–578.</w:t>
      </w:r>
    </w:p>
    <w:p w14:paraId="5898EB3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Augst, H. et al. 2019. From stopover to wintering: Bewick’s Swans Cygnus columbianus bewickii in Schleswig-Holstein, northern Germany in winters 2016/2017 and 2017/2018. - Wildfowl: 139–163.</w:t>
      </w:r>
    </w:p>
    <w:p w14:paraId="7D85172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Austin, C. S. et al. 2019. </w:t>
      </w:r>
      <w:r w:rsidRPr="005D67DB">
        <w:rPr>
          <w:rFonts w:ascii="Times New Roman" w:hAnsi="Times New Roman" w:cs="Times New Roman"/>
        </w:rPr>
        <w:t>Spawning and emergence phenology of bull trout Salvelinus confluentus under differing thermal regimes. - J. Fish Biol. 94: 191–195.</w:t>
      </w:r>
    </w:p>
    <w:p w14:paraId="75D6933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Ayllón, D. et al. 2019. Mechanistic simulations predict that thermal and hydrological effects of climate change on Mediterranean trout cannot be offset by adaptive behaviour, evolution, and increased food production. - Sci. Total Environ. 693: 133648.</w:t>
      </w:r>
    </w:p>
    <w:p w14:paraId="43DA0FE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Babcock, C. A. et al. 2002. Nesting Ecology of Tundra Swans on the Coastal Yukon-Kuskokwim Delta, Alaska. - Waterbirds Int. J. Waterbird Biol. 25: 236–240.</w:t>
      </w:r>
    </w:p>
    <w:p w14:paraId="1FA1CF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Baker, P. J. et al. 2013. Seasonality and interspecific and intraspecific asynchrony in emergence from the nest by hatchling freshwater turtles. - Can. J. Zool. 91: 451–461.</w:t>
      </w:r>
    </w:p>
    <w:p w14:paraId="1D9FDB7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Baker, P. J. et al. 2010. Winter severity and phenology of spring emergence from the nest in freshwater turtles. - Naturwissenschaften 97: 607–615.</w:t>
      </w:r>
    </w:p>
    <w:p w14:paraId="18B2838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Bal, G. et al. 2017. Evidence for long-term change in length, mass and migration phenology of anadromous spawners in French Atlantic salmon Salmo salar. - J. Fish Biol. 90: 2375–2393.</w:t>
      </w:r>
    </w:p>
    <w:p w14:paraId="136B8C3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Baranov, V. et al. 2020. Complex and nonlinear climate-driven changes in freshwater insect communities over 42 years. - Conserv. Biol. 34: 1241–1251.</w:t>
      </w:r>
    </w:p>
    <w:p w14:paraId="1FEF9F4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Bayer, T. K. et al. 2016. Contrasting controls on phytoplankton dynamics in two large, pre-alpine lakes imply differential responses to climate change. - Hydrobiologia 771: 131–150.</w:t>
      </w:r>
    </w:p>
    <w:p w14:paraId="46BD691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Beckett, D. C. 1982. Phenology of Hydropsyche orris (Trichoptera: Hydropsychidae) in the Ohio River: Changes in Larval Age Structure and Substrate Colonization Rates. - Environ. Entomol. 11: 1154–1158.</w:t>
      </w:r>
    </w:p>
    <w:p w14:paraId="6B746C9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Beer, W. N. and Steel, E. A. 2018. Impacts and Implications of Temperature Variability on Chinook Salmon Egg Development and Emergence Phenology. - Trans. Am. Fish. Soc. 147: 3–15.</w:t>
      </w:r>
    </w:p>
    <w:p w14:paraId="6C76DEA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Bell, D. A. et al. 2017. Climate-induced trends in predator-prey synchrony differ across life-history stages of an anadromous salmonid. - Can. J. Fish. Aquat. Sci. 74: 1431–1438.</w:t>
      </w:r>
    </w:p>
    <w:p w14:paraId="2747B76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Birnie-Gauvin, K. et al. 2018. Testing three common stocking methods: Differences in smolt size, migration rate and timing of two strains of stocked Atlantic salmon (Salmo salar). - Aquaculture 483: 163–168.</w:t>
      </w:r>
    </w:p>
    <w:p w14:paraId="0553E06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Blenckner, T. et al. 2007. Large-scale climatic signatures in lakes across Europe: A meta-analysis. - Glob. Chang. Biol. 13: 1314–1326.</w:t>
      </w:r>
    </w:p>
    <w:p w14:paraId="7DD5B90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Blenckner, T. and Chen, D. 2003. Comparison of the impact of regional and North Atlantic atmospheric circulation on an aquatic ecosystem. - Clim. Res. 23: 131–136.</w:t>
      </w:r>
    </w:p>
    <w:p w14:paraId="0B27E59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Blinn, D. W. and Ruiter, D. E. 2009. Phenology and distribution of caddisflies (trichoptera) in oak creek, a high-desert perennial stream in arizona. - Southwest. Nat. 54: 182–194.</w:t>
      </w:r>
    </w:p>
    <w:p w14:paraId="149F6D3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 T. et al. 2009. Phenology of adult stoneflies (plecoptera) of the curone stream (northern apennines, Italy). - J. Freshw. Ecol. 24: 279–283.</w:t>
      </w:r>
    </w:p>
    <w:p w14:paraId="432D493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Boerger, H. 1981. Species composition, abundance and emergence phenology of midges (Deiptera: Chironomidae) in a brown-water stream of West-Central Alberta, Canada. - Hydrobiologia 80: 7–30.</w:t>
      </w:r>
    </w:p>
    <w:p w14:paraId="3B5DCCD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Bogner, D. M. et al. 2016. </w:t>
      </w:r>
      <w:r w:rsidRPr="005D67DB">
        <w:rPr>
          <w:rFonts w:ascii="Times New Roman" w:hAnsi="Times New Roman" w:cs="Times New Roman"/>
        </w:rPr>
        <w:t>Consequences of hatch phenology on stages of fish recruitment. - PLoS One 11: 1–16.</w:t>
      </w:r>
    </w:p>
    <w:p w14:paraId="18875CF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Boissezon, A. et al. 2018. Temporal and spatial changes in population structure of the freshwater macroalga Nitellopsis obtusa (Desv.) J.Groves. - Bot. Lett. 165: 103–114.</w:t>
      </w:r>
    </w:p>
    <w:p w14:paraId="1C06774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Bondarev, D. L. et al. 2019. The impact of temporal patterns of temperature and precipitation on silver Prussian carp (Carassius gibelio) spawning events. - Biosyst. Divers. 27: 106–117.</w:t>
      </w:r>
    </w:p>
    <w:p w14:paraId="3F1AA8D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Boone, M. D. et al. 2002. Effects of hatching time for larval ambystomatid salamanders. - Copeia 2002: 511–517.</w:t>
      </w:r>
    </w:p>
    <w:p w14:paraId="7CCB6BC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Bosi, G. 2001. Abundance, diversity and seasonal succession of dytiscid and noterid beetles (Coleoptera: Adephaga) in two marshes of the Eastern Po Plain (Italy). - Hydrobiologia 459: 1–7.</w:t>
      </w:r>
    </w:p>
    <w:p w14:paraId="22F3D72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Bottorff, R. L. and Bottorff, L. D. 2007. Phenology and diversity of adult stoneflies (Plecoptera) of a small coastal stream, California. - Illiesia 3: 1–9.</w:t>
      </w:r>
    </w:p>
    <w:p w14:paraId="7F914C2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Boven, L. and Brendonck, L. 2009. Impact of hydroperiod on seasonal dynamics in temporary pool cladoceran communities. - Fundam. Appl. Limnol. 174: 147–157.</w:t>
      </w:r>
    </w:p>
    <w:p w14:paraId="042275D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Brand, C. and Miserendino, M. L. 2012. Life cycle phenology, secondary production, and trophic guilds of caddisfly species in a lake-outlet stream of Patagonia. - Limnologica 42: 108–117.</w:t>
      </w:r>
    </w:p>
    <w:p w14:paraId="390F89A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Brodersen, J. et al. 2011. Interplay between temperature, fish partial migration and trophic dynamics. - Oikos 120: 1838–1846.</w:t>
      </w:r>
    </w:p>
    <w:p w14:paraId="2420AFA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Caetano, M. H. and Leclair, R. 1999. Comparative phenology and demography of Triturus boscai from Portugal. - J. Herpetol. 33: 192–202.</w:t>
      </w:r>
    </w:p>
    <w:p w14:paraId="14FE4C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Callil, C. T. et al. 2018. Influence of the flood pulse on reproduction and growth of Anodontites trapesialis (Lamarck, 1819) (Bivalvia: Mycetopodidae) in the Pantanal wetland, Brazil. - Hydrobiologia 810: 433–448.</w:t>
      </w:r>
    </w:p>
    <w:p w14:paraId="7AC7512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Campbell, E. Y. et al. 2019. </w:t>
      </w:r>
      <w:r w:rsidRPr="005D67DB">
        <w:rPr>
          <w:rFonts w:ascii="Times New Roman" w:hAnsi="Times New Roman" w:cs="Times New Roman"/>
        </w:rPr>
        <w:t>Phenology of hatching, emergence, and end-of-season body size in young-of-year coho salmon in thermally contrasting streams draining the Copper River Delta, Alaska. - Can. J. Fish. Aquat. Sci. 76: 185–191.</w:t>
      </w:r>
    </w:p>
    <w:p w14:paraId="4B82528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Carey, C. C. et al. 2015. Using wavelet analyses to examine variability in phytoplankton seasonal succession and annual periodicity. - J. Plankton Res. 38: 27–40.</w:t>
      </w:r>
    </w:p>
    <w:p w14:paraId="61A44EB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Carmona, J. et al. 2009. Phenology of Sirodotia suecica (Batrachospermaceae, Rhodophyta) in a high-altitude stream in central Mexico. - Phycol. Res. 57: 118–126.</w:t>
      </w:r>
    </w:p>
    <w:p w14:paraId="776CCE9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Carmona, J. et al. 2009. Phenology of Sirodotia suecica (Batrachospermaceae, Rhodophyta) in a high-altitude stream in central Mexico. - Phycol. Res. 57: 118–126.</w:t>
      </w:r>
    </w:p>
    <w:p w14:paraId="243E90A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Carter, J. L. and Schindler, D. E. 2012. Responses of Zooplankton Populations to Four Decades of Climate Warming in Lakes of Southwestern Alaska. - Ecosystems 15: 1010–1026.</w:t>
      </w:r>
    </w:p>
    <w:p w14:paraId="0F415FF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Casamatta, D. A. and Vis, M. L. 2003. Ecological role of phormidium retzii (cyanobacteria) in a small ohio woodland stream. - J. Freshw. Ecol. 18: 395–404.</w:t>
      </w:r>
    </w:p>
    <w:p w14:paraId="5A0B712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Castro-Rebolledo, M. I. and Donato-Rondon, J. C. 2015. Emergence patterns in tropical insects: The role of water discharge frequency in an Andean Stream. - Ann. Limnol. 51: 147–155.</w:t>
      </w:r>
    </w:p>
    <w:p w14:paraId="03FFD62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Catalano, M. J. and Bozek, M. A. 2015. Influence of environmental variables on catostomid spawning phenology in a warmwater river. - Am. Midl. Nat. 173: 1–16.</w:t>
      </w:r>
    </w:p>
    <w:p w14:paraId="08C69359" w14:textId="77777777" w:rsidR="00EC1E58" w:rsidRPr="005D67DB" w:rsidRDefault="00EC1E58" w:rsidP="00FC2275">
      <w:pPr>
        <w:ind w:left="360" w:hanging="360"/>
        <w:jc w:val="both"/>
        <w:rPr>
          <w:rFonts w:ascii="Times New Roman" w:hAnsi="Times New Roman" w:cs="Times New Roman"/>
        </w:rPr>
      </w:pPr>
      <w:r w:rsidRPr="0069153B">
        <w:rPr>
          <w:rFonts w:ascii="Times New Roman" w:hAnsi="Times New Roman" w:cs="Times New Roman"/>
        </w:rPr>
        <w:t xml:space="preserve">Cavallaro, M. C. et al. 2018. </w:t>
      </w:r>
      <w:r w:rsidRPr="005D67DB">
        <w:rPr>
          <w:rFonts w:ascii="Times New Roman" w:hAnsi="Times New Roman" w:cs="Times New Roman"/>
        </w:rPr>
        <w:t>Community-level and phenological responses of emerging aquatic insects exposed to 3 neonicotinoid insecticides: An in situ wetland limnocorral approach. - Environ. Toxicol. Chem. 37: 2401–2412.</w:t>
      </w:r>
    </w:p>
    <w:p w14:paraId="450F6B4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Cayrou, J. and Céréghino, R. 2005. Life-cycle phenology of some aquatic insects: Implications for pond conservation. - Aquat. Conserv. Mar. Freshw. Ecosyst. 15: 559–571.</w:t>
      </w:r>
    </w:p>
    <w:p w14:paraId="7B92D07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Center, T. D. and Spencer, N. R. 1981. The phenology and growth of water hyacinth (Eichhornia crassipes (Mart.) Solms) in a eutrophic north-central Florida lake. - Aquat. Bot. 10: 1–32.</w:t>
      </w:r>
    </w:p>
    <w:p w14:paraId="4A53567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Chen, C. Y. and Folt, C. L. 1996. Consequences of fall warming for zooplankton overwintering success. - Limnol. Oceanogr. 41: 1077–1086.</w:t>
      </w:r>
    </w:p>
    <w:p w14:paraId="7A29F8B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Chen, T. C. et al. 2001. Thermal physiology and reproductive phenology of Buergeria japonica (rhacophoridae) breeding in a stream and a geothermal hotspring in Taiwan. - Zoolog. Sci. 18: 591–596.</w:t>
      </w:r>
    </w:p>
    <w:p w14:paraId="37374F4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Cheney, K. N. et al. 2019. Effects of Stream Temperature and Substrate Type on Emergence Patterns of Plecoptera and Trichoptera from Northeastern United States Headwater Streams. - Environ. Entomol. 48: 1349–1359.</w:t>
      </w:r>
    </w:p>
    <w:p w14:paraId="5FE87B9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Chess, D. W. and Stanford, J. A. 1998. Comparative energetics and life cycle of the opossum shrimp (Mysis relicta) in native and non-native environments. - Freshw. Biol. 40: 783–794.</w:t>
      </w:r>
    </w:p>
    <w:p w14:paraId="74DAC0F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Chessman, B. C. 2011. Declines of freshwater turtles associated with climatic drying in Australia’s Murray-Darling Basin. - Wildl. Res. 38: 664–671.</w:t>
      </w:r>
    </w:p>
    <w:p w14:paraId="0729FE3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Chou, R. Y. M. et al. 1999. Composition and phenology of Chironomidae (Diptera) from an intermittent stream in Kansas. - Arch. fur Hydrobiol. 147: 35–64.</w:t>
      </w:r>
    </w:p>
    <w:p w14:paraId="710AD4F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Clifford, H. F. 1978. Descriptive phenology and seasonality of a Canadian brown-water stream. - Hydrobiologia 58: 213–231.</w:t>
      </w:r>
    </w:p>
    <w:p w14:paraId="4798855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Cline, T. J. et al. 2014. </w:t>
      </w:r>
      <w:r w:rsidRPr="005D67DB">
        <w:rPr>
          <w:rFonts w:ascii="Times New Roman" w:hAnsi="Times New Roman" w:cs="Times New Roman"/>
        </w:rPr>
        <w:t>Climate impacts on landlocked sea lamprey: Implications for host-parasite interactions and invasive species management. - Ecosphere 5: 1–13.</w:t>
      </w:r>
    </w:p>
    <w:p w14:paraId="413FEEE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Čmrlec, K. et al. 2013. Emergence phenology and microhabitat distribution of aquatic diptera community at the outlets of barrage lakes: Effect of temperature, substrate and current velocity. - Polish J. Ecol. 61: 135–144.</w:t>
      </w:r>
    </w:p>
    <w:p w14:paraId="4CBD431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Cochran, P. A. et al. 2012. </w:t>
      </w:r>
      <w:r w:rsidRPr="005D67DB">
        <w:rPr>
          <w:rFonts w:ascii="Times New Roman" w:hAnsi="Times New Roman" w:cs="Times New Roman"/>
        </w:rPr>
        <w:t>Early spawning by the American Brook Lamprey (Lethenteron appendix) in southeastern Minnesota. - Can. Field-Naturalist 126: 204–209.</w:t>
      </w:r>
    </w:p>
    <w:p w14:paraId="13C409D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Coffman, W. P. W. P. 1973. Energy flow in a woodland stream ecosystem: II. The taxonomic composition and phenology of the Chironomidae as determined by the collection of pupal exuviae. - Arch. Hydrobiol. 71: 281–322.</w:t>
      </w:r>
    </w:p>
    <w:p w14:paraId="62BA95A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 xml:space="preserve">Contador, T. and Kennedy, J. 2016. The life histories of Meridialaris chiloeensis (Demoulin, 1955) (Ephemeroptera: Leptophlebiidae) and Gigantodax rufescens </w:t>
      </w:r>
      <w:r w:rsidRPr="005D67DB">
        <w:rPr>
          <w:rFonts w:ascii="Times New Roman" w:hAnsi="Times New Roman" w:cs="Times New Roman"/>
        </w:rPr>
        <w:lastRenderedPageBreak/>
        <w:t>(Edwards, 1931) (Diptera: Simuliidae) on a Magellanic sub-Antarctic island (55°S). - Aquat. Insects 37: 145–158.</w:t>
      </w:r>
    </w:p>
    <w:p w14:paraId="2B0C475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Cook, D. G. and Jennings, M. R. 2007. Microhabitat use of the California red-legged frog and introduced bullfrog in a seasonal marsh. - Herpetologica 63: 430–440.</w:t>
      </w:r>
    </w:p>
    <w:p w14:paraId="1119B15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Courtney, G. W. 1991. Life History Patterns of Nearctic Mountain Midges (Diptera : Deuterophlebiidae). - J. North Am. Benthol. Soc. 10: 177–197.</w:t>
      </w:r>
    </w:p>
    <w:p w14:paraId="21B6380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Cover, M. R. et al. 2015. Life History, Burrowing Behavior, and Distribution of Neohermes filicornis (Megaloptera: Corydalidae), a Long-Lived Aquatic Insect in Intermittent Streams. - West. North Am. Nat. 75: 474–490.</w:t>
      </w:r>
    </w:p>
    <w:p w14:paraId="6690D01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Crozier, L. G. et al. 2011. Using time series analysis to characterize evolutionary and plastic responses to environmental change: A case study of a shift toward earlier migration date in sockeye salmon. - Am. Nat. 178: 755–773.</w:t>
      </w:r>
    </w:p>
    <w:p w14:paraId="5C8CEBB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de Senerpont Domis, L. N. et al. 2007. </w:t>
      </w:r>
      <w:r w:rsidRPr="005D67DB">
        <w:rPr>
          <w:rFonts w:ascii="Times New Roman" w:hAnsi="Times New Roman" w:cs="Times New Roman"/>
        </w:rPr>
        <w:t>Can overwintering versus diapausing strategy in Daphnia determine match-mismatch events in zooplankton-algae interactions? - Oecologia 150: 682–698.</w:t>
      </w:r>
    </w:p>
    <w:p w14:paraId="253C672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Deacy, W. W. et al. 2017. Phenological synchronization disrupts trophic interactions between Kodiak brown bears and salmon. - Proc. Natl. Acad. Sci. U. S. A. 114: 10432–10437.</w:t>
      </w:r>
    </w:p>
    <w:p w14:paraId="194E5DE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Deacy, W. W. et al. 2019. Variation in spawning phenology within salmon populations influences landscape-level patterns of brown bear activity. - Ecosphere 10: e02575.</w:t>
      </w:r>
    </w:p>
    <w:p w14:paraId="6E74F76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Deacy, W. et al. 2016. Kodiak brown bears surf the salmon red wave: Direct evidence from GPS collared individuals. - Ecology 97: 1091–1098.</w:t>
      </w:r>
    </w:p>
    <w:p w14:paraId="184402C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Debata, S. et al. 2019. Breeding ecology and causes of nest failure in the Indian Skimmer Rynchops albicollis. - Bird Study 66: 243–250.</w:t>
      </w:r>
    </w:p>
    <w:p w14:paraId="042AAC5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Demirsoy, A. et al. 2001. Phenology of the medicinal leech, Hirudo medicinalis L., in north-western Turkey. - Hydrobiologia 462: 19–24.</w:t>
      </w:r>
    </w:p>
    <w:p w14:paraId="742138C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Dempson, B. et al. 2017. Influence of climate and abundance on migration timing of adult Atlantic salmon (Salmo salar) among rivers in Newfoundland and Labrador. - Ecol. Freshw. Fish 26: 247–259.</w:t>
      </w:r>
    </w:p>
    <w:p w14:paraId="398B06B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Denis, A. S. et al. 2018. Intraspecific variability of the phenology and morphology of three protected dragonflies between natural and artificial habitats. - J. Insect Conserv. 22: 419–431.</w:t>
      </w:r>
    </w:p>
    <w:p w14:paraId="258DD37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Dessborn, L. et al. 2009. Hatching in dabbling ducks and emergence in chironomids: A case of predator–prey synchrony? - Hydrobiologia 636: 319–329.</w:t>
      </w:r>
    </w:p>
    <w:p w14:paraId="4CF6DB3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Dexter, E. et al. 2015. Persistent vs. ephemeral invasions: 8.5 years of zooplankton community dynamics in the Columbia River. - Limnol. Oceanogr. 60: 527–539.</w:t>
      </w:r>
    </w:p>
    <w:p w14:paraId="3544BC6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Di Nino, F. et al. 2007. Phenology and phenotypic variation of genetically uniform populations of Elodea nuttallii (Planch.) H. St John at sites of different trophic states. - Fundam. Appl. Limnol. 168: 335–343.</w:t>
      </w:r>
    </w:p>
    <w:p w14:paraId="28FC72B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Dieterich, M. et al. 1997. Shredder-collector interactions in temporary streams. - Freshw. Biol. 38: 387–393.</w:t>
      </w:r>
    </w:p>
    <w:p w14:paraId="77C9B24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Dingemanse, N. J. and Kalkman, V. J. 2008. Changing temperature regimes have advanced the phenology of Odonata in the Netherlands. - Ecol. Entomol. 33: 394–402.</w:t>
      </w:r>
    </w:p>
    <w:p w14:paraId="0FC8C81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Diovisalvi, N. et al. 2018. Species-specific phenological trends in shallow Pampean lakes’ (Argentina) zooplankton driven by contemporary climate change in the Southern Hemisphere. - Glob. Chang. Biol. 24: 5137–5148.</w:t>
      </w:r>
    </w:p>
    <w:p w14:paraId="24B1486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Diovisalvi, N. et al. 2015. Rotifer dynamics in three shallow lakes from the Salado river watershed (Argentina): The potential modulating role of incident solar radiation. - Photochem. Photobiol. Sci. 14: 2007–2013.</w:t>
      </w:r>
    </w:p>
    <w:p w14:paraId="4033E27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Dobrin, M. and Giberson, D. J. 2003. Life history and production of mayflies, stoneflies, and caddisflies (Ephemeroptera, Plecoptera, and Trichoptera) in a spring-fed stream in Prince Edward Island, Canada: Evidence for population asynchrony in spring habitats? - Can. J. Zool. 81: 1083–1095.</w:t>
      </w:r>
    </w:p>
    <w:p w14:paraId="21841F3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Domingos, C. et al. 2014. Warming, and the presence of a dominant shredder, drive variation in decomposer communities in a mountain stream. - Aquat. Sci. 77: 129–140.</w:t>
      </w:r>
    </w:p>
    <w:p w14:paraId="64AF347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Doody, J. S. et al. 2001. Embryonic aestivation and emergence behaviour in the pig-nosed turtle, Carettochelys insculpta. - Can. J. Zool. 79: 1062–1072.</w:t>
      </w:r>
    </w:p>
    <w:p w14:paraId="307D644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Duan, H. et al. 2014. Are algal blooms occurring later in Lake Taihu? Climate local effects outcompete mitigation prevention. - J. Plankton Res. 36: 866–871.</w:t>
      </w:r>
    </w:p>
    <w:p w14:paraId="557C822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Duffy, M. A. 2010. Ecological consequences of intraspecific variation in lake Daphnia. - Freshw. Biol. 55: 995–1004.</w:t>
      </w:r>
    </w:p>
    <w:p w14:paraId="24992EB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Eder, E. et al. 1997. Distribution and phenology of large branchiopods in Austria. - Hydrobiologia 359: 13–22.</w:t>
      </w:r>
    </w:p>
    <w:p w14:paraId="23A2E11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Elisio, M. et al. 2015. Influence of climate variations on Chascomús shallow lake thermal conditions and its consequences on the reproductive ecology of the Argentinian Silverside (Odontesthes bonariensis—Actinopterygii, Atherinopsidae). - Hydrobiologia 752: 155–166.</w:t>
      </w:r>
    </w:p>
    <w:p w14:paraId="3AA17CA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Elliott, J. A. et al. 2006. </w:t>
      </w:r>
      <w:r w:rsidRPr="005D67DB">
        <w:rPr>
          <w:rFonts w:ascii="Times New Roman" w:hAnsi="Times New Roman" w:cs="Times New Roman"/>
        </w:rPr>
        <w:t>Testing the sensitivity of phytoplankton communities to changes in water temperature and nutrient load, in a temperate lake. - Hydrobiologia 559: 401–411.</w:t>
      </w:r>
    </w:p>
    <w:p w14:paraId="6037077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Elliott, J. . 2012. Predicting the impact of changing nutrient load and temperature on the phytoplankton of England’s largest lake, Windermere. - Freshw. Biol. 57: 400–413.</w:t>
      </w:r>
    </w:p>
    <w:p w14:paraId="3A25B44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Engman, A. C. et al. 2017. Recruitment phenology and pelagic larval duration in Caribbean amphidromous fishes. - Freshw. Sci. 36: 851–865.</w:t>
      </w:r>
    </w:p>
    <w:p w14:paraId="5380BD3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Entwisle, T. J. 1989. Phenology of the cladophora-stigeoclonium community in two urban creeks of Melbourne. - Mar. Freshw. Res. 40: 471–489.</w:t>
      </w:r>
    </w:p>
    <w:p w14:paraId="0CE6AE4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Entwisle, T. J. 1990. Macroalgae in the upper yarra and watts river catchments: Distribution and phenology. - Mar. Freshw. Res. 41: 505–522.</w:t>
      </w:r>
    </w:p>
    <w:p w14:paraId="08B8E3D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Escoriza, D. and Hassine, J. 2014. Microclimatic variation in multiple Salamandra algira populations along an altitudinal gradient: phenology and reproductive strategies. - Acta Herpetol. 13: 33–41.</w:t>
      </w:r>
    </w:p>
    <w:p w14:paraId="38086C5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Everall, N. C. et al. 2015. Detecting phenology change in the mayfly Ephemera danica: Responses to spatial and temporal water temperature variations. - Ecol. Entomol. 40: 95–105.</w:t>
      </w:r>
    </w:p>
    <w:p w14:paraId="363228C4" w14:textId="77777777" w:rsidR="00EC1E58" w:rsidRPr="005D67DB" w:rsidRDefault="00EC1E58" w:rsidP="00FC2275">
      <w:pPr>
        <w:ind w:left="360" w:hanging="360"/>
        <w:jc w:val="both"/>
        <w:rPr>
          <w:rFonts w:ascii="Times New Roman" w:hAnsi="Times New Roman" w:cs="Times New Roman"/>
        </w:rPr>
      </w:pPr>
      <w:r w:rsidRPr="0069153B">
        <w:rPr>
          <w:rFonts w:ascii="Times New Roman" w:hAnsi="Times New Roman" w:cs="Times New Roman"/>
        </w:rPr>
        <w:t xml:space="preserve">Falke, J. A. et al. 2010. </w:t>
      </w:r>
      <w:r w:rsidRPr="005D67DB">
        <w:rPr>
          <w:rFonts w:ascii="Times New Roman" w:hAnsi="Times New Roman" w:cs="Times New Roman"/>
        </w:rPr>
        <w:t>Spawning phenology and habitat use in a great plains, USA, stream fish assemblage: An occupancy estimation approach. - Can. J. Fish. Aquat. Sci. 67: 1942–1956.</w:t>
      </w:r>
    </w:p>
    <w:p w14:paraId="3D52C02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Farkas, A. et al. 2012. Emergence patterns of riverine dragonflies (Odonata: Gomphidae) in Hungary: Variations between habitats and years. - Aquat. Insects 34: 77–89.</w:t>
      </w:r>
    </w:p>
    <w:p w14:paraId="2AA2163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Fernández-Aláez, C. et al. 1999. Influence of water level fluctuation on the structure and composition of the macrophyte vegetation in two small temporary lakes in the northwest of Spain. - In: Biology, Ecology and Management of Aquatic Plants. Springer, pp. 155–162.</w:t>
      </w:r>
    </w:p>
    <w:p w14:paraId="273B46D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Ferrington Jr., L. et al. 1993. Composition and Temporal Abundance of Chironomidae Emergence from a Tropical Rainforest Stream at El Verde, Puerto Rico. - J. Kansas Entomol. Soc. 66: 167–180.</w:t>
      </w:r>
    </w:p>
    <w:p w14:paraId="2818D66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Feuchtmayr, H. et al. 2010. Differential effects of warming and nutrient loading on the timing and size of the spring zooplankton peak: An experimental approach with hypertrophic freshwater mesocosms. - J. Plankton Res. 32: 1715–1725.</w:t>
      </w:r>
    </w:p>
    <w:p w14:paraId="5BE53D4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Feuchtmayr, H. et al. 2012. Spring phytoplankton phenology - are patterns and drivers of change consistent among lakes in the same climatological region? - Freshw. Biol. 57: 331–344.</w:t>
      </w:r>
    </w:p>
    <w:p w14:paraId="046B9D5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Filkin, N. R. and Vis, M. L. 2004. Phenology of Paralemanea annulata (Lemaneaceae, Rhodophyta) in an Ohio woodland stream. - Hydrobiologia 518: 159–168.</w:t>
      </w:r>
    </w:p>
    <w:p w14:paraId="2F7ED07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Flint, S. and Masteller, E. C. 2013. Emergence Composition and Phenology of Trichoptera from a Tropical Rainforest Stream at El Verde, Puerto Rico. - J. Kansas Entomol. Soc. 66: 140–150.</w:t>
      </w:r>
    </w:p>
    <w:p w14:paraId="2F104D3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Flitcroft, R. L. et al. 2016. Linking hydroclimate to fish phenology and habitat use with ichthyographs. - PLoS One 11: 1–12.</w:t>
      </w:r>
    </w:p>
    <w:p w14:paraId="1F6FAEC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Flitcroft, R. et al. 2019. Using expressed behaviour of coho salmon (Oncorhynchus kisutch) to evaluate the vulnerability of upriver migrants under future hydrological regimes: Management implications and conservation planning. - Aquat. Conserv. Mar. Freshw. Ecosyst. 29: 1083–1094.</w:t>
      </w:r>
    </w:p>
    <w:p w14:paraId="1A90895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Fong G., A. et al. 2010. Population Ecology of the Riparian Frog Eleutherodactylus cuneatus in Cuba. - Biotropica 42: 348–354.</w:t>
      </w:r>
    </w:p>
    <w:p w14:paraId="35F1BD4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Frances, D. N. et al. 2017. </w:t>
      </w:r>
      <w:r w:rsidRPr="005D67DB">
        <w:rPr>
          <w:rFonts w:ascii="Times New Roman" w:hAnsi="Times New Roman" w:cs="Times New Roman"/>
        </w:rPr>
        <w:t>Effects of environmental warming during early life history on libellulid odonates. - Can. J. Zool. 95: 373–382.</w:t>
      </w:r>
    </w:p>
    <w:p w14:paraId="15F70B2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Franssen, J. et al. 2013. Alternative tactics in spawning site selection by brook trout (Salvelinus fontinalis) related to incubation microhabitats in a harsh winter environment. - Freshw. Biol. 58: 142–158.</w:t>
      </w:r>
    </w:p>
    <w:p w14:paraId="4172F5F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Franzem, T. P. et al. 2019. Reproductive Phenology of Elliptio complanata in an Upper Susquehanna River Tributary of New York. - Northeast. Nat. 26: 119–128.</w:t>
      </w:r>
    </w:p>
    <w:p w14:paraId="7253AE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Frenken, T. et al. 2016. Warming accelerates termination of a phytoplankton spring bloom by fungal parasites. - Glob. Chang. Biol. 22: 299–309.</w:t>
      </w:r>
    </w:p>
    <w:p w14:paraId="0F4E925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Freshwater, C. et al. 2017. Effects of density during freshwater and early marine rearing on juvenile sockeye salmon size, growth, and migration. - Mar. Ecol. Prog. Ser. 579: 97–110.</w:t>
      </w:r>
    </w:p>
    <w:p w14:paraId="5451469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Fritz, C. et al. 2017. Seasonal variation in spectral response of submerged aquatic macrophytes: A case study at Lake Starnberg (Germany). - Water 9: 527.</w:t>
      </w:r>
    </w:p>
    <w:p w14:paraId="4D0EA63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Fujimoto, M. et al. 2014. Phenology, irradiance and temperature characteristics of a freshwater red alga, Nemalionopsis tortuosa (Thoreales), from Kagoshima, southern Japan. - Phycol. Res. 62: 77–85.</w:t>
      </w:r>
    </w:p>
    <w:p w14:paraId="460A5F4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Fullerton, A. H. et al. 2017. Simulated juvenile salmon growth and phenology respond to altered thermal regimes and stream network shape. - Ecosphere 8: e02052.</w:t>
      </w:r>
    </w:p>
    <w:p w14:paraId="16F5C01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Füreder, L. et al. 2005. Longitudinal and seasonal pattern of insect emergence in alpine streams. - Aquat. Ecol. 39: 67–78.</w:t>
      </w:r>
    </w:p>
    <w:p w14:paraId="6CD827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Fusilli, L. et al. 2012. Assessment of the abnormal growth of floating macrophytes in Winam Gulf (Kenya) by using MODIS imagery time series. - Int. J. Appl. Earth Obs. Geoinf. 20: 33–41.</w:t>
      </w:r>
    </w:p>
    <w:p w14:paraId="3B7E823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Gałka, A. and Szmeja, J. 2013. Phenology of the aquatic fern Salvinia natans (L.) All. in the Vistula Delta in the context of climate warming. - Limnologica 43: 100–105.</w:t>
      </w:r>
    </w:p>
    <w:p w14:paraId="7F56102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García, D. et al. 2018. Phenology of three coexisting annual fish species: seasonal patterns in hatching dates. - Hydrobiologia 809: 323–337.</w:t>
      </w:r>
    </w:p>
    <w:p w14:paraId="23B7A84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García, P. E. and Añón Suárez, D. A. 2007. Community structure and phenology of chironomids (Insecta: Chironomidae) in a Patagonian Andean stream. - Limnologica 37: 109–117.</w:t>
      </w:r>
    </w:p>
    <w:p w14:paraId="57BE7CA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Gascon, C. 1991. Population- and community-level analyses of species occurrences of central Amazonian rainforest tadpoles. - Ecology 72: 1731–1746.</w:t>
      </w:r>
    </w:p>
    <w:p w14:paraId="41C232D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Gelhaus, J. K. et al. 1993. </w:t>
      </w:r>
      <w:r w:rsidRPr="005D67DB">
        <w:rPr>
          <w:rFonts w:ascii="Times New Roman" w:hAnsi="Times New Roman" w:cs="Times New Roman"/>
        </w:rPr>
        <w:t>Emergence Composition and Phenology of Tipulidae (Diptera) from a Tropical Rainforest Stream at El Verde, Puerto Rico. - J. Kansas Entomol. Soc. 66: 160–166.</w:t>
      </w:r>
    </w:p>
    <w:p w14:paraId="522475A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George, D. G. 2012. The effect of nutrient enrichment and changes in the weather on the abundance of Daphnia in Esthwaite Water, Cumbria. - Freshw. Biol. 57: 360–372.</w:t>
      </w:r>
    </w:p>
    <w:p w14:paraId="5BC39AC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Gerke, N. and Böttger, K. 2001. The life cycle of Atrichops crassipes meigen, 1820 (Diptera: Athericidae) at the Lower Schierenseebrook, a lake outflow in the North German Lowland. - Aquat. Insects 23: 85–92.</w:t>
      </w:r>
    </w:p>
    <w:p w14:paraId="7A15CD2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Gerten, D. and Adrian, R. 2002. Species-specific changes in the phenology and peak abundance of freshwater copepods in response to warm summers. - Freshw. Biol. 47: 2163–2173.</w:t>
      </w:r>
    </w:p>
    <w:p w14:paraId="316D7EC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Giberson, D. J. and Garnett, H. L. 1996. Species composition, distribution, and summer emergence phenology of stoneflies (Insecta: Plecoptera) from Catamaran Brook, New Brunswick. - Can. J. Zool. 74: 1260–1267.</w:t>
      </w:r>
    </w:p>
    <w:p w14:paraId="50A6930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Gillet, C. and Quétin, P. 2006. Effect of temperature changes on the reproductive cycle of roach in Lake Geneva from 1983 to 2001. - J. Fish Biol. 69: 518–534.</w:t>
      </w:r>
    </w:p>
    <w:p w14:paraId="2164615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Glazaczow, A. et al. 2016. Increased temperature delays the late-season phenology of multivoltine insect. - Sci. Rep. 6: 1–8.</w:t>
      </w:r>
    </w:p>
    <w:p w14:paraId="22F73DF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Glime, J. M. 1984. Physio-Ecological Factors Relating to Reproduction and Phenology in Fontinalis dalecarlica. - Bryologist 87: 17–23.</w:t>
      </w:r>
    </w:p>
    <w:p w14:paraId="0211142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Goffová, K. et al. 2015. Seasonal dynamics and life cycle of Heterotrissocladius marcidus (Diptera: Chironomidae) in high altitude lakes (High Tatra Mts, Slovakia). - Biol. 70: 943–947.</w:t>
      </w:r>
    </w:p>
    <w:p w14:paraId="643E294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Gooding, E. L. et al. 2018. Life History and Phenological Characteristics of the Invasive Island Apple Snail Pomacea maculata (Perry, 1810) in Stormwater Retention Ponds in Coastal South Carolina, USA. - J. Shellfish Res. 37: 229–238.</w:t>
      </w:r>
    </w:p>
    <w:p w14:paraId="3FC35DB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Gorman, O. and Stone, D. 1999. Ecology of spawning humpback chub, Gila cypha, in the Little Colorado River near Grand Canyon, Arizona. - Environ. Biol. Fishes 55: 115–133.</w:t>
      </w:r>
    </w:p>
    <w:p w14:paraId="44EF382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Goto, D. et al. 2018. Spatially dynamic maternal control of migratory fish recruitment pulses triggered by shifting seasonal cues. - Mar. Freshw. Res. 69: 942–961.</w:t>
      </w:r>
    </w:p>
    <w:p w14:paraId="284A27F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Gottsberger, B. and Gruber, E. 2004. Temporal partitioning of reproductive activity in a neotropical anuran community. - J. Trop. Ecol. 20: 271–280.</w:t>
      </w:r>
    </w:p>
    <w:p w14:paraId="3FEC8CA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Grayson, K. and Wilbur, H. 2009. Sex- and context-dependent migration in a pond-breeding amphibian. - Ecology 90: 306–312.</w:t>
      </w:r>
    </w:p>
    <w:p w14:paraId="70DD56B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Green, D. M. 2017. Amphibian breeding phenology trends under climate change: predicting the past to forecast the future. - Glob. Chang. Biol. 23: 646–656.</w:t>
      </w:r>
    </w:p>
    <w:p w14:paraId="76544EB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Green, M. C. et al. 2011. Status of breeding Reddish Egrets on Great Inagua, Bahamas with Comments on Breeding Territoriality and the Effects of Hurricanes. - Waterbirds 34: 213–217.</w:t>
      </w:r>
    </w:p>
    <w:p w14:paraId="1B5DCBE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Greenberg, C. H. et al. 2017. </w:t>
      </w:r>
      <w:r w:rsidRPr="005D67DB">
        <w:rPr>
          <w:rFonts w:ascii="Times New Roman" w:hAnsi="Times New Roman" w:cs="Times New Roman"/>
        </w:rPr>
        <w:t>Amphibian breeding phenology and reproductive outcome: An examination using terrestrial and aquatic sampling. - Can. J. Zool. 95: 673–684.</w:t>
      </w:r>
    </w:p>
    <w:p w14:paraId="78653B8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Greig, H. S. et al. 2012. </w:t>
      </w:r>
      <w:r w:rsidRPr="005D67DB">
        <w:rPr>
          <w:rFonts w:ascii="Times New Roman" w:hAnsi="Times New Roman" w:cs="Times New Roman"/>
        </w:rPr>
        <w:t>Warming, eutrophication, and predator loss amplify subsidies between aquatic and terrestrial ecosystems. - Glob. Chang. Biol. 18: 504–514.</w:t>
      </w:r>
    </w:p>
    <w:p w14:paraId="5EA8C01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Gruenert, U. and Raeder, U. 2014. Growth responses of the calcite-loricated freshwater phytoflagellate Phacotus lenticularis (Chlorophyta) to the CaCO3 saturation state and meteorological changes. - J. Plankton Res. 36: 630–640.</w:t>
      </w:r>
    </w:p>
    <w:p w14:paraId="0ADE38D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Gutiérrez-Yurrita, P. J. and Montes, C. 1999. </w:t>
      </w:r>
      <w:r w:rsidRPr="005D67DB">
        <w:rPr>
          <w:rFonts w:ascii="Times New Roman" w:hAnsi="Times New Roman" w:cs="Times New Roman"/>
        </w:rPr>
        <w:t>Bioenergetics and phenology of reproduction of the introduced red swamp crayfish, Procambarus clarkii, in Donana National Park, Spain, and implications for species management. - Freshw. Biol. 42: 561–574.</w:t>
      </w:r>
    </w:p>
    <w:p w14:paraId="0A37DEC3" w14:textId="77777777" w:rsidR="00EC1E58" w:rsidRPr="00EC1E58" w:rsidRDefault="00EC1E58" w:rsidP="00FC2275">
      <w:pPr>
        <w:ind w:left="360" w:hanging="360"/>
        <w:jc w:val="both"/>
        <w:rPr>
          <w:rFonts w:ascii="Times New Roman" w:hAnsi="Times New Roman" w:cs="Times New Roman"/>
          <w:lang w:val="fr-FR"/>
        </w:rPr>
      </w:pPr>
      <w:r w:rsidRPr="005D67DB">
        <w:rPr>
          <w:rFonts w:ascii="Times New Roman" w:hAnsi="Times New Roman" w:cs="Times New Roman"/>
        </w:rPr>
        <w:t xml:space="preserve">Haberman, J. and Haldna, M. 2017. How are spring zooplankton and autumn zooplankton influenced by water temperature in a polymictic lake? - Proc. Est. </w:t>
      </w:r>
      <w:r w:rsidRPr="00EC1E58">
        <w:rPr>
          <w:rFonts w:ascii="Times New Roman" w:hAnsi="Times New Roman" w:cs="Times New Roman"/>
          <w:lang w:val="fr-FR"/>
        </w:rPr>
        <w:t>Acad. Sci. 66: 264–278.</w:t>
      </w:r>
    </w:p>
    <w:p w14:paraId="1C6990F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Hadjoudj, S. et al. 2014. Ecologie de l’émergence d’Orthetrum cancellatum: Configuration temporelle et sélection de microhabitat (Odonata: Libellulidae). - Ann. la Soc. </w:t>
      </w:r>
      <w:r w:rsidRPr="005D67DB">
        <w:rPr>
          <w:rFonts w:ascii="Times New Roman" w:hAnsi="Times New Roman" w:cs="Times New Roman"/>
        </w:rPr>
        <w:t>Entomol. Fr. 50: 343–349.</w:t>
      </w:r>
    </w:p>
    <w:p w14:paraId="18EB416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Haggerty, T. M. et al. 2005. Reproductive phenology in Megalonaias nervosa (Bivalvia: Unionidae) in Wheeler Reservoir, Tennessee River, Alabama, USA. - Hydrobiologia 539: 131–136.</w:t>
      </w:r>
    </w:p>
    <w:p w14:paraId="1439C9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Hairston, N. G. et al. 2000. </w:t>
      </w:r>
      <w:r w:rsidRPr="005D67DB">
        <w:rPr>
          <w:rFonts w:ascii="Times New Roman" w:hAnsi="Times New Roman" w:cs="Times New Roman"/>
        </w:rPr>
        <w:t>The effect of diapause emergence on the seasonal dynamics of a zooplankton assemblage. - Freshw. Biol. 45: 133–145.</w:t>
      </w:r>
    </w:p>
    <w:p w14:paraId="07F1BB8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Hall, J. and Okali, D. 1974. Phenology and Productivity of Pistia stratiotes L. on the Volta Lake, Ghana. - J. Appl. Ecol. 11: 709–725.</w:t>
      </w:r>
    </w:p>
    <w:p w14:paraId="5FB4352F"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Hannesdóttir, E. R. et al. 2013. </w:t>
      </w:r>
      <w:r w:rsidRPr="005D67DB">
        <w:rPr>
          <w:rFonts w:ascii="Times New Roman" w:hAnsi="Times New Roman" w:cs="Times New Roman"/>
        </w:rPr>
        <w:t>Increased Stream Productivity with Warming Supports Higher Trophic Levels. In: Advances in Ecological Research. Academic Press, pp. 285–342.</w:t>
      </w:r>
    </w:p>
    <w:p w14:paraId="1F6931A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Hansen, H. H. et al. 2020. An unseen synchrony or recurrent resource pulse opportunity? linking fisheries with aeroecology. - Remote Sens. Ecol. Conserv. 6: 366–380.</w:t>
      </w:r>
    </w:p>
    <w:p w14:paraId="21A39F6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Haraldstad, T. et al. 2017. Diel migration pattern of Atlantic salmon (Salmo salar) and sea trout (Salmo trutta) smolts: an assessment of environmental cues. - Ecol. Freshw. Fish 26: 541–551.</w:t>
      </w:r>
    </w:p>
    <w:p w14:paraId="1D26047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Hardersen, S. 2008. Dragonfly (Odonata) communities at three lotic sites with different hydrological characteristics. - Ital. J. Zool. 75: 271–283.</w:t>
      </w:r>
    </w:p>
    <w:p w14:paraId="5684F90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Hardwick, R. A. et al. 1995. </w:t>
      </w:r>
      <w:r w:rsidRPr="005D67DB">
        <w:rPr>
          <w:rFonts w:ascii="Times New Roman" w:hAnsi="Times New Roman" w:cs="Times New Roman"/>
        </w:rPr>
        <w:t>Spatial and temporal distribution patterns of drifting pupal exuviae of Chironomidae (Diptera) in streams of tropical northern Australia. - Freshw. Biol. 34: 569–578.</w:t>
      </w:r>
    </w:p>
    <w:p w14:paraId="46517DA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Harkrider, J. R. 2011. Life history of Neoplasta parahebes (Diptera: Empididae: Hemerodromiinae). - Can. Entomol. 143: 392–398.</w:t>
      </w:r>
    </w:p>
    <w:p w14:paraId="3F4EEEF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Harkrider, J. R. 2000. Phenology of aquatic dance flies (Diptera: Empididae: Hemerodromiinae) along a stream in Southern California. - Pan-Pac. Entomol. 76: 170–175.</w:t>
      </w:r>
    </w:p>
    <w:p w14:paraId="5231B45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Harper, F. and Harper, P. P. 1984. Phenology and distribution of mayflies in Southern Ontario Lowland stream. - In: Proceeding of the fourth international conference on Ephemeroptera. pp. 243–251.</w:t>
      </w:r>
    </w:p>
    <w:p w14:paraId="57E08C8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Harper, M. P. and Peckarsky, B. L. 2006. Emergence cues of a mayfly in a high-altitude stream ecosystem: Potential response to climate change. - Ecol. Appl. 16: 612–621.</w:t>
      </w:r>
    </w:p>
    <w:p w14:paraId="5C7BFAD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Harper, P. P. 1980. Phenology and Distribution of Aquatic Dance Flies (Diptera : Empididae) in a Laurentian Watershed. - Am. Midl. Nat. 104: 110–117.</w:t>
      </w:r>
    </w:p>
    <w:p w14:paraId="1B532E9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Hassall, C. et al. 2007. Historical changes in the phenology of British Odonata are related to climate. - Glob. Chang. Biol. 13: 933–941.</w:t>
      </w:r>
    </w:p>
    <w:p w14:paraId="612E8BC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Hawking, J. H. and New, T. R. 1996. The development of dragonfly larvae (Odonata: Anisoptera) from two streams in north-eastern Victoria, Australia. - Hydrobiologia 317: 13–30.</w:t>
      </w:r>
    </w:p>
    <w:p w14:paraId="51B52AF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Hovel, R. A. et al. 2017. </w:t>
      </w:r>
      <w:r w:rsidRPr="005D67DB">
        <w:rPr>
          <w:rFonts w:ascii="Times New Roman" w:hAnsi="Times New Roman" w:cs="Times New Roman"/>
        </w:rPr>
        <w:t>Climate change alters the reproductive phenology and investment of a lacustrine fish, the three-spine stickleback. - Glob. Chang. Biol. 23: 2308–2320.</w:t>
      </w:r>
    </w:p>
    <w:p w14:paraId="2E3EC94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Hovel, R. A. et al. 2019. A wide window of migration phenology captures inter-annual variability of favourable conditions: Results of a whole-lake experiment with juvenile Pacific salmon. - Freshw. Biol. 64: 46–55.</w:t>
      </w:r>
    </w:p>
    <w:p w14:paraId="39BCB0C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Huber, V. et al. 2010. A matter of timing: Heat wave impact on crustacean zooplankton. - Freshw. Biol. 55: 1769–1779.</w:t>
      </w:r>
    </w:p>
    <w:p w14:paraId="16D702D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Huusko, A. and Sutela, T. 1997. Minnow predation on vendace larvae: Intersection of alternative prey phenologies and size-based vulnerability. - J. Fish Biol. 50: 965–977.</w:t>
      </w:r>
    </w:p>
    <w:p w14:paraId="519584B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Imbahale, S. S. et al. 2011. </w:t>
      </w:r>
      <w:r w:rsidRPr="005D67DB">
        <w:rPr>
          <w:rFonts w:ascii="Times New Roman" w:hAnsi="Times New Roman" w:cs="Times New Roman"/>
        </w:rPr>
        <w:t>A longitudinal study on Anopheles mosquito larval abundance in distinct geographical and environmental settings in western Kenya. - Malar. J. 10: 1–13.</w:t>
      </w:r>
    </w:p>
    <w:p w14:paraId="701155A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Ivanković, L. et al. 2019. Perennial phenology patterns and ecological traits of Dixidae (Insecta, Diptera) in lotic habitats of a barrage lake system. - Limnologica 76: 11–18.</w:t>
      </w:r>
    </w:p>
    <w:p w14:paraId="64105E4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Ivković, M. et al. 2012. Emergence patterns and microhabitat preference of aquatic dance flies (Empididae; Clinocerinae and Hemerodromiinae) on a longitudinal gradient of barrage lake system. - Limnologica 42: 43–49.</w:t>
      </w:r>
    </w:p>
    <w:p w14:paraId="62FCDB6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Ivković, M. et al. 2015. Environmental drivers of biotic traits and phenology patterns of Diptera assemblages in karst springs: The role of canopy uncovered. - Limnologica 54: 44–57.</w:t>
      </w:r>
    </w:p>
    <w:p w14:paraId="197AA91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Ivković, M. and Pont, A. C. 2016. Long-time emergence patterns of Limnophora species (Diptera, Muscidae) in specific karst habitats: tufa barriers. - Limnologica 61: 29–35.</w:t>
      </w:r>
    </w:p>
    <w:p w14:paraId="11B5653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Jacobi, D. and Benke, A. C. 1991. Life Histories and Abundance Patterns of Snag-Dwelling Mayflies in a Blackwater Coastal Plain River. - J. North Am. Benthol. Soc. 10: 372–387.</w:t>
      </w:r>
    </w:p>
    <w:p w14:paraId="76F8DFF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Janzen, F. J. et al. 2018. Altered spring phenology of North American freshwater turtles and the importance of representative populations. - Ecol. Evol. 8: 5815–5827.</w:t>
      </w:r>
    </w:p>
    <w:p w14:paraId="44B52A0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Jara, F. G. et al. 2013. Predatory insects in lentic freshwater habitats from northwest Patagonia: richness and phenology. - J. Nat. Hist. 47: 2749–2768.</w:t>
      </w:r>
    </w:p>
    <w:p w14:paraId="7519140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Jara, F. G. 2019. The impact of phenology on the interaction between a predaceous aquatic insect and larval amphibians in seasonal ponds. - Hydrobiologia 5: 49–61.</w:t>
      </w:r>
    </w:p>
    <w:p w14:paraId="5E22E63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Jehl, J. R. and Johansson, C. 2002. Autumnal migration of Eared Grebes (Podiceps nigricollis) through southwestern Wyoming: A key to assessing the size of the North American population. - West. North Am. Nat. 62: 335–340.</w:t>
      </w:r>
    </w:p>
    <w:p w14:paraId="7BE71F3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Jiménez, J. C. et al. 2014. Phenology of Paralemanea mexicana (Batrachospermales, Rhodophyta) in a high-altitude stream in central Mexico. - Phycol. Res. 62: 86–93.</w:t>
      </w:r>
    </w:p>
    <w:p w14:paraId="6CA4E97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Jiménez, J. C. et al. 2014. Phenology of Paralemanea mexicana (Batrachospermales, Rhodophyta) in a high-altitude stream in central Mexico. - Phycol. Res. 62: 86–93.</w:t>
      </w:r>
    </w:p>
    <w:p w14:paraId="0D9CDFC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Jolley, J. C. et al. 2010. Match-mismatch regulation for bluegill and yellow perch larvae and their prey in Sandhill lakes. - J. Fish Wildl. Manag. 1: 73–85.</w:t>
      </w:r>
    </w:p>
    <w:p w14:paraId="5641D10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Jones, I. D. et al. 2011. Increases in lake phytoplankton biomass caused by future climate-driven changes to seasonal river flow. - Glob. Chang. Biol. 17: 1809–1820.</w:t>
      </w:r>
    </w:p>
    <w:p w14:paraId="35FBC29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Jones, N. T. and Gilbert, B. 2016. Changing climate cues differentially alter zooplankton dormancy dynamics across latitudes. - J. Anim. Ecol. 85: 559–569.</w:t>
      </w:r>
    </w:p>
    <w:p w14:paraId="16641F2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Jonsson, B. et al. 2017. Influences of migration phenology on survival are size-dependent in juvenile Atlantic salmon (Salmo salar). - Can. J. Zool. 95: 581–587.</w:t>
      </w:r>
    </w:p>
    <w:p w14:paraId="1A0BD2E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Jonsson, B. and Jonsson, N. 2018. Egg incubation temperature affects the timing of the Atlantic salmon Salmo salar homing migration. - J. Fish Biol. 93: 1016–1020.</w:t>
      </w:r>
    </w:p>
    <w:p w14:paraId="52A73A3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Joshi, K. D. et al. 2018. </w:t>
      </w:r>
      <w:r w:rsidRPr="005D67DB">
        <w:rPr>
          <w:rFonts w:ascii="Times New Roman" w:hAnsi="Times New Roman" w:cs="Times New Roman"/>
        </w:rPr>
        <w:t>Pattern of reproductive biology of the endangered golden mahseer tor putitora (Hamilton 1822) with special reference to regional climate change implications on breeding phenology from lesser himalayan region, india. - J. Appl. Anim. Res. 46: 1289–1295.</w:t>
      </w:r>
    </w:p>
    <w:p w14:paraId="747231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Jourdan, J. et al. 2019. Elevated temperatures translate into reduced dispersal abilities in a natural population of an aquatic insect. - J. Anim. Ecol. 88: 1498–1509.</w:t>
      </w:r>
    </w:p>
    <w:p w14:paraId="5BD6086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Judson, S. W. and Nelson, C. R. 2011. Diversity, phenology, and elevational distribution of ephemeroptera, plecoptera, and trichoptera in American Fork Canyon, Utah. - West. North Am. Nat. 70: 526–540.</w:t>
      </w:r>
    </w:p>
    <w:p w14:paraId="3D0C5A8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Kakegawa, M. and Hasumi, M. 2017. Effects of controlled water temperatures on oviposition in a lotic-breeding and externally fertilizing salamander (Hynobius kimurae). - River Res. Appl. 33: 1036–1043.</w:t>
      </w:r>
    </w:p>
    <w:p w14:paraId="1DF9354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Kato, Y. et al. 2016. Floating-leaved macrophyte (Trapa japonica) drastically changes seasonal dynamics of a temperate lake ecosystem. - Ecol. Res. 31: 695–707.</w:t>
      </w:r>
    </w:p>
    <w:p w14:paraId="7C7E790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Keefer, M. L. et al. 2018. </w:t>
      </w:r>
      <w:r w:rsidRPr="005D67DB">
        <w:rPr>
          <w:rFonts w:ascii="Times New Roman" w:hAnsi="Times New Roman" w:cs="Times New Roman"/>
        </w:rPr>
        <w:t>Coho Salmon Colonization of Oregon’s Upper Willamette River Basin. - Trans. Am. Fish. Soc. 147: 1153–1166.</w:t>
      </w:r>
    </w:p>
    <w:p w14:paraId="1AF6DCC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Keefer, M. L. et al. 2018. Thermal exposure of adult Chinook salmon and steelhead: Diverse behavioral strategies in a large and warming river system. - PLoS One 13: 1–29.</w:t>
      </w:r>
    </w:p>
    <w:p w14:paraId="0B7FF4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Kelly, N. E. et al. 2013. Dynamics of the invasive spiny water flea, Bythotrephes longimanus, in Lake Simcoe, Ontario, Canada. - Inl. Waters 3: 75–92.</w:t>
      </w:r>
    </w:p>
    <w:p w14:paraId="46C7BCF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Kennedy, R. J. and Crozier, W. W. 2010. Evidence of changing migratory patterns of wild Atlantic salmon Salmo salar smolts in the River Bush, Northern Ireland, and possible associations with climate change. - J. Fish Biol. 76: 1786–1805.</w:t>
      </w:r>
    </w:p>
    <w:p w14:paraId="77AA10C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Kessel, S. T. et al. 2018. </w:t>
      </w:r>
      <w:r w:rsidRPr="005D67DB">
        <w:rPr>
          <w:rFonts w:ascii="Times New Roman" w:hAnsi="Times New Roman" w:cs="Times New Roman"/>
        </w:rPr>
        <w:t>Divergent migration within lake sturgeon (Acipenser fulvescens) populations: Multiple distinct patterns exist across an unrestricted migration corridor. - J. Anim. Ecol. 87: 259–273.</w:t>
      </w:r>
    </w:p>
    <w:p w14:paraId="5253489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Khongwir, S. et al. 2016. Breeding and nesting behaviour of Rhacophorus maximus (Anura: Rhacophoridae) in Meghalaya, North East India. - Curr. Sci. 110: 1102–1105.</w:t>
      </w:r>
    </w:p>
    <w:p w14:paraId="6015751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Kight, S. L. et al. 2019. </w:t>
      </w:r>
      <w:r w:rsidRPr="005D67DB">
        <w:rPr>
          <w:rFonts w:ascii="Times New Roman" w:hAnsi="Times New Roman" w:cs="Times New Roman"/>
        </w:rPr>
        <w:t>Recent changes in reproductive phenology of a K-selected aquatic insect predator, Belostoma flumineum Say (Heteroptera, Belostomatidae). - Bull. Entomol. Res. 109: 84–89.</w:t>
      </w:r>
    </w:p>
    <w:p w14:paraId="3239ED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Kim, S. and Kanno, Y. 2020. Spawning periodicity and synchrony of bluehead chub (Nocomis leptocephalus) and a nest associate, yellowfin shiner (Notropis lutipinnis), across local streams. - Ecol. Freshw. Fish 29: 299–310.</w:t>
      </w:r>
    </w:p>
    <w:p w14:paraId="734D319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King, A. J. et al. 2020. Preliminary evidence of spawning phenologies of freshwater fish in a wet–dry tropical river: the importance of both wet and dry seasons. - Mar. Freshw. Res. 71: 202–212.</w:t>
      </w:r>
    </w:p>
    <w:p w14:paraId="737532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Klos, Z. et al. 2015. Indicators of climate change in Idaho: An assessment framework for coupling biophysical change and social perception. - Weather. Clim. Soc. 7: 238–254.</w:t>
      </w:r>
    </w:p>
    <w:p w14:paraId="721D142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Korch, J. E. and Sheath, R. G. 1989. The phenology of Audouinella violacea (Acrochaetiaceae, Rhodophyta) in a Rhode Island stream (USA). - Phycologia 28: 228–236.</w:t>
      </w:r>
    </w:p>
    <w:p w14:paraId="609B2D2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Kovach, R. P. et al. 2015. </w:t>
      </w:r>
      <w:r w:rsidRPr="005D67DB">
        <w:rPr>
          <w:rFonts w:ascii="Times New Roman" w:hAnsi="Times New Roman" w:cs="Times New Roman"/>
        </w:rPr>
        <w:t>Temporal patterns in adult salmon migration timing across southeast Alaska. - Glob. Chang. Biol. 21: 1821–1833.</w:t>
      </w:r>
    </w:p>
    <w:p w14:paraId="3C201D4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Kovach, R. P. et al. 2013. Earlier Migration Timing, Decreasing Phenotypic Variation, and Biocomplexity in Multiple Salmonid Species. - PLoS One 8: e53807.</w:t>
      </w:r>
    </w:p>
    <w:p w14:paraId="37107DD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Krabbenhoft, T. J. et al. 2014. </w:t>
      </w:r>
      <w:r w:rsidRPr="005D67DB">
        <w:rPr>
          <w:rFonts w:ascii="Times New Roman" w:hAnsi="Times New Roman" w:cs="Times New Roman"/>
        </w:rPr>
        <w:t>Interannual variation in reproductive phenology in a riverine fish assemblage: Implications for predicting the effects of climate change and altered flow regimes. - Freshw. Biol. 59: 1744–1754.</w:t>
      </w:r>
    </w:p>
    <w:p w14:paraId="0EB898C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Krementz, D. G. et al. 2011. Spring migration of mallards from Arkansas as determined by satellite telemetry. - J. Fish Wildl. Manag. 2: 156–168.</w:t>
      </w:r>
    </w:p>
    <w:p w14:paraId="5AC9741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Kuczynski, L. et al. 2017. Indirect effect of temperature on fish population abundances through phenological changes. - PLoS One 12: 1–13.</w:t>
      </w:r>
    </w:p>
    <w:p w14:paraId="7D785F5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Külköylüoglu, O. 2005. Ecology and phenology of freshwater ostracods in Lake Gölköy (Bolu, Turkey). - Aquat. Ecol. 39: 295–304.</w:t>
      </w:r>
    </w:p>
    <w:p w14:paraId="0DEF630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Kupferberg, S. J. et al. 2012. Effects of Flow Regimes Altered by Dams on Survival, Population Declines, and Range-Wide Losses of California River-Breeding Frogs. - Conserv. Biol. 26: 513–524.</w:t>
      </w:r>
    </w:p>
    <w:p w14:paraId="33B6E14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Lagarde, R. et al. 2017. Temporal variability of larval drift of tropical amphidromous gobies along a watershed in Réunion Island. - Can. J. Fish. Aquat. Sci. 74: 948–957.</w:t>
      </w:r>
    </w:p>
    <w:p w14:paraId="09ED438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Lahr, J. et al. 1999. Phenology of invertebrates living in a sahelian temporary pond. - Hydrobiologia 405: 189–205.</w:t>
      </w:r>
    </w:p>
    <w:p w14:paraId="6E453B2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Lambret, P. et al. 2018. Oviposition plant choice maximizes offspring fitness in an aquatic predatory insect. - Hydrobiologia 823: 1–12.</w:t>
      </w:r>
    </w:p>
    <w:p w14:paraId="70FA690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Leberfinger, K. et al. 2010. Drought impact on stream detritivores: Experimental effects on leaf litter breakdown and life cycles. - Hydrobiologia 652: 247–254.</w:t>
      </w:r>
    </w:p>
    <w:p w14:paraId="519D38E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Leeper, D. A. and Taylor, B. E. 1998. Insect Emergence from a South Carolina (USA) Temporary Wetland Pond, with Emphasis on the Chironomidae (Diptera). - J. North Am. Benthol. Soc. 17: 54–72.</w:t>
      </w:r>
    </w:p>
    <w:p w14:paraId="179C77F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Lemos-Espinal, J. A. et al. 2016. Natural History, Phenology, and Stream Use of Hyla plicata from the Arroyo los Axolotes, State of Mexico, Mexico. - Curr. Herpetol. 35: 8–13.</w:t>
      </w:r>
    </w:p>
    <w:p w14:paraId="68B22EB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Lenters, J. D. et al. 2011. Seasonal energy and water balance of a Phragmites australis-dominated wetland in the Republican River basin of south-central Nebraska (USA). - J. Hydrol. 408: 19–34.</w:t>
      </w:r>
    </w:p>
    <w:p w14:paraId="16B71E5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 J. L. et al. 2011. Three responses to small changes in stream temperature by autumn-emerging aquatic insects. - J. North Am. Benthol. Soc. 30: 474–484.</w:t>
      </w:r>
    </w:p>
    <w:p w14:paraId="0A13ACC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Liang, S. H. et al. 2005. Size structure, reproductive phenology, and sex ratio of an exotic armored catfish (Liposarcus multiradiatus) in the Kaoping River of Southern Taiwan. - Zool. Stud. 44: 252–259.</w:t>
      </w:r>
    </w:p>
    <w:p w14:paraId="2FD6FD9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Liberto, R. et al. 2012. Dynamics of pleustonic ostracod populations in small ponds on the Island of Martín García (Río de la Plata, Argentina). - Hydrobiologia 688: 47–61.</w:t>
      </w:r>
    </w:p>
    <w:p w14:paraId="65CC754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Lin, Q. et al. 2012. Seasonal Dynamics of Daphnia galeata in a Reservoir at the Edge of the Tropics Before and After Yearly Stocking with Bighead Carp. - In: Tropical and Sub-Tropical Reservoir Limnology in China. Springer, pp. 43–58.</w:t>
      </w:r>
    </w:p>
    <w:p w14:paraId="6FBB3D2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Linde, A. F. et al. 1976. Cattail - The significance of its growth, phenology and carbohydrate storage to its control and management. - Tech. Bull.: 1–25.</w:t>
      </w:r>
    </w:p>
    <w:p w14:paraId="7D266C7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Lips, K. R. 2001. Reproductive trade-offs and bet-hedging in Hyla calypsa, a neotropical treefrog. - Oecologia 128: 509–518.</w:t>
      </w:r>
    </w:p>
    <w:p w14:paraId="461B126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Lisi, P. J. and Schindler, D. E. 2011. Spatial variation in timing of marine subsidies influences riparian phenology through a plant-pollinator mutualism. - Ecosphere 2:1–14.</w:t>
      </w:r>
    </w:p>
    <w:p w14:paraId="179CD94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Lisi, P. J. et al. 2013. </w:t>
      </w:r>
      <w:r w:rsidRPr="005D67DB">
        <w:rPr>
          <w:rFonts w:ascii="Times New Roman" w:hAnsi="Times New Roman" w:cs="Times New Roman"/>
        </w:rPr>
        <w:t>Association between geomorphic attributes of watersheds, water temperature, and salmon spawn timing in Alaskan streams. - Geomorphology 185: 78–86.</w:t>
      </w:r>
    </w:p>
    <w:p w14:paraId="77490C1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Livingston, M. E. and Gelhaus, J. K. 1993. Further Observations on the Emergence Composition and Phenology of Crane Flies (Diptera: Tipulidae) from a Tropical Rain Forest Stream at El Verde, Puerto Rico. - J. Kansas Entomol. Soc. 66: 405–410.</w:t>
      </w:r>
    </w:p>
    <w:p w14:paraId="486142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Llusia, D. et al. 2013. Calling behaviour under climate change: Geographical and seasonal variation of calling temperatures in ectotherms. - Glob. Chang. Biol. 19: 2655–2674.</w:t>
      </w:r>
    </w:p>
    <w:p w14:paraId="563EC78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Lombardo, S. M. et al. 2020. Evidence for temperature-dependent shifts in spawning times of anadromous alewife (Alosa pseudoharengus) and blueback herring (alosa aestivalis). - Can. J. Fish. Aquat. Sci. 77: 741–751.</w:t>
      </w:r>
    </w:p>
    <w:p w14:paraId="4179AE7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López, J. A. et al. 2011. Seasonal patterns of abundance and recruitment in an amphibian assemblage from the Paraná River Floodplain. - Interciencia 36: 538–544.</w:t>
      </w:r>
    </w:p>
    <w:p w14:paraId="74278B1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Lundström, J. O. et al. 2010. </w:t>
      </w:r>
      <w:r w:rsidRPr="005D67DB">
        <w:rPr>
          <w:rFonts w:ascii="Times New Roman" w:hAnsi="Times New Roman" w:cs="Times New Roman"/>
        </w:rPr>
        <w:t>Production of wetland Chironomidae (Diptera) and the effects of using Bacillus thuringiensis israelensis for mosquito control. - Bull. Entomol. Res. 100: 117–125.</w:t>
      </w:r>
    </w:p>
    <w:p w14:paraId="2C1096A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Lyons, J. et al. 2015. Trends in the reproductive phenology of two great lakes fishes. - Trans. Am. Fish. Soc. 144: 1263–1274.</w:t>
      </w:r>
    </w:p>
    <w:p w14:paraId="136F4FD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MacCulloch, R. and Bider, J. 1975. Phenology, migrations, circadian rhythm and the effect of precipitation of the activity of Eurycea b . bislineata in Québec. - Herpetologica 31: 433–439.</w:t>
      </w:r>
    </w:p>
    <w:p w14:paraId="3057C60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Madsen, J. D. and Owens, C. S. 1998. Seasonal biomass and carbohydrate allocation in dioecious hydrilla. - J. Aquat. Plant Manag. 36: 138–145.</w:t>
      </w:r>
    </w:p>
    <w:p w14:paraId="3254AD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Maeda, E. E. et al. 2019. Temporal patterns of phytoplankton phenology across high latitude lakes unveiled by long-term time series of satellite data. - Remote Sens. Environ. 221: 609–620.</w:t>
      </w:r>
    </w:p>
    <w:p w14:paraId="759F07B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Malicky, H. 1981. Artificial Illumination of a Mountain Stream in Lower Austria: Effect of Constant Daylength on the Phenology of the Caddisflies (Trichoptera). - Aquat. Insects 3: 25–32.</w:t>
      </w:r>
    </w:p>
    <w:p w14:paraId="70F90C0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Malik, H. I. et al. 2018. Comparison of seasonal distribution patterns of Discostella stelligera and Lindavia bodanica in a boreal lake during two years with differing ice-off timing. - Diatom Res. 33: 1–11.</w:t>
      </w:r>
    </w:p>
    <w:p w14:paraId="1D4EE95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Manca, M. M. et al. 2007. </w:t>
      </w:r>
      <w:r w:rsidRPr="005D67DB">
        <w:rPr>
          <w:rFonts w:ascii="Times New Roman" w:hAnsi="Times New Roman" w:cs="Times New Roman"/>
        </w:rPr>
        <w:t>Shifts in phenology of Bythotrephes longimanus and its modern success in Lake Maggiore as a result of changes in climate and trophy. - J. Plankton Res. 29: 515–525.</w:t>
      </w:r>
    </w:p>
    <w:p w14:paraId="775B94F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Manca, M. et al. 2014. Inter-annual climate variability and zooplankton: applying teleconnection indices to two deep subalpine lakes in Italy. - J. Limnol. 73: 123–132.</w:t>
      </w:r>
    </w:p>
    <w:p w14:paraId="0F6F7F9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Mancaa, M. and DeMott, W. R. 2009. Response of the invertebrate predator Bythotrephes to a climate-linked increase in the duration of a refuge from fish predation. - Limnol. Oceanogr. 54: 2506–2512.</w:t>
      </w:r>
    </w:p>
    <w:p w14:paraId="437E50A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Marchetti, M. P. and Moyle, P. B. 2000. Spatial and temporal ecology of native and introduced fish larvae in lower Putah Creek, California. - Environ. Biol. Fishes 58: 75–87.</w:t>
      </w:r>
    </w:p>
    <w:p w14:paraId="5FE98C4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Márquez, R. 1992. Terrestrial Paternal Care and Short Breeding Seasons: Reproductive Phenology of the Midwife Toads Alytes obstetricans and A . cisternasii. - Ecography (Cop.). 15: 279–288.</w:t>
      </w:r>
    </w:p>
    <w:p w14:paraId="1DB7900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Martin, P. et al. 2010. Larval parasitism of spring-dwelling alpine water mites (Hydrachnidia, Acari): A study with particular reference to chironomid hosts. - Aquat. Ecol. 44: 431–448.</w:t>
      </w:r>
    </w:p>
    <w:p w14:paraId="261D4FA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Masteller, E. C. 1983. Emergence Phenology of Plecoptera from Sixmile Creek, Erie County, Pennsylvania, USA. - Aquat. Insects 5: 1–8.</w:t>
      </w:r>
    </w:p>
    <w:p w14:paraId="4D84D3B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Masteller, E. C. and Buzby, K. M. 1993. Emergence Phenology of Empididae, Ceratopogonidae, and Simuliidae (Diptera) from a Tropical Rainforest Stream at El Verde, Puerto Rico. - J. Kansas Entomol. Soc. 66: 187–191.</w:t>
      </w:r>
    </w:p>
    <w:p w14:paraId="7BB9FEF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Masteller, E. C. and Flint, O. S. 1980. Emergence Phenology of Trichoptera from Six Mile Creek Erie County, Pennsylvania, U.S.A. - Aquat. Insects 2: 197–210.</w:t>
      </w:r>
    </w:p>
    <w:p w14:paraId="29776FD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Maynou, X. and Martin, R. 2019. Phenology of the Odonata assemblage in a Mediterranean stream in the north-eastern Iberian Peninsula. - Odonatologica 48: 27–48.</w:t>
      </w:r>
    </w:p>
    <w:p w14:paraId="660AA62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Mccauley, S. J. et al. 2015. </w:t>
      </w:r>
      <w:r w:rsidRPr="005D67DB">
        <w:rPr>
          <w:rFonts w:ascii="Times New Roman" w:hAnsi="Times New Roman" w:cs="Times New Roman"/>
        </w:rPr>
        <w:t>Effects of experimental warming on survival, phenology, and morphology of an aquatic insect (Odonata). - Ecol. Entomol. 40: 211–220.</w:t>
      </w:r>
    </w:p>
    <w:p w14:paraId="4194391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McCauley, S. J. et al. 2018. Simulated climate change increases larval mortality, alters phenology, and affects flight morphology of a dragonfly: - Ecosphere9: e02151.</w:t>
      </w:r>
    </w:p>
    <w:p w14:paraId="6E5E55C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McCulloch, G. A. et al. 2020. </w:t>
      </w:r>
      <w:r w:rsidRPr="005D67DB">
        <w:rPr>
          <w:rFonts w:ascii="Times New Roman" w:hAnsi="Times New Roman" w:cs="Times New Roman"/>
        </w:rPr>
        <w:t>Does elevation influence mayfly emergence timing? A case study using New Zealand’s endemic ephemeropteran fauna. - Ecol. Entomol.45: 756–760.</w:t>
      </w:r>
    </w:p>
    <w:p w14:paraId="340CD4B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McCulloch, G. A. and Waters, J. M. 2018. Testing for seasonality in alpine streams: How does altitude affect freshwater insect life cycles? - Freshw. Biol. 63: 483–491.</w:t>
      </w:r>
    </w:p>
    <w:p w14:paraId="6B4A017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McDaniel, T. V. et al. 2004. Development and survivorship of Northern Leopard frogs (Rana pipiens) and green frogs (Rana clamitans) exposed to contaminants in the water and sediments of the St. Lawrence River near Cornwall, Ontario. - Water Qual. Res. J. Canada 39: 160–174.</w:t>
      </w:r>
    </w:p>
    <w:p w14:paraId="1126416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McLennan, D. et al. 2018. Timing of Atlantic salmon Salmo salar smolt migration predicts successful passage through a reservoir. - J. Fish Biol. 92: 1651–1656.</w:t>
      </w:r>
    </w:p>
    <w:p w14:paraId="03A75E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McNeely, C. and Power, M. E. 2007. Spatial variation in caddisfly grazing regimes within a Northern California watershed. - Ecology 88: 2609–2619.</w:t>
      </w:r>
    </w:p>
    <w:p w14:paraId="46D52E8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Meis, S. et al. 2009. Effects of recent climate change on phytoplankton phenology in a temperate lake. - Freshw. Biol. 54: 1888–1898.</w:t>
      </w:r>
    </w:p>
    <w:p w14:paraId="7B65E73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Mendez, P. K. and Resh, V. H. 2008. Life history of the Neophylax rickeri (Trichoptera: Uenoidae) in two northern California streams. - Ann. Entomol. Soc. Am. 101: 573–584.</w:t>
      </w:r>
    </w:p>
    <w:p w14:paraId="0F655AA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Meneks, M. L. et al. 2003. Larval fish as indicators of reproductive success in unchannelized and channelized tributaries of the red river basin, minnesota. - J. Freshw. Ecol. 18: 141–154.</w:t>
      </w:r>
    </w:p>
    <w:p w14:paraId="3E54127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Miguélez, D. and Valladares, L. F. 2008. Seasonal dispersal of water beetles (Coleoptera) in an agricultural landscape: A study using Moericke traps in northwest Spain. - Ann. la Soc. Entomol. Fr. 44: 317–326.</w:t>
      </w:r>
    </w:p>
    <w:p w14:paraId="3A55FA0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Mihuc, T. B. and Toetz, D. W. 1996. Phenology of aquatic macroinvertebrates in an alpine wetland. - Hydrobiologia 330: 131–136.</w:t>
      </w:r>
    </w:p>
    <w:p w14:paraId="0F650C3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Molinero, J. C. et al. 2007. </w:t>
      </w:r>
      <w:r w:rsidRPr="005D67DB">
        <w:rPr>
          <w:rFonts w:ascii="Times New Roman" w:hAnsi="Times New Roman" w:cs="Times New Roman"/>
        </w:rPr>
        <w:t>Decadal changes in water temperature and ecological time series in Lake Geneva, Europe - Relationship to subtropical Atlantic climate variability. - Clim. Res. 34: 15–23.</w:t>
      </w:r>
    </w:p>
    <w:p w14:paraId="3291C27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lastRenderedPageBreak/>
        <w:t xml:space="preserve">Mooij, W. M. et al. 2008. </w:t>
      </w:r>
      <w:r w:rsidRPr="005D67DB">
        <w:rPr>
          <w:rFonts w:ascii="Times New Roman" w:hAnsi="Times New Roman" w:cs="Times New Roman"/>
        </w:rPr>
        <w:t>The impact of climate warming on water temperature, timing of hatching and young-of-the-year growth of fish in shallow lakes in the Netherlands. - J. Sea Res. 60: 32–43.</w:t>
      </w:r>
    </w:p>
    <w:p w14:paraId="1CDE231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Moore, J. W. and Schindler, D. E. 2010. Spawning salmon and the phenology of emergence in stream insects. - Proc. R. Soc. B Biol. Sci. 277: 1695–1703.</w:t>
      </w:r>
    </w:p>
    <w:p w14:paraId="10F4738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Moreira, G. and Peckarsky, B. L. 1994. Multiple Developmental Pathways of Agnetina capitata (Plecoptera : Perlidae) in a Temperate Forest Stream A. - J. North Am. Benthol. Soc. 13: 19–29.</w:t>
      </w:r>
    </w:p>
    <w:p w14:paraId="0D01FEC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Moses, A. P. et al. 2019. Migratory timing and rates of Chinook salmon bound for the Kwethluk and Kisaralik rivers. - J. Fish Wildl. Manag. 10: 419–431.</w:t>
      </w:r>
    </w:p>
    <w:p w14:paraId="209708B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Müller, K. M. et al. 1997. Phenology of a Batrachospermum population in a boreal pond and its implications for the systematics of section Turfosa (Batrachospermales, Rhodophyta). - Phycologia 36: 68–75.</w:t>
      </w:r>
    </w:p>
    <w:p w14:paraId="5D36C6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Mundy, P. R. and Evenson, D. F. 2011. Environmental controls of phenology of high-latitude Chinook salmon populations of the Yukon River, North America, with application to fishery management. - ICES J. Mar. Sci. 68: 1155–1164.</w:t>
      </w:r>
    </w:p>
    <w:p w14:paraId="19784A2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Munsch, S. H. et al. 2019. </w:t>
      </w:r>
      <w:r w:rsidRPr="005D67DB">
        <w:rPr>
          <w:rFonts w:ascii="Times New Roman" w:hAnsi="Times New Roman" w:cs="Times New Roman"/>
        </w:rPr>
        <w:t>Warm, dry winters truncate timing and size distribution of seaward-migrating salmon across a large, regulated watershed. - Ecol. Appl. 29: 1–14.</w:t>
      </w:r>
    </w:p>
    <w:p w14:paraId="36C19EA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Murányi, D. et al. 2016. Contribution to the taxonomy and biology of two Balkan endemic Isoperla Banks, 1906 (Plecoptera: Perlodidae) species. - Zoosymposia 11: 73–88.</w:t>
      </w:r>
    </w:p>
    <w:p w14:paraId="3CF0100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Necchi, O. and Branco, C. C. Z. 1999. Phenology of a dioecious population of Batrachospermum delicatulum (Batrachospermales, Rhodophyta) in a stream from southeastern Brazil. - Phycol. Res. 47: 251–256.</w:t>
      </w:r>
    </w:p>
    <w:p w14:paraId="60A3F8E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Newbold, J. D. et al. 1994. A model for seasonal synchrony in stream mayflies. - J. North Am. Benthol. Soc. 13: 3–18.</w:t>
      </w:r>
    </w:p>
    <w:p w14:paraId="0D912C6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Nicolle, A. et al. 2012. Predicted warming and browning affect timing and magnitude of plankton phenological events in lakes: A mesocosm study. - Freshw. Biol. 57: 684–695.</w:t>
      </w:r>
    </w:p>
    <w:p w14:paraId="156268B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Novak, P. A. et al. 2017. Do upstream migrating, juvenile amphidromous shrimps, provide a marine subsidy to river ecosystems? - Freshw. Biol. 62: 880–893.</w:t>
      </w:r>
    </w:p>
    <w:p w14:paraId="7B588F9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Novak, P. A. et al. 2015. A life-history account of Macrobrachium spinipes (Schenkel, 1902) (Cherabin) in a large tropical Australian River. - Freshw. Sci. 34: 620–633.</w:t>
      </w:r>
    </w:p>
    <w:p w14:paraId="0F88B26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Nowinszky, L. et al. 2014. Swarming patterns of light trapped individuals of caddisfly species (Trichoptera) in Central Europe. - Cent. Eur. J. Biol. 9: 417–430.</w:t>
      </w:r>
    </w:p>
    <w:p w14:paraId="0A2FDAB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Nozaki, T. et al. 2019. Caddisflies collected using a Malaise trap at a spring-fed brook of Shimauchi-yusui in the Matsumoto Basin, central Japan: fauna and phenology. - Zoosymposia 14: 165–176.</w:t>
      </w:r>
    </w:p>
    <w:p w14:paraId="68E6E0D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O’Brien, T. P. et al. 2019. </w:t>
      </w:r>
      <w:r w:rsidRPr="005D67DB">
        <w:rPr>
          <w:rFonts w:ascii="Times New Roman" w:hAnsi="Times New Roman" w:cs="Times New Roman"/>
        </w:rPr>
        <w:t>Phenology and species diversity in a Lake Huron ichthyoplankton community: Ecological implications of invasive species dominance. - J. Great Lakes Res. 45: 176–186.</w:t>
      </w:r>
    </w:p>
    <w:p w14:paraId="7C4C9F0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Oja, H. and Pöysä, H. 2007. Spring phenology, latitude, and the timing of breeding in two migratory ducks: Implications of climate change impacts. - Ann. Zool. Fennici 44: 475–485.</w:t>
      </w:r>
    </w:p>
    <w:p w14:paraId="227E94B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Otero, J. et al. 2014. Basin-scale phenology and effects of climate variability on global timing of initial seaward migration of Atlantic salmon (Salmo salar). - Glob. Chang. Biol. 20: 61–75.</w:t>
      </w:r>
    </w:p>
    <w:p w14:paraId="6D1CB00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Paasivirta, L. et al. 1988. Emergence phenology and ecology of aquatic and semi‐terrestrial insects on a boreal raised bog in Central Finland. - Ecography (Cop.). 11: 96–105.</w:t>
      </w:r>
    </w:p>
    <w:p w14:paraId="009B1F6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Palmer, S. C. J. et al. 2015. Satellite remote sensing of phytoplankton phenology in Lake Balaton using 10 years of MERIS observations. - Remote Sens. Environ. 158: 441–452.</w:t>
      </w:r>
    </w:p>
    <w:p w14:paraId="5A10278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Paumier, A. et al. 2020. Assessing the relative importance of temperature, discharge, and day length on the reproduction of an anadromous fish (Alosa alosa). - Freshw. Biol. 65: 253–263.</w:t>
      </w:r>
    </w:p>
    <w:p w14:paraId="38CA3F7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Peckarsky, B. L. et al. 2000. Hydrologic and behavioral constraints on oviposition of stream insects: Implications for adult dispersal. - Oecologia 125: 186–200.</w:t>
      </w:r>
    </w:p>
    <w:p w14:paraId="41F1851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Peeters, E. T. H. M. et al. 2013. </w:t>
      </w:r>
      <w:r w:rsidRPr="005D67DB">
        <w:rPr>
          <w:rFonts w:ascii="Times New Roman" w:hAnsi="Times New Roman" w:cs="Times New Roman"/>
        </w:rPr>
        <w:t>Changing weather conditions and floating plants in temperate drainage ditches. - J. Appl. Ecol. 50: 585–593.</w:t>
      </w:r>
    </w:p>
    <w:p w14:paraId="698C449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Peeters, F. et al. 2007. Earlier onset of the spring phytoplankton bloom in lakes of the temperate zone in a warmer climate. - Glob. Chang. Biol. 13: 1898–1909.</w:t>
      </w:r>
    </w:p>
    <w:p w14:paraId="452FF7E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Peltomaa, E. et al. 2013. Changes in phytoplankton in a boreal lake during a 14-year period. - Boreal Environ. Res. 18: 387–400.</w:t>
      </w:r>
    </w:p>
    <w:p w14:paraId="5C46F2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Pépino, M. et al. 2013. Fall synchrony between leaf color change and brook trout spawning in the Laurentides Wildlife Reserve (Québec, Canada) as potential environmental integrators. - Ecol. Indic. 30: 16–20.</w:t>
      </w:r>
    </w:p>
    <w:p w14:paraId="28E0428F"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Pérez-Bilbao, A. et al. 2010. </w:t>
      </w:r>
      <w:r w:rsidRPr="005D67DB">
        <w:rPr>
          <w:rFonts w:ascii="Times New Roman" w:hAnsi="Times New Roman" w:cs="Times New Roman"/>
        </w:rPr>
        <w:t>Phenology of aquatic insects in a protected wetland (Natura 2000 network) in northwestern Spain. - Limnetica 29: 379–386.</w:t>
      </w:r>
    </w:p>
    <w:p w14:paraId="3E6630D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Pescador, M. et al. 1993. Composition and Phenology of Ephemeroptera from a Tropical Rainforest Stream at El Verde, Puerto Rico. - J. Kansas Entomol. Soc. 66: 151–159.</w:t>
      </w:r>
    </w:p>
    <w:p w14:paraId="716D114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Peterson, M. S. and VanderKooy, S. J. 1995. Phenology and spatial and temporal distribution of larval fishes in a partially channelized warmwater stream. - Ecol. Freshw. Fish 4: 93–105.</w:t>
      </w:r>
    </w:p>
    <w:p w14:paraId="003CDB3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Philbrick, C. T. and Novelo Retana, A. 1998. Flowering phenology, pollen flow, and seed production in Marathrum rubrum (Podostemaceae). - Aquat. Bot. 62: 199–206.</w:t>
      </w:r>
    </w:p>
    <w:p w14:paraId="39B186C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Phillips, I. D. et al. 2013. Biological Notes and Range Expansion of the Non-Biting Midge Odontomesa fulva (Kieffer) (Diptera: Chironomidae). - West. North Am. Nat. 73: 244–247.</w:t>
      </w:r>
    </w:p>
    <w:p w14:paraId="6A8D091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Plóciennik, M. et al. 2018. Phenology of non-biting midges (Diptera: Chironomidae) in peatland ponds, Central Poland. - Entomol. Fenn. 29: 61–74.</w:t>
      </w:r>
    </w:p>
    <w:p w14:paraId="3FA29C6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Pothoven, S. A. and Vanderploeg, H. A. 2017. Changes in Mysis diluviana abundance and life history patterns following a shift toward oligotrophy in Lake Michigan. - Fundam. Appl. Limnol. 190: 199–212.</w:t>
      </w:r>
    </w:p>
    <w:p w14:paraId="5C58297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Power, M. 1992. Hydrologic and trophic controls of seasonal algal blooms in northern California rivers. - Arch. für Hydrobiol. 125: 385–410.</w:t>
      </w:r>
    </w:p>
    <w:p w14:paraId="3D3A82B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Preston, N. D. and Rusak, J. A. 2010. Homage to Hutchinson: Does inter-annual climate variability affect zooplankton density and diversity? - Hydrobiologia 653: 165–177.</w:t>
      </w:r>
    </w:p>
    <w:p w14:paraId="08B61FF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Previšić, A. et al. 2007. Emergence and composition of Trichoptera from karst habitats, Plitvice Lakes region, Croatia. - Int. Rev. Hydrobiol. 92: 61–83.</w:t>
      </w:r>
    </w:p>
    <w:p w14:paraId="4DF627D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Pusey, B. J. et al. 2001. Reproduction in three species of rainbowfish (Melanotaeniidae) from rainforest streams in northern Queensland, Australia. - Ecol. Freshw. Fish 10: 75–87.</w:t>
      </w:r>
    </w:p>
    <w:p w14:paraId="77644C4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Quinn, T. P. et al. 2011. Contemporary divergence in migratory timing of naturalized populations of chinook salmon, Oncorhynchus tshawytscha, in New Zealand. - Evol. Ecol. Res. 13: 45–54.</w:t>
      </w:r>
    </w:p>
    <w:p w14:paraId="5DCE6D4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Rangel-Serpa, F. and Torres, M. 2015. Reproductive seasonality of Geophagus steindachneri Eigenmann &amp; Hildebrand, 1922 (Perciformes: Cichlidae) in a tropical mountain river. - Neotrop. Ichthyol. 13: 421–430.</w:t>
      </w:r>
    </w:p>
    <w:p w14:paraId="5343D70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Rasconi, S. et al. 2015. Increasing water temperature triggers dominance of small freshwater plankton. - PLoS One 10: 1–17.</w:t>
      </w:r>
    </w:p>
    <w:p w14:paraId="6C9DCA6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Rasconi, S. et al. 2017. Temperature increase and fluctuation induce phytoplankton biodiversity loss – Evidence from a multi-seasonal mesocosm experiment. - Ecol. Evol. 7: 2936–2946.</w:t>
      </w:r>
    </w:p>
    <w:p w14:paraId="7C6B234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Raunio, J. and Paasivirta, L. 2008. Emergence patterns of lotic Chironomidae (Diptera: Nematocera) in southern Finland and the use of their pupal exuviae in river biomonitoring. - Fundam. Appl. Limnol. 170: 291–301.</w:t>
      </w:r>
    </w:p>
    <w:p w14:paraId="3535C58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Raunio, J. et al. 2007. Effects of emergence phenology, taxa tolerances and taxonomic resolution on the use of the Chironomid Pupal Exuvial Technique in river biomonitoring. - Freshw. Biol. 52: 165–176.</w:t>
      </w:r>
    </w:p>
    <w:p w14:paraId="6AE8427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Reels, G. T. 2011. Emergence patterns and adult flight season of Anisoptera at a managed wetland site in Hong Kong, southern China. - Int. J. Odonatol. 14: 33–48.</w:t>
      </w:r>
    </w:p>
    <w:p w14:paraId="6B4B527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Reyes-Torres, L. J. and Ramírez, A. 2018. Life history and phenology of Phylloicus pulchrus (Trichoptera: Calamoceratidae) in a tropical rainforest stream of Puerto Rico. - Rev. Biol. Trop. 66: 814–825.</w:t>
      </w:r>
    </w:p>
    <w:p w14:paraId="43A824C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Reynolds, S. K. and Benke, A. C. 2006. Chironomid emergence and relative emergent biomass from two Alabama streams. - Southeast. Nat. 5: 165–174.</w:t>
      </w:r>
    </w:p>
    <w:p w14:paraId="2498D0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Richardson, J. S. 1991. Seasonal food limitation of detritivores in a montane stream: an experimental test. - Ecology 72: 873–887.</w:t>
      </w:r>
    </w:p>
    <w:p w14:paraId="1591D34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Richardson, J. S. 2001. Life cycle phenology of common detritivores from a temperate rainforest stream. - Hydrobiologia 455: 87–95.</w:t>
      </w:r>
    </w:p>
    <w:p w14:paraId="1663239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Richardson, J. S. and Clifford, H. F. 1986. Phenology and Ecology of Some Trichoptera in a Low-Gradient Boreal Stream. - J. North Am. Benthol. Soc. 5: 191–199.</w:t>
      </w:r>
    </w:p>
    <w:p w14:paraId="7458EE5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Richter, O. et al. 2008. A model for predicting the emergence of dragonflies in a changing climate. - Freshw. Biol. 53: 1868–1880.</w:t>
      </w:r>
    </w:p>
    <w:p w14:paraId="12BC1F9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Ridgway, M. S. 2010. Seasonal and annual patterns in density of double-crested cormorants in two coastal regions of Lake Huron. - J. Great Lakes Res. 36: 411–418.</w:t>
      </w:r>
    </w:p>
    <w:p w14:paraId="5615200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Ringia, A. M. and Lips, K. R. 2007. Oviposition, early development and growth of the cave salamander, Eurycea lucifuga: Surface and subterranean influences on a troglophilic species. - Herpetologica 63: 258–268.</w:t>
      </w:r>
    </w:p>
    <w:p w14:paraId="03797DA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lastRenderedPageBreak/>
        <w:t xml:space="preserve">Rocha Usuga, A. A. et al. 2017. </w:t>
      </w:r>
      <w:r w:rsidRPr="005D67DB">
        <w:rPr>
          <w:rFonts w:ascii="Times New Roman" w:hAnsi="Times New Roman" w:cs="Times New Roman"/>
        </w:rPr>
        <w:t>Not every drought is bad: quantifying reproductive effort in the harlequin frog Atelopus laetissimus (Anura: Bufonidae). - J. Nat. Hist. 51: 1913–1928.</w:t>
      </w:r>
    </w:p>
    <w:p w14:paraId="66D6982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Rocha, A. V. and Goulden, M. L. 2010. Drought legacies influence the long-term carbon balance of a freshwater marsh. - J. Geophys. Res. Biogeosciences 115: 1–9.</w:t>
      </w:r>
    </w:p>
    <w:p w14:paraId="51990A1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Rodger, A. W. et al. 2016. Larval fish abundance in relation to environmental variables in two Texas Gulf Coast rivers. - J. Freshw. Ecol. 31: 625–640.</w:t>
      </w:r>
    </w:p>
    <w:p w14:paraId="77258F2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Rooke, A. C. et al. 2019. The impact of a changing winter climate on the hatch phenology of one of North America’s largest Atlantic salmon populations. - Conserv. Physiol. 7: 1–14.</w:t>
      </w:r>
    </w:p>
    <w:p w14:paraId="76F1300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Roseman, E. F. and O’Brien, T. P. 2013. Spatial distribution of pelagic fish larvae in the northern main basin of Lake Huron. - Aquat. Ecosyst. Heal. Manag. 16: 311–321.</w:t>
      </w:r>
    </w:p>
    <w:p w14:paraId="1DCCF96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Ross, M. V. et al. 2017. Decadal declines in avian herbivore reproduction: density-dependent nutrition and phenological mismatch in the Arctic. - Ecology 98: 1869–1883.</w:t>
      </w:r>
    </w:p>
    <w:p w14:paraId="5B89A5E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Rossetti, G. 2005. Fungal parasitism in freshwater calanoid population: Ecological consequences and possible mechanisms involved in the infection process. - Hydrobiologia 548: 167–176.</w:t>
      </w:r>
    </w:p>
    <w:p w14:paraId="4AAFABC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Rossi, V. et al. 2004. Heterocypris (Crustacea: Ostracoda) from the isole pelagie (Sicily, Italy): Hatching phenology of resting eggs. - Ital. J. Zool. 71: 223–231.</w:t>
      </w:r>
    </w:p>
    <w:p w14:paraId="505D9EA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Rossi, V. et al. 2015. Phenology of Daphnia in a Northern Italy pond during the weather anomalous 2014. - J. Limnol. 74: 631–638.</w:t>
      </w:r>
    </w:p>
    <w:p w14:paraId="329B35D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Rubenstein, M. A. et al. 2019. Trophic implications of a phenological paradigm shift: Bald eagles and salmon in a changing climate. - J. Appl. Ecol. 56: 769–778.</w:t>
      </w:r>
    </w:p>
    <w:p w14:paraId="076D7185"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Sarkar, U. K. et al. 2018. </w:t>
      </w:r>
      <w:r w:rsidRPr="005D67DB">
        <w:rPr>
          <w:rFonts w:ascii="Times New Roman" w:hAnsi="Times New Roman" w:cs="Times New Roman"/>
        </w:rPr>
        <w:t>Baseline information of reproduction parameters of an amphidromous croaker Johnius coitor (Hamilton, 1822) from Ganga river basin, India with special reference to potential influence of climatic variability. - Aquat. Living Resour. 31: 4.</w:t>
      </w:r>
    </w:p>
    <w:p w14:paraId="0CA8AAD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Sarkar, U. K. et al. 2019. Climato-environmental influence on breeding phenology of native catfishes in River Ganga and modeling species response to climatic variability for their conservation. - Int. J. Biometeorol. 63: 991–1004.</w:t>
      </w:r>
    </w:p>
    <w:p w14:paraId="3DAE1A4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Sarkar, U. K. et al. 2019. Minnows may be more reproductively resilient to climatic variability than anticipated: Synthesis from a reproductive vulnerability assessment of Gangetic pool barbs (Puntius sophore). - Ecol. Indic. 105: 727–736.</w:t>
      </w:r>
    </w:p>
    <w:p w14:paraId="5B32BD0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Sartorius, S. S. and Rosen, P. C. 2000. Breeding phenology of the lowland leopard frog (Rana yavapaiensis): Implications for conservation and ecology. - Southwest. Nat. 45: 267–273.</w:t>
      </w:r>
    </w:p>
    <w:p w14:paraId="448BA2D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Satake, A. et al. 2001. Variable timing of reproduction in unpredictable environments: Adaption of flood plain plants. - Theor. Popul. Biol. 60: 1–15.</w:t>
      </w:r>
    </w:p>
    <w:p w14:paraId="3BF218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Sayer, C. D. and Roberts, N. 2001. Establishing realistic restoration targets for nutrient-enriched shallow lakes: Linking diatom ecology and palaeoecology at the Attenborough Ponds, U.K. - Hydrobiologia 448: 117–142.</w:t>
      </w:r>
    </w:p>
    <w:p w14:paraId="51B100E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lastRenderedPageBreak/>
        <w:t xml:space="preserve">Scheibler, E. E. et al. 2016. </w:t>
      </w:r>
      <w:r w:rsidRPr="005D67DB">
        <w:rPr>
          <w:rFonts w:ascii="Times New Roman" w:hAnsi="Times New Roman" w:cs="Times New Roman"/>
        </w:rPr>
        <w:t>Abundance, Richness, Seasonal and Altitudinal Dynamics of Aquatic True Bugs (Heteroptera) in Mountain Wetlands of Argentina. - Wetlands 36: 265–274.</w:t>
      </w:r>
    </w:p>
    <w:p w14:paraId="0E7C41E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Schindler, D. E. et al. 2005. </w:t>
      </w:r>
      <w:r w:rsidRPr="005D67DB">
        <w:rPr>
          <w:rFonts w:ascii="Times New Roman" w:hAnsi="Times New Roman" w:cs="Times New Roman"/>
        </w:rPr>
        <w:t>Effects of changing climate on zooplankton and juvenile sockeye salmon growth in southwestern Alaska. - Ecology 86: 198–209.</w:t>
      </w:r>
    </w:p>
    <w:p w14:paraId="4FF85C2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Schneider, L. D. et al. 2018. </w:t>
      </w:r>
      <w:r w:rsidRPr="005D67DB">
        <w:rPr>
          <w:rFonts w:ascii="Times New Roman" w:hAnsi="Times New Roman" w:cs="Times New Roman"/>
        </w:rPr>
        <w:t>Evaluating temperature- and host-dependent reproduction in the parasitic freshwater mussel Unio crassus. - Hydrobiologia 810: 283–293.</w:t>
      </w:r>
    </w:p>
    <w:p w14:paraId="05F366D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Schoolmann, G. et al. 2015. Aspects of the life span and phenology of the invasive freshwater shrimp Atyaephyra desmarestii (Millet, 1831) at the northeastern edge of its range (Upper Rhine). - Crustaceana 88: 949–962.</w:t>
      </w:r>
    </w:p>
    <w:p w14:paraId="65BBE09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Seebens, H. et al. 2009. Copepod life cycle adaptations and success in response to phytoplankton spring bloom phenology. - Glob. Chang. Biol. 15: 1394–1404.</w:t>
      </w:r>
    </w:p>
    <w:p w14:paraId="73A43FC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Seo, Y. J. et al. 2014. Life history differences of Psilotreta locumtenens (Trichoptera: Odontoceridae) in two reaches of a mountain stream in Korea. - Entomol. Res. 44: 293–301.</w:t>
      </w:r>
    </w:p>
    <w:p w14:paraId="7F2F61D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Shaltout, K. H. et al. 2016. Phytomass and nutrient value of Potamogeton crispus L. in the water courses of Nile Delta, Egypt. - Rend. Lincei 27: 251–259.</w:t>
      </w:r>
    </w:p>
    <w:p w14:paraId="57CAAB3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Sheldon, A. L. 1999. Emergence patterns of large stoneflies (Plecoptera: Pteronarcys, Calineuria, Hesperoperla) in a Montana river. - Gt. Basin Nat. 59: 169–174.</w:t>
      </w:r>
    </w:p>
    <w:p w14:paraId="1517128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Sherwood, A. R. et al. 2004. Phenology and phylogenetic positioning of the Hawaiian endemic freshwater alga, Batrachospermum spermatiophorum (Rhodophyta, Batrachospermales). - Phycol. Res. 52: 193–203.</w:t>
      </w:r>
    </w:p>
    <w:p w14:paraId="312FA68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Shi, K. et al. 2019. Phenology of Phytoplankton Blooms in a Trophic Lake Observed from Long-Term MODIS Data. - Environ. Sci. Technol. 53: 2324–2331.</w:t>
      </w:r>
    </w:p>
    <w:p w14:paraId="0C156EAE"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Siddique, M. A. et al. 2020. </w:t>
      </w:r>
      <w:r w:rsidRPr="005D67DB">
        <w:rPr>
          <w:rFonts w:ascii="Times New Roman" w:hAnsi="Times New Roman" w:cs="Times New Roman"/>
        </w:rPr>
        <w:t>Annual gametogenic cycle of the freshwater pearl mussel, Lamellidens marginalis (Lamarck, 1819) collected from a perennial lentic habitat of Bangladesh. - Molluscan Res. 40: 36–43.</w:t>
      </w:r>
    </w:p>
    <w:p w14:paraId="2D43BB9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Sietman, B. E. et al. 2018. </w:t>
      </w:r>
      <w:r w:rsidRPr="005D67DB">
        <w:rPr>
          <w:rFonts w:ascii="Times New Roman" w:hAnsi="Times New Roman" w:cs="Times New Roman"/>
        </w:rPr>
        <w:t>Host attraction, brooding phenology, and host specialization on freshwater drum by 4 freshwater mussel species. - Freshw. Sci. 37: 96–107.</w:t>
      </w:r>
    </w:p>
    <w:p w14:paraId="1A7F5F8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Silva, S. et al. 2013. Downstream migration and hematophagous feeding of newly metamorphosed sea lampreys (Petromyzon marinus Linnaeus, 1758). - Hydrobiologia 700: 277–286.</w:t>
      </w:r>
    </w:p>
    <w:p w14:paraId="23816EB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Simmonds, B. et al. 2015. Phytoplankton succession and the formation of a deep chlorophyll maximum in a hypertrophic volcanic lake. - Hydrobiologia 745: 297–312.</w:t>
      </w:r>
    </w:p>
    <w:p w14:paraId="3780B7F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Siqueira, T. et al. 2008. Phenological patterns of neotropical lotic chironomids: Is emergence constrained by environmental factors? - Austral Ecol. 33: 902–910.</w:t>
      </w:r>
    </w:p>
    <w:p w14:paraId="601F8BD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Smith, M. A. K. 1991. Models of seasonal growth of the equatorial carp Labeo dussumieri in response to the river flood cycle. - Environ. Biol. Fishes 31: 157–170.</w:t>
      </w:r>
    </w:p>
    <w:p w14:paraId="3544F859"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Sovada, M. A. et al. 2014. </w:t>
      </w:r>
      <w:r w:rsidRPr="005D67DB">
        <w:rPr>
          <w:rFonts w:ascii="Times New Roman" w:hAnsi="Times New Roman" w:cs="Times New Roman"/>
        </w:rPr>
        <w:t>Influence of climate change on productivity of American white pelicans, Pelecanus erythrorhynchos. - PLoS One 9: e83430.</w:t>
      </w:r>
    </w:p>
    <w:p w14:paraId="31F8331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Sparks, M. M. et al. 2019. Influences of spawning timing, water temperature, and climatic warming on early life history phenology in western alaska sockeye salmon. - Can. J. Fish. Aquat. Sci. 76: 123–135.</w:t>
      </w:r>
    </w:p>
    <w:p w14:paraId="19CDD60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Spencer, D. F. and Ksander, G. G. 2005. Seasonal growth of waterhyacinth in the Sacramento/San Joaquin Delta, California. - J. Aquat. Plant Manag. 43: 91–94.</w:t>
      </w:r>
    </w:p>
    <w:p w14:paraId="0897782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Spencer, D. F. et al. 2005. Spatial and temporal variation in RGR and leaf quality of a clonal riparian plant: Arundo donax. - Aquat. Bot. 81: 27–36.</w:t>
      </w:r>
    </w:p>
    <w:p w14:paraId="35E8FB7C" w14:textId="77777777" w:rsidR="00EC1E58" w:rsidRPr="005D67DB" w:rsidRDefault="00EC1E58" w:rsidP="00FC2275">
      <w:pPr>
        <w:ind w:left="360" w:hanging="360"/>
        <w:jc w:val="both"/>
        <w:rPr>
          <w:rFonts w:ascii="Times New Roman" w:hAnsi="Times New Roman" w:cs="Times New Roman"/>
        </w:rPr>
      </w:pPr>
      <w:r w:rsidRPr="0069153B">
        <w:rPr>
          <w:rFonts w:ascii="Times New Roman" w:hAnsi="Times New Roman" w:cs="Times New Roman"/>
        </w:rPr>
        <w:t xml:space="preserve">Stanić-Koštroman, S. et al. 2015. </w:t>
      </w:r>
      <w:r w:rsidRPr="005D67DB">
        <w:rPr>
          <w:rFonts w:ascii="Times New Roman" w:hAnsi="Times New Roman" w:cs="Times New Roman"/>
        </w:rPr>
        <w:t>Environmental determinants of contrasting caddisfly (Insecta, Trichoptera) biodiversity in the Neretva and Bosna river basins (Bosnia and Herzegovina) under temperate and mediterranean climates. - Int. Rev. Hydrobiol. 100: 79–95.</w:t>
      </w:r>
    </w:p>
    <w:p w14:paraId="460487E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Stefanik, E. L. and Sandheinrich, M. B. 1999. Differences in Spawning and Emergence Phenology between Stocked and Wild Populations of Brown Trout in Southwestern Wisconsin Streams. - North Am. J. Fish. Manag. 19: 1112–1116.</w:t>
      </w:r>
    </w:p>
    <w:p w14:paraId="36DFA50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Steinman, A. D. et al. 1997. Ecological Properties of Charophytes in a Large Subtropical Lake. - J. North Am. Benthol. Soc. 16: 781–793.</w:t>
      </w:r>
    </w:p>
    <w:p w14:paraId="3CCAE92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Steinman, A. and Boston, H. 1993. The Ecological Role of Aquatic Bryophytes in a Woodland Stream. - J. North Am. Benthol. Soc. 12: 17–26.</w:t>
      </w:r>
    </w:p>
    <w:p w14:paraId="4F5EDD9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Straile, D. 2002. North Atlantic Oscillation synchronizes food-web interactions in central European lakes. - Proc. R. Soc. B Biol. Sci. 269: 391–395.</w:t>
      </w:r>
    </w:p>
    <w:p w14:paraId="05690AE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Straile, D. et al. 2012. Uniform Temperature Dependency in the Phenology of a Keystone Herbivore in Lakes of the Northern Hemisphere. - PLoS One 7: 1–9.</w:t>
      </w:r>
    </w:p>
    <w:p w14:paraId="29D4409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Straile, D. et al. 2010. Effects of a half a millennium winter on a deep lake - a shape of things to come? - Glob. Chang. Biol. 16: 2844–2856.</w:t>
      </w:r>
    </w:p>
    <w:p w14:paraId="4EBDF62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Straile, D. and Müller, H. 2010. Response of Bosmina to climate variability and reduced nutrient loading in a large lake. - Limnologica 40: 92–96.</w:t>
      </w:r>
    </w:p>
    <w:p w14:paraId="6899438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Stratford, D. S. et al. 2010. </w:t>
      </w:r>
      <w:r w:rsidRPr="005D67DB">
        <w:rPr>
          <w:rFonts w:ascii="Times New Roman" w:hAnsi="Times New Roman" w:cs="Times New Roman"/>
        </w:rPr>
        <w:t>Breeding ecology and phenology of two stream breeding myobatrachid frogs (Mixophyes fleayi and M. fasciolatus) in south-east Queensland. - Aust. Zool. 35: 189–197.</w:t>
      </w:r>
    </w:p>
    <w:p w14:paraId="5AC1956C"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Sturrock, A. M. et al. 2020. </w:t>
      </w:r>
      <w:r w:rsidRPr="005D67DB">
        <w:rPr>
          <w:rFonts w:ascii="Times New Roman" w:hAnsi="Times New Roman" w:cs="Times New Roman"/>
        </w:rPr>
        <w:t>Unnatural selection of salmon life histories in a modified riverscape. - Glob. Chang. Biol. 26: 1235–1247.</w:t>
      </w:r>
    </w:p>
    <w:p w14:paraId="4F8E2D3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Suresh, V. R. et al. 2019. Vermiculated sailfin catfish, Pterygoplichthys disjunctivus (Actinopterygii: Siluriformes: Loricariidae): Invasion, biology, and initial impacts in east Kolkata Wetlands, India. - Acta Ichthyol. Piscat. 49: 221–233.</w:t>
      </w:r>
    </w:p>
    <w:p w14:paraId="1C69A725"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Swan, K. D. et al. 2016. Breeding phenology and habitat use of amphibians in the drawdown zone of a hydroelectric reservoir. - Herpetol. Conserv. Biol. 10: 864–873.</w:t>
      </w:r>
    </w:p>
    <w:p w14:paraId="1C3DFC3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Szmeja, J. and Bazydło, E. 2005. The effect of water conditions on the phenology and age structure of Luronium natans (L.) Raf. populations. - Acta Soc. Bot. Pol. 74: 253–262.</w:t>
      </w:r>
    </w:p>
    <w:p w14:paraId="11010E7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Szmeja, J. and Gałka, A. 2013. Survival and reproduction of the aquatic fern Salvinia natans (L.) All. during expansion in the Vistula Delta, south Baltic Sea coast. - J. Freshw. Ecol. 28: 113–123.</w:t>
      </w:r>
    </w:p>
    <w:p w14:paraId="7095A2B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Tanaka, R. et al. 2020. Phenological diversity of freshwater migration can prolong assemblage-level migration period in amphidromous fishes in a temperate river system in Japan. - Ecol. Res. 35: 494–503.</w:t>
      </w:r>
    </w:p>
    <w:p w14:paraId="378FD6A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Tao, J. et al. 2018. Strong evidence for changing fish reproductive phenology under climate warming on the Tibetan Plateau. - Glob. Chang. Biol. 24: 2093–2104.</w:t>
      </w:r>
    </w:p>
    <w:p w14:paraId="242B1A9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Taylor, A. et al. 2017. Impact of cane toads on a community of Australian native frogs, determined by 10 years of automated identification and logging of calling behaviour. - J. Appl. Ecol. 54: 2000–2010.</w:t>
      </w:r>
    </w:p>
    <w:p w14:paraId="24A7DCB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Teichert, N. et al. 2020. Development of an accurate model to predict the phenology of Atlantic salmon smolt spring migration. - Aquat. Conserv. Mar. Freshw. Ecosyst. 30: 1552–1565.</w:t>
      </w:r>
    </w:p>
    <w:p w14:paraId="56CBF5E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Tekanova, E. V. and Syarki, M. T. 2015. Peculiarities of phenology of the primary production process in the pelagic zone of Lake Onega. - Biol. Bull. 42: 556–562.</w:t>
      </w:r>
    </w:p>
    <w:p w14:paraId="69A4B3E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Thackeray, S. J. et al. 2012. Eight decades of phenological change for a freshwater cladoceran: What are the consequences of our definition of seasonal timing? - Freshw. Biol. 57: 345–359.</w:t>
      </w:r>
    </w:p>
    <w:p w14:paraId="6E972FE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Thackeray, S. J. et al. 2008. Long-term change in the phenology of spring phytoplankton: Species-specific responses to nutrient enrichment and climatic change. - J. Ecol. 96: 523–535.</w:t>
      </w:r>
    </w:p>
    <w:p w14:paraId="3914F86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Thurber, B. G. et al. 2020. </w:t>
      </w:r>
      <w:r w:rsidRPr="005D67DB">
        <w:rPr>
          <w:rFonts w:ascii="Times New Roman" w:hAnsi="Times New Roman" w:cs="Times New Roman"/>
        </w:rPr>
        <w:t>Long-term changes in the autumn migration phenology of dabbling ducks in southern Ontario and implications for waterfowl management. - Wildlife Biol. 2.</w:t>
      </w:r>
    </w:p>
    <w:p w14:paraId="748B22D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Tillotson, M. D. et al. 2019. </w:t>
      </w:r>
      <w:r w:rsidRPr="005D67DB">
        <w:rPr>
          <w:rFonts w:ascii="Times New Roman" w:hAnsi="Times New Roman" w:cs="Times New Roman"/>
        </w:rPr>
        <w:t>Artificial selection on reproductive timing in hatchery salmon drives a phenological shift and potential maladaptation to climate change. - Evol. Appl. 12: 1344–1359.</w:t>
      </w:r>
    </w:p>
    <w:p w14:paraId="18C5A47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Todd, C. D. et al. 2012. Phenological and phenotypic changes in Atlantic salmon populations in response to a changing climate. - ICES J. Mar. Sci. 69: 1686–1698.</w:t>
      </w:r>
    </w:p>
    <w:p w14:paraId="71437951"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Tolotti, M. et al. 2007. Weather-driven ecology of planktonic diatoms in Lake Tovel (Trentino, Italy). - Hydrobiologia 578: 147–156.</w:t>
      </w:r>
    </w:p>
    <w:p w14:paraId="4491FD9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Touchon, J. C. et al. 2006. </w:t>
      </w:r>
      <w:r w:rsidRPr="005D67DB">
        <w:rPr>
          <w:rFonts w:ascii="Times New Roman" w:hAnsi="Times New Roman" w:cs="Times New Roman"/>
        </w:rPr>
        <w:t>Hatching plasticity in two temperate anurans: Responses to a pathogen and predation cues. - Can. J. Zool. 84: 556–563.</w:t>
      </w:r>
    </w:p>
    <w:p w14:paraId="2FB9F8F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Tucker, T. R. et al. 2018. </w:t>
      </w:r>
      <w:r w:rsidRPr="005D67DB">
        <w:rPr>
          <w:rFonts w:ascii="Times New Roman" w:hAnsi="Times New Roman" w:cs="Times New Roman"/>
        </w:rPr>
        <w:t>Long-term assessment of ichthyoplankton in a large North American river system reveals changes in fish community dynamics. - Can. J. Fish. Aquat. Sci. 75: 2255–2270.</w:t>
      </w:r>
    </w:p>
    <w:p w14:paraId="0C922D8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Turnage, G. et al. 2018. Phenology of curlyleaf pondweed ( Potamogeton crispus L .) in the southeastern United States : A two-year mesocosm study. - J. Aquat. Plant Manag. 56: 35–38.</w:t>
      </w:r>
    </w:p>
    <w:p w14:paraId="5EE8395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Turner, T. F. et al. 2010. Reproductive phenology and fish community structure in an arid-land river system. - Am. Fish. Soc. Symp. 73: 427–446.</w:t>
      </w:r>
    </w:p>
    <w:p w14:paraId="0DEC1D5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Tüzün, N. and Stoks, R. 2017. Carry-Over Effects Across Metamorphosis of a Pesticide on Female Lifetime Fitness Strongly Depend on Egg Hatching Phenology: A Longitudinal Study under Seminatural Conditions. - Environ. Sci. Technol. 51: 13949–13956.</w:t>
      </w:r>
    </w:p>
    <w:p w14:paraId="362E539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Vaira, M. 2002. Anurans of a subtropical montane forest in northwestern Argentina: Ecological survey anda proposed list of species of conservation concern. - Biodivers. Conserv. 11: 1047–1062.</w:t>
      </w:r>
    </w:p>
    <w:p w14:paraId="2A48CE0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Valdez, R. A. et al. 2019. Managed spring runoff to improve nursery floodplain habitat for endangered Rio Grande silvery minnow. – Ecohydrology12: e2134.</w:t>
      </w:r>
    </w:p>
    <w:p w14:paraId="461488A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lastRenderedPageBreak/>
        <w:t xml:space="preserve">Valladares, L. F. et al. 1994. </w:t>
      </w:r>
      <w:r w:rsidRPr="005D67DB">
        <w:rPr>
          <w:rFonts w:ascii="Times New Roman" w:hAnsi="Times New Roman" w:cs="Times New Roman"/>
        </w:rPr>
        <w:t>The annual cycle of the community of aquatic Coleoptera (Adephaga and Polyphaga) in a rehabilitated wetland pond : the Laguna de La Nava (Palencia, Spain). - Ann. Limnol. - Int. J. Limnol. 30: 209–220.</w:t>
      </w:r>
    </w:p>
    <w:p w14:paraId="1CCC668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Vanderploeg, H. A. et al. 2012. Seasonal zooplankton dynamics in Lake Michigan: Disentangling impacts of resource limitation, ecosystem engineering, and predation during a critical ecosystem transition. - J. Great Lakes Res. 38: 336–352.</w:t>
      </w:r>
    </w:p>
    <w:p w14:paraId="6885674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Vanschoenwinkel, B. et al. 2010. Hatching phenology, life history and egg bank size of fairy shrimp Branchipodopsis spp. (Branchiopoda, Crustacea) in relation to the ephemerality of their rock pool habitat. - Aquat. Ecol. 44: 771–780.</w:t>
      </w:r>
    </w:p>
    <w:p w14:paraId="60D74D9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Vári, Á. and Tóth, V. R. 2017. Quantifying macrophyte colonisation strategies—A field experiment in a shallow lake (Lake Balaton, Hungary). - Aquat. Bot. 136: 56–60.</w:t>
      </w:r>
    </w:p>
    <w:p w14:paraId="3EC90C1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Vasconcelos, T. da S. et al. 2011. Spatial and temporal distribution of tadpole assemblages (Amphibia, Anura) in a seasonal dry tropical forest of southeastern Brazil. - Hydrobiologia 673: 93–104.</w:t>
      </w:r>
    </w:p>
    <w:p w14:paraId="41E1FE4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Vebrová, L. et al. 2018. Seasonality and weather conditions jointly drive flight activity patterns of aquatic and terrestrial chironomids. - BMC Ecol. 18: 1–13.</w:t>
      </w:r>
    </w:p>
    <w:p w14:paraId="15E5233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lang w:val="fr-FR"/>
        </w:rPr>
        <w:t xml:space="preserve">Vélez-Espino, L. A. et al. 2011. </w:t>
      </w:r>
      <w:r w:rsidRPr="005D67DB">
        <w:rPr>
          <w:rFonts w:ascii="Times New Roman" w:hAnsi="Times New Roman" w:cs="Times New Roman"/>
        </w:rPr>
        <w:t>Demographic analysis of trade-offs with deliberate fragmentation of streams: Control of invasive species versus protection of native species. - Biol. Conserv. 144: 1068–1080.</w:t>
      </w:r>
    </w:p>
    <w:p w14:paraId="1285CA8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Velthuis, M. et al. 2017. Warming advances top-down control and reduces producer biomass in a freshwater plankton community. - Ecosphere 8: e01651.</w:t>
      </w:r>
    </w:p>
    <w:p w14:paraId="31B68D8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Vertucci, F. A. and Corn, P. S. 1996. Evaluation of Episodic Acidification and Amphibian Declines in the Rocky Mountains. - Ecol. Appl. 6: 449–457.</w:t>
      </w:r>
    </w:p>
    <w:p w14:paraId="4361607F"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Vignoli, L. et al. 2007. Seasonal patterns of activity and community structure in an amphibian assemblage at a pond network with variable hydrology. - Acta Oecologica 31: 185–192.</w:t>
      </w:r>
    </w:p>
    <w:p w14:paraId="09BFAECC"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Vilenica, M. et al. 2017. Mayfly emergence along an oligotrophic Dinaric karst hydrosystem: spatial and temporal patterns, and species–environment relationship. - Aquat. Ecol. 51: 417–433.</w:t>
      </w:r>
    </w:p>
    <w:p w14:paraId="19A1869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Villa, P. et al. 2018. Assessing macrophyte seasonal dynamics using dense time series of medium resolution satellite data. - Remote Sens. Environ. 216: 230–244.</w:t>
      </w:r>
    </w:p>
    <w:p w14:paraId="64B5882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Villalobos-Jiménez, G. and Hassall, C. 2017. Effects of the urban heat island on the phenology of Odonata in London, UK. - Int. J. Biometeorol. 61: 1337–1346.</w:t>
      </w:r>
    </w:p>
    <w:p w14:paraId="2335219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Vis, M. L. et al. 1991. Phenology of Lemanea fucina (Rhodophyta) in a Rhode Island river, USA. - Hydrobiologia 222: 141–146.</w:t>
      </w:r>
    </w:p>
    <w:p w14:paraId="4855E35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Wafa, B. et al. 2017. Odonata as indicators of environmental impacts in rivers, case of wadi El-Kebir-East (northeastern Algeria). - Moroccan J. Chem. 5: 610–621.</w:t>
      </w:r>
    </w:p>
    <w:p w14:paraId="21FF396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Wagner, A. and Benndorf, J. 2007. Climate-driven warming during spring destabilises a Daphnia population: A mechanistic food web approach. - Oecologia 151: 351–364.</w:t>
      </w:r>
    </w:p>
    <w:p w14:paraId="5749F21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Wagner, A. et al. 2013. Food-web-mediated effects of climate warming: Consequences for the seasonal Daphnia dynamics. - Freshw. Biol. 58: 573–587.</w:t>
      </w:r>
    </w:p>
    <w:p w14:paraId="4ADA509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Walker, K. F. 2017. Reproductive phenology of river and lake populations of freshwater mussels (Unionida: Hyriidae) in the River Murray. - Molluscan Res. 37: 31–44.</w:t>
      </w:r>
    </w:p>
    <w:p w14:paraId="3452E66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Walpole, A. et al. 2012. Community-level response to climate change: Shifts in Anuran calling phenology. - Herpetol. Conserv. Biol. 7: 249–257.</w:t>
      </w:r>
    </w:p>
    <w:p w14:paraId="6B5E020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Walters, A. W. et al. 2013. Species- and community-level responses combine to drive phenology of lake phytoplankton. - Ecology 94: 2188–2194.</w:t>
      </w:r>
    </w:p>
    <w:p w14:paraId="108126C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Waringer, J. A. 1996. Phenology and abundance of ephemeroptera, plecoptera and trichoptera caught by emergence traps at the weidlingbach near Vienna, Austria. - Int. Rev. der Gesamten Hydrobiol. 81: 63–77.</w:t>
      </w:r>
    </w:p>
    <w:p w14:paraId="45BA7956"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Waringer, J. A. 2003. Light-trapping of caddisflies at the Thaya (Lower Austria), a river influenced by pulsating hypolimnetic water release. - Int. Rev. Hydrobiol. 88: 139–153.</w:t>
      </w:r>
    </w:p>
    <w:p w14:paraId="1DCDC38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Warren, D. R. et al. 2012. Elevated summer temperatures delay spawning and reduce redd construction for resident brook trout (Salvelinus fontinalis). - Glob. Chang. Biol. 18: 1804–1811.</w:t>
      </w:r>
    </w:p>
    <w:p w14:paraId="79D3632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Watanabe, R. et al. 2020. Life history of the endangered Japanese aquatic beetle Helophorus auriculatus (Coleoptera: Helophoridae) and implications for its conservation. - J. Insect Conserv. 24: 603–611.</w:t>
      </w:r>
    </w:p>
    <w:p w14:paraId="3D9040E3"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Wersal, R. M. et al. 2011. Phenology, starch allocation, and environmental effects on Myriophyllum aquaticum. - Aquat. Bot. 95: 194–199.</w:t>
      </w:r>
    </w:p>
    <w:p w14:paraId="62161D6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Wheeler, C. A. et al. 2015. Effects of water temperature on breeding phenology, growth, and metamorphosis of Foothill Yellow-legged frogs (Rana Boylii): a case study of the regulated mainstem and unregulated tributaries of California’s Trinity River. - River Res. Appl. 31: 1276–1286.</w:t>
      </w:r>
    </w:p>
    <w:p w14:paraId="0572E990" w14:textId="77777777" w:rsidR="00EC1E58" w:rsidRPr="005D67DB" w:rsidRDefault="00EC1E58" w:rsidP="00FC2275">
      <w:pPr>
        <w:ind w:left="360" w:hanging="360"/>
        <w:jc w:val="both"/>
        <w:rPr>
          <w:rFonts w:ascii="Times New Roman" w:hAnsi="Times New Roman" w:cs="Times New Roman"/>
        </w:rPr>
      </w:pPr>
      <w:r w:rsidRPr="00352276">
        <w:rPr>
          <w:rFonts w:ascii="Times New Roman" w:hAnsi="Times New Roman" w:cs="Times New Roman"/>
          <w:lang w:val="fr-FR"/>
        </w:rPr>
        <w:t xml:space="preserve">Wheeler, C. A. et al. 2018. </w:t>
      </w:r>
      <w:r w:rsidRPr="005D67DB">
        <w:rPr>
          <w:rFonts w:ascii="Times New Roman" w:hAnsi="Times New Roman" w:cs="Times New Roman"/>
        </w:rPr>
        <w:t>Factors that Influence the Timing of Calling and Oviposition of a Lotic Frog in Northwestern California. - J. Herpetol. 52: 289–298.</w:t>
      </w:r>
    </w:p>
    <w:p w14:paraId="2476F76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Whitehead, P. J. and Saalfeld, K. 2000. Nesting phenology of magpie geese (Anseranas semipalmata) in monsoonal northern Australia: Responses to antecedent rainfall. - J. Zool. 251: 495–508.</w:t>
      </w:r>
    </w:p>
    <w:p w14:paraId="02FF00B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Winder, M. and Schindler, D. E. 2004. Climate change uncouples trophic interactions in an aquatic ecosystem. - Ecology 85: 2100–2106.</w:t>
      </w:r>
    </w:p>
    <w:p w14:paraId="0BCA55F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Winder, M. and Schindler, D. E. 2004. Climatic effects on the phenology of lake processes. - Glob. Chang. Biol. 10: 1844–1856.</w:t>
      </w:r>
    </w:p>
    <w:p w14:paraId="6C502857"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Winder, M. et al. 2009. Disrupted seasonal clockwork in the population dynamics of a freshwater copepod by climate warming. - Limnol. Oceanogr. 54: 2493–2505.</w:t>
      </w:r>
    </w:p>
    <w:p w14:paraId="5A28730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Winter, E. R. et al. 2016. Investigating the phenology of seaward migration of juvenile brown trout (Salmo trutta) in two European populations. - Hydrobiologia 775: 139–151.</w:t>
      </w:r>
    </w:p>
    <w:p w14:paraId="5CD0BD29"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Woolf, T. E. and Madsen, J. D. 2003. Seasonal biomass and carbohydrate allocation patterns in southern Minnesota curlyleaf pondweed populations. - J. Aquat. Plant Manag. 41: 113–118.</w:t>
      </w:r>
    </w:p>
    <w:p w14:paraId="4EF5B8E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Wright, K. K. et al. 2000. The distribution, phenology, and prey of Harlequin Ducks, Histrionicus histrionicus, in a Cascade Mountain stream, Oregon. - Can. Field-Naturalist 114: 187–195.</w:t>
      </w:r>
    </w:p>
    <w:p w14:paraId="43C2EB5A"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lastRenderedPageBreak/>
        <w:t>Yan, N. D. et al. 2001. Changes in zooplankton and the phenology of the spiny water flea, Bythotrephes, following its invasion of Harp Lake, Ontario, Canada. - Can. J. Fish. Aquat. Sci. 58: 2341–2350.</w:t>
      </w:r>
    </w:p>
    <w:p w14:paraId="27CBC472"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Yermokhin, M. V. et al. 2015. Spawning migration phenology of the spadefoot toad Pelobates fuscus (Pelobatidae, Amphibia) in the valley of the Medveditsa River (Saratov oblast). - Biol. Bull. 42: 931–936.</w:t>
      </w:r>
    </w:p>
    <w:p w14:paraId="4F3C20B4"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Yermokhin, M. V. et al. 2017. Phenological Changes in the Wintering of Pelobates fuscus (Pelobatidae, Amphibia) in the Climate Transformation Conditions in the Northern Lower Volga Region. - Biol. Bull. 44: 1215–1227.</w:t>
      </w:r>
    </w:p>
    <w:p w14:paraId="50BF8AAE"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Zając, K. and Zając, T. A. 2020. Seasonal patterns in the developmental rate of glochidia in the endangered thick-shelled river mussel, Unio crassus Philipsson, 1788. - Hydrobiologia doi.org/10.1007/s10750-020-04240-y.</w:t>
      </w:r>
    </w:p>
    <w:p w14:paraId="5F3827A0"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Zelenskaya, L. A. 2017. Ecology of Slaty-Backed Gull (Larus schistisagus) Breeding on Kronotskoe Lake, Kamchatka Peninsula. - Biol. Bull. 44: 860–874.</w:t>
      </w:r>
    </w:p>
    <w:p w14:paraId="08550CFB"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Zhang, H. et al. 2018. Life-history traits buffer against heat wave effects on predator–prey dynamics in zooplankton. - Glob. Chang. Biol. 24: 4747–4757.</w:t>
      </w:r>
    </w:p>
    <w:p w14:paraId="41DFA338"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Zhang, M. et al. 2012. Contributions of meteorology to the phenology of cyanobacterial blooms: Implications for future climate change. - Water Res. 46: 442–452.</w:t>
      </w:r>
    </w:p>
    <w:p w14:paraId="3B85715D" w14:textId="77777777" w:rsidR="00EC1E58" w:rsidRPr="005D67DB" w:rsidRDefault="00EC1E58" w:rsidP="00FC2275">
      <w:pPr>
        <w:ind w:left="360" w:hanging="360"/>
        <w:jc w:val="both"/>
        <w:rPr>
          <w:rFonts w:ascii="Times New Roman" w:hAnsi="Times New Roman" w:cs="Times New Roman"/>
        </w:rPr>
      </w:pPr>
      <w:r w:rsidRPr="005D67DB">
        <w:rPr>
          <w:rFonts w:ascii="Times New Roman" w:hAnsi="Times New Roman" w:cs="Times New Roman"/>
        </w:rPr>
        <w:t>Zhang, M. et al. 2016. Effects of temperature fluctuation on the development of cyanobacterial dominance in spring: implication of future climate change. - Hydrobiologia 763: 135–146.</w:t>
      </w:r>
    </w:p>
    <w:p w14:paraId="095AC458" w14:textId="77777777" w:rsidR="00EC1E58" w:rsidRPr="00DF7C87" w:rsidRDefault="00EC1E58" w:rsidP="00FC2275">
      <w:pPr>
        <w:ind w:left="360" w:hanging="360"/>
        <w:jc w:val="both"/>
        <w:rPr>
          <w:rFonts w:ascii="Times New Roman" w:hAnsi="Times New Roman" w:cs="Times New Roman"/>
        </w:rPr>
      </w:pPr>
      <w:r w:rsidRPr="005D67DB">
        <w:rPr>
          <w:rFonts w:ascii="Times New Roman" w:hAnsi="Times New Roman" w:cs="Times New Roman"/>
        </w:rPr>
        <w:t>Zhang, Y. et al. 2019. Temperature and silicate are significant driving factors for the seasonal shift of dominant diatoms in a drinking water reservoir. - J. Oceanol. Limnol. 37: 568–579.</w:t>
      </w:r>
    </w:p>
    <w:p w14:paraId="5387CD17" w14:textId="1EA008C1" w:rsidR="00975E37" w:rsidRPr="00DF7C87" w:rsidRDefault="00975E37" w:rsidP="005E54E2">
      <w:pPr>
        <w:rPr>
          <w:rFonts w:ascii="Times New Roman" w:hAnsi="Times New Roman" w:cs="Times New Roman"/>
        </w:rPr>
      </w:pPr>
    </w:p>
    <w:p w14:paraId="6FDCA8D0" w14:textId="77777777" w:rsidR="00535137" w:rsidRPr="00EC1E58" w:rsidRDefault="00535137" w:rsidP="00535137">
      <w:pPr>
        <w:rPr>
          <w:rFonts w:ascii="Times New Roman" w:hAnsi="Times New Roman" w:cs="Times New Roman"/>
        </w:rPr>
      </w:pPr>
    </w:p>
    <w:p w14:paraId="64BFFF17" w14:textId="77777777" w:rsidR="0024714A" w:rsidRPr="00DF7C87" w:rsidRDefault="0024714A" w:rsidP="005E54E2">
      <w:pPr>
        <w:rPr>
          <w:rFonts w:ascii="Times New Roman" w:hAnsi="Times New Roman" w:cs="Times New Roman"/>
        </w:rPr>
      </w:pPr>
    </w:p>
    <w:p w14:paraId="417E3D95" w14:textId="75EE266F" w:rsidR="00CE3A3E" w:rsidRPr="00DF7C87" w:rsidRDefault="00FF1665" w:rsidP="005E54E2">
      <w:pPr>
        <w:pStyle w:val="Heading1"/>
        <w:rPr>
          <w:rFonts w:ascii="Times New Roman" w:hAnsi="Times New Roman" w:cs="Times New Roman"/>
          <w:szCs w:val="28"/>
        </w:rPr>
      </w:pPr>
      <w:r w:rsidRPr="00DF7C87">
        <w:rPr>
          <w:rFonts w:ascii="Times New Roman" w:hAnsi="Times New Roman" w:cs="Times New Roman"/>
          <w:sz w:val="24"/>
        </w:rPr>
        <w:br w:type="page"/>
      </w:r>
      <w:bookmarkStart w:id="38" w:name="_Toc289175833"/>
      <w:bookmarkStart w:id="39" w:name="_Toc100607891"/>
      <w:r w:rsidR="00CE3A3E" w:rsidRPr="00DF7C87">
        <w:rPr>
          <w:rFonts w:ascii="Times New Roman" w:hAnsi="Times New Roman" w:cs="Times New Roman"/>
          <w:szCs w:val="28"/>
        </w:rPr>
        <w:lastRenderedPageBreak/>
        <w:t xml:space="preserve">CHAPTER </w:t>
      </w:r>
      <w:r w:rsidR="0088689E">
        <w:rPr>
          <w:rFonts w:ascii="Times New Roman" w:hAnsi="Times New Roman" w:cs="Times New Roman"/>
          <w:szCs w:val="28"/>
        </w:rPr>
        <w:t>2</w:t>
      </w:r>
      <w:r w:rsidR="00E459DC" w:rsidRPr="00DF7C87">
        <w:rPr>
          <w:rFonts w:ascii="Times New Roman" w:hAnsi="Times New Roman" w:cs="Times New Roman"/>
          <w:szCs w:val="28"/>
        </w:rPr>
        <w:br/>
      </w:r>
      <w:bookmarkEnd w:id="38"/>
      <w:r w:rsidR="004C401A">
        <w:rPr>
          <w:rFonts w:ascii="Times New Roman" w:hAnsi="Times New Roman" w:cs="Times New Roman"/>
          <w:szCs w:val="28"/>
        </w:rPr>
        <w:t>testing the diversity-biomass relationship in riverine fish communities</w:t>
      </w:r>
      <w:bookmarkEnd w:id="39"/>
    </w:p>
    <w:p w14:paraId="230D5985" w14:textId="77777777" w:rsidR="00F71ADC" w:rsidRPr="00DF7C87" w:rsidRDefault="00CE3A3E" w:rsidP="00F71ADC">
      <w:pPr>
        <w:rPr>
          <w:rFonts w:ascii="Times New Roman" w:hAnsi="Times New Roman" w:cs="Times New Roman"/>
          <w:sz w:val="28"/>
          <w:szCs w:val="28"/>
        </w:rPr>
      </w:pPr>
      <w:r w:rsidRPr="00DF7C87">
        <w:rPr>
          <w:rFonts w:ascii="Times New Roman" w:hAnsi="Times New Roman" w:cs="Times New Roman"/>
          <w:sz w:val="28"/>
          <w:szCs w:val="28"/>
        </w:rPr>
        <w:br w:type="page"/>
      </w:r>
    </w:p>
    <w:p w14:paraId="44782A31" w14:textId="2B7AB52A" w:rsidR="004C401A" w:rsidRPr="00DF7C87" w:rsidRDefault="004C401A" w:rsidP="00363503">
      <w:pPr>
        <w:jc w:val="both"/>
        <w:rPr>
          <w:rFonts w:ascii="Times New Roman" w:hAnsi="Times New Roman" w:cs="Times New Roman"/>
        </w:rPr>
      </w:pPr>
      <w:bookmarkStart w:id="40" w:name="_Toc289175834"/>
      <w:r w:rsidRPr="00DF7C87">
        <w:rPr>
          <w:rFonts w:ascii="Times New Roman" w:hAnsi="Times New Roman" w:cs="Times New Roman"/>
        </w:rPr>
        <w:lastRenderedPageBreak/>
        <w:t xml:space="preserve">A version of this chapter was originally published by </w:t>
      </w:r>
      <w:r>
        <w:rPr>
          <w:rFonts w:ascii="Times New Roman" w:hAnsi="Times New Roman" w:cs="Times New Roman"/>
        </w:rPr>
        <w:t>Taylor Woods, Lise Comte, Pablo Tedesco, and Xingli Giam</w:t>
      </w:r>
      <w:r w:rsidRPr="00DF7C87">
        <w:rPr>
          <w:rFonts w:ascii="Times New Roman" w:hAnsi="Times New Roman" w:cs="Times New Roman"/>
        </w:rPr>
        <w:t>:</w:t>
      </w:r>
    </w:p>
    <w:p w14:paraId="50F7828D" w14:textId="54602695" w:rsidR="004C401A" w:rsidRPr="00DF7C87" w:rsidRDefault="004C401A" w:rsidP="00363503">
      <w:pPr>
        <w:jc w:val="both"/>
        <w:rPr>
          <w:rFonts w:ascii="Times New Roman" w:hAnsi="Times New Roman" w:cs="Times New Roman"/>
        </w:rPr>
      </w:pPr>
      <w:r w:rsidRPr="00DF7C87">
        <w:rPr>
          <w:rFonts w:ascii="Times New Roman" w:hAnsi="Times New Roman" w:cs="Times New Roman"/>
        </w:rPr>
        <w:tab/>
      </w:r>
      <w:r>
        <w:rPr>
          <w:rFonts w:ascii="Times New Roman" w:hAnsi="Times New Roman" w:cs="Times New Roman"/>
        </w:rPr>
        <w:t>Taylor Woods</w:t>
      </w:r>
      <w:r w:rsidRPr="00DF7C87">
        <w:rPr>
          <w:rFonts w:ascii="Times New Roman" w:hAnsi="Times New Roman" w:cs="Times New Roman"/>
        </w:rPr>
        <w:t xml:space="preserve">, </w:t>
      </w:r>
      <w:r>
        <w:rPr>
          <w:rFonts w:ascii="Times New Roman" w:hAnsi="Times New Roman" w:cs="Times New Roman"/>
        </w:rPr>
        <w:t>Lise Comte, Pablo Tedesco, Xingli Giam</w:t>
      </w:r>
      <w:r w:rsidRPr="00DF7C87">
        <w:rPr>
          <w:rFonts w:ascii="Times New Roman" w:hAnsi="Times New Roman" w:cs="Times New Roman"/>
        </w:rPr>
        <w:t>. “</w:t>
      </w:r>
      <w:r>
        <w:rPr>
          <w:rFonts w:ascii="Times New Roman" w:hAnsi="Times New Roman" w:cs="Times New Roman"/>
        </w:rPr>
        <w:t>Testing the diversity-biomass relationship in riverine fish communities</w:t>
      </w:r>
      <w:r w:rsidRPr="00DF7C87">
        <w:rPr>
          <w:rFonts w:ascii="Times New Roman" w:hAnsi="Times New Roman" w:cs="Times New Roman"/>
        </w:rPr>
        <w:t xml:space="preserve">.” </w:t>
      </w:r>
      <w:r>
        <w:rPr>
          <w:rFonts w:ascii="Times New Roman" w:hAnsi="Times New Roman" w:cs="Times New Roman"/>
          <w:i/>
        </w:rPr>
        <w:t>Global Ecology and Biogeography</w:t>
      </w:r>
      <w:r w:rsidRPr="00DF7C87">
        <w:rPr>
          <w:rFonts w:ascii="Times New Roman" w:hAnsi="Times New Roman" w:cs="Times New Roman"/>
          <w:i/>
        </w:rPr>
        <w:t xml:space="preserve"> </w:t>
      </w:r>
      <w:r w:rsidR="00761310">
        <w:rPr>
          <w:rFonts w:ascii="Times New Roman" w:hAnsi="Times New Roman" w:cs="Times New Roman"/>
          <w:iCs/>
        </w:rPr>
        <w:t xml:space="preserve"> 29 </w:t>
      </w:r>
      <w:r w:rsidRPr="00DF7C87">
        <w:rPr>
          <w:rFonts w:ascii="Times New Roman" w:hAnsi="Times New Roman" w:cs="Times New Roman"/>
        </w:rPr>
        <w:t>(</w:t>
      </w:r>
      <w:r>
        <w:rPr>
          <w:rFonts w:ascii="Times New Roman" w:hAnsi="Times New Roman" w:cs="Times New Roman"/>
        </w:rPr>
        <w:t>2020</w:t>
      </w:r>
      <w:r w:rsidRPr="00DF7C87">
        <w:rPr>
          <w:rFonts w:ascii="Times New Roman" w:hAnsi="Times New Roman" w:cs="Times New Roman"/>
        </w:rPr>
        <w:t>)</w:t>
      </w:r>
      <w:r w:rsidR="00761310">
        <w:rPr>
          <w:rFonts w:ascii="Times New Roman" w:hAnsi="Times New Roman" w:cs="Times New Roman"/>
        </w:rPr>
        <w:t>: 1743-1757</w:t>
      </w:r>
      <w:r w:rsidRPr="00DF7C87">
        <w:rPr>
          <w:rFonts w:ascii="Times New Roman" w:hAnsi="Times New Roman" w:cs="Times New Roman"/>
        </w:rPr>
        <w:t xml:space="preserve">. </w:t>
      </w:r>
    </w:p>
    <w:p w14:paraId="42583284" w14:textId="77777777" w:rsidR="004C401A" w:rsidRPr="00DF7C87" w:rsidRDefault="004C401A" w:rsidP="00363503">
      <w:pPr>
        <w:jc w:val="both"/>
        <w:rPr>
          <w:rFonts w:ascii="Times New Roman" w:hAnsi="Times New Roman" w:cs="Times New Roman"/>
        </w:rPr>
      </w:pPr>
    </w:p>
    <w:p w14:paraId="4C96BCE2" w14:textId="44505228" w:rsidR="004C401A" w:rsidRPr="00DF7C87" w:rsidRDefault="004C401A" w:rsidP="00363503">
      <w:pPr>
        <w:ind w:firstLine="720"/>
        <w:jc w:val="both"/>
        <w:rPr>
          <w:rFonts w:ascii="Times New Roman" w:hAnsi="Times New Roman" w:cs="Times New Roman"/>
        </w:rPr>
      </w:pPr>
      <w:r w:rsidRPr="00DF7C87">
        <w:rPr>
          <w:rFonts w:ascii="Times New Roman" w:hAnsi="Times New Roman" w:cs="Times New Roman"/>
        </w:rPr>
        <w:t>T</w:t>
      </w:r>
      <w:r>
        <w:rPr>
          <w:rFonts w:ascii="Times New Roman" w:hAnsi="Times New Roman" w:cs="Times New Roman"/>
        </w:rPr>
        <w:t xml:space="preserve">aylor Woods, </w:t>
      </w:r>
      <w:r w:rsidR="00761310">
        <w:rPr>
          <w:rFonts w:ascii="Times New Roman" w:hAnsi="Times New Roman" w:cs="Times New Roman"/>
        </w:rPr>
        <w:t>Lise Comte, Pablo Tedesco,</w:t>
      </w:r>
      <w:r>
        <w:rPr>
          <w:rFonts w:ascii="Times New Roman" w:hAnsi="Times New Roman" w:cs="Times New Roman"/>
        </w:rPr>
        <w:t xml:space="preserve"> and Xingli Giam conceptualized the project. Taylor Woods led the</w:t>
      </w:r>
      <w:r w:rsidR="00761310">
        <w:rPr>
          <w:rFonts w:ascii="Times New Roman" w:hAnsi="Times New Roman" w:cs="Times New Roman"/>
        </w:rPr>
        <w:t xml:space="preserve"> analysis and created figures with input from all authors. Taylor Woods led</w:t>
      </w:r>
      <w:r>
        <w:rPr>
          <w:rFonts w:ascii="Times New Roman" w:hAnsi="Times New Roman" w:cs="Times New Roman"/>
        </w:rPr>
        <w:t xml:space="preserve"> writing</w:t>
      </w:r>
      <w:r w:rsidR="00761310">
        <w:rPr>
          <w:rFonts w:ascii="Times New Roman" w:hAnsi="Times New Roman" w:cs="Times New Roman"/>
        </w:rPr>
        <w:t xml:space="preserve"> of the first draft and a</w:t>
      </w:r>
      <w:r>
        <w:rPr>
          <w:rFonts w:ascii="Times New Roman" w:hAnsi="Times New Roman" w:cs="Times New Roman"/>
        </w:rPr>
        <w:t>ll authors contributed to manuscript revisions and editing.</w:t>
      </w:r>
    </w:p>
    <w:p w14:paraId="73C74338" w14:textId="77777777" w:rsidR="004C401A" w:rsidRDefault="004C401A" w:rsidP="004C401A">
      <w:pPr>
        <w:pStyle w:val="Heading2"/>
        <w:jc w:val="left"/>
        <w:rPr>
          <w:rFonts w:ascii="Times New Roman" w:hAnsi="Times New Roman" w:cs="Times New Roman"/>
          <w:sz w:val="24"/>
          <w:szCs w:val="24"/>
        </w:rPr>
      </w:pPr>
    </w:p>
    <w:p w14:paraId="522FF55E" w14:textId="2617A2A4" w:rsidR="00236E6D" w:rsidRPr="00DF7C87" w:rsidRDefault="00CE4D4B" w:rsidP="005E54E2">
      <w:pPr>
        <w:pStyle w:val="Heading2"/>
        <w:rPr>
          <w:rFonts w:ascii="Times New Roman" w:hAnsi="Times New Roman" w:cs="Times New Roman"/>
          <w:sz w:val="24"/>
          <w:szCs w:val="24"/>
        </w:rPr>
      </w:pPr>
      <w:bookmarkStart w:id="41" w:name="_Toc100607892"/>
      <w:r w:rsidRPr="00DF7C87">
        <w:rPr>
          <w:rFonts w:ascii="Times New Roman" w:hAnsi="Times New Roman" w:cs="Times New Roman"/>
          <w:sz w:val="24"/>
          <w:szCs w:val="24"/>
        </w:rPr>
        <w:t>Abstract</w:t>
      </w:r>
      <w:bookmarkEnd w:id="40"/>
      <w:bookmarkEnd w:id="41"/>
    </w:p>
    <w:p w14:paraId="2FEC5557" w14:textId="7B63842D" w:rsidR="00CE4D4B" w:rsidRPr="00DF7C87" w:rsidRDefault="004E7D74" w:rsidP="00463612">
      <w:pPr>
        <w:ind w:firstLine="720"/>
        <w:jc w:val="both"/>
        <w:rPr>
          <w:rFonts w:ascii="Times New Roman" w:hAnsi="Times New Roman" w:cs="Times New Roman"/>
        </w:rPr>
      </w:pPr>
      <w:r w:rsidRPr="004E7D74">
        <w:rPr>
          <w:rFonts w:ascii="Times New Roman" w:hAnsi="Times New Roman" w:cs="Times New Roman"/>
        </w:rPr>
        <w:t>We analyzed the relationship between biodiversity (species richness and functional diversity) and fish community biomass at 1357 stream sites distributed throughout France. We used piecewise path analysis to quantify effects of abiotic and biodiversity variables on biomass and assess relative contributions of native and non-native species on the diversity-biomass relationship.</w:t>
      </w:r>
      <w:r>
        <w:rPr>
          <w:rFonts w:ascii="Times New Roman" w:hAnsi="Times New Roman" w:cs="Times New Roman"/>
        </w:rPr>
        <w:t xml:space="preserve"> </w:t>
      </w:r>
      <w:r w:rsidRPr="004E7D74">
        <w:rPr>
          <w:rFonts w:ascii="Times New Roman" w:hAnsi="Times New Roman" w:cs="Times New Roman"/>
        </w:rPr>
        <w:t>Biodiversity showed a direct positive relationship with biomass after controlling for sampling effort, and direct effects of biodiversity variables on community biomass exceeded those of climate and physical habitat variables. Our analysis indicates that positive effects of species richness on biomass exceeded those of functional diversity. Indirect effects of abiotic variables mediated by biodiversity metrics indicated biomass increased in warmer, lowland habitats. Human impact had no effect on native biodiversity, but positively affected non-native biodiversity</w:t>
      </w:r>
      <w:r w:rsidR="00CE4D4B" w:rsidRPr="00DF7C87">
        <w:rPr>
          <w:rFonts w:ascii="Times New Roman" w:hAnsi="Times New Roman" w:cs="Times New Roman"/>
        </w:rPr>
        <w:t>.</w:t>
      </w:r>
      <w:r w:rsidRPr="004E7D74">
        <w:t xml:space="preserve"> </w:t>
      </w:r>
      <w:r w:rsidRPr="004E7D74">
        <w:rPr>
          <w:rFonts w:ascii="Times New Roman" w:hAnsi="Times New Roman" w:cs="Times New Roman"/>
        </w:rPr>
        <w:t>We provide evidence that direct effects of biodiversity on community biomass outweigh those of abiotic variables in riverine fish communities, but resource partitioning alone is unlikely to drive biodiversity effects on biomass in this system. Quantifying the relative roles of anthropogenic impacts, biodiversity, and environmental context in regulating ecosystem functioning will be necessary to understand potential consequences of ongoing global change</w:t>
      </w:r>
      <w:r>
        <w:rPr>
          <w:rFonts w:ascii="Times New Roman" w:hAnsi="Times New Roman" w:cs="Times New Roman"/>
        </w:rPr>
        <w:t>.</w:t>
      </w:r>
    </w:p>
    <w:p w14:paraId="1892B1B7" w14:textId="77777777" w:rsidR="00CE4D4B" w:rsidRPr="00DF7C87" w:rsidRDefault="00CE4D4B" w:rsidP="005E54E2">
      <w:pPr>
        <w:pStyle w:val="Heading2"/>
        <w:rPr>
          <w:rFonts w:ascii="Times New Roman" w:hAnsi="Times New Roman" w:cs="Times New Roman"/>
          <w:sz w:val="24"/>
          <w:szCs w:val="24"/>
        </w:rPr>
      </w:pPr>
      <w:bookmarkStart w:id="42" w:name="_Toc289175835"/>
      <w:bookmarkStart w:id="43" w:name="_Toc100607893"/>
      <w:r w:rsidRPr="00DF7C87">
        <w:rPr>
          <w:rFonts w:ascii="Times New Roman" w:hAnsi="Times New Roman" w:cs="Times New Roman"/>
          <w:sz w:val="24"/>
          <w:szCs w:val="24"/>
        </w:rPr>
        <w:t>Introduction</w:t>
      </w:r>
      <w:bookmarkEnd w:id="42"/>
      <w:bookmarkEnd w:id="43"/>
    </w:p>
    <w:p w14:paraId="55F2A9AC" w14:textId="77777777" w:rsidR="004E7D74" w:rsidRPr="004E7D74" w:rsidRDefault="004E7D74" w:rsidP="00363503">
      <w:pPr>
        <w:ind w:firstLine="720"/>
        <w:jc w:val="both"/>
        <w:rPr>
          <w:rFonts w:ascii="Times New Roman" w:hAnsi="Times New Roman" w:cs="Times New Roman"/>
        </w:rPr>
      </w:pPr>
      <w:r w:rsidRPr="004E7D74">
        <w:rPr>
          <w:rFonts w:ascii="Times New Roman" w:hAnsi="Times New Roman" w:cs="Times New Roman"/>
        </w:rPr>
        <w:t xml:space="preserve">The biodiversity-ecosystem functioning relationship (BEF) has received considerable research attention in ecological studies over the past several decades (Tilman et al., 2014; Isbell et al., 2015; Lefcheck &amp; Duffy, 2015; Duffy et al., 2016; Ammer, 2019; Le Bagousse-Pinguet et al., 2019) as researchers seek to better understand the effects of ongoing biodiversity loss (Alroy, 2017; Giam, 2017) on ecosystem functioning (Naeem et al., 1994; Chapin III et al., 2000; Duffy, 2009; Hooper et al., 2012; Macdougall et al., 2013). The BEF describes how ecosystem functioning varies as a direct consequence of the level of biodiversity in a given system (Tilman et al., 1997). Extensive literature on this topic generally supports a positive BEF (Loreau et al., 2001; Hooper et al., 2005; Cardinale et al., 2007) that may arise through a variety of mechanisms. For example, positive effects of local biodiversity on ecosystem functioning may arise via niche partitioning that enhances resource use efficiency in biodiverse systems (i.e., niche complementarity; </w:t>
      </w:r>
      <w:r w:rsidRPr="004E7D74">
        <w:rPr>
          <w:rFonts w:ascii="Times New Roman" w:hAnsi="Times New Roman" w:cs="Times New Roman"/>
        </w:rPr>
        <w:lastRenderedPageBreak/>
        <w:t>Tilman et al., 1997). Alternatively, biodiverse communities may be more likely to contain species that are highly productive under local environmental conditions; and therefore, increased biodiversity may promote ecosystem functioning via ‘selection effects’ (Tilman et al., 1997; Loreau, 2000; Loreau et al., 2001, García et al. 2018, Isbell et al. 2018).</w:t>
      </w:r>
    </w:p>
    <w:p w14:paraId="59641069" w14:textId="77777777" w:rsidR="004E7D74" w:rsidRPr="004E7D74" w:rsidRDefault="004E7D74" w:rsidP="00363503">
      <w:pPr>
        <w:ind w:firstLine="720"/>
        <w:jc w:val="both"/>
        <w:rPr>
          <w:rFonts w:ascii="Times New Roman" w:hAnsi="Times New Roman" w:cs="Times New Roman"/>
        </w:rPr>
      </w:pPr>
      <w:r w:rsidRPr="004E7D74">
        <w:rPr>
          <w:rFonts w:ascii="Times New Roman" w:hAnsi="Times New Roman" w:cs="Times New Roman"/>
        </w:rPr>
        <w:t xml:space="preserve">Functional traits have become a key component of studies investigating BEF because they characterize how organisms interact with their abiotic and biotic environment (Petchey &amp; Gaston, 2006), and are therefore useful to test the existence of niche-based mechanisms for postive BEF (Cardinale et al., 2012; Cadotte, 2017). Direct comparisons of functional and taxonomic diversity metrics on ecosystem functioning often indicate that functional effects can outweigh those of their taxonomic counterparts, supporting predictions of the niche complementarity hypothesis (Mokany et al., 2008; Gagic et al., 2015; Lefcheck &amp; Duffy, 2015). However, taxonomic diversity is also important to consider because it can reveal effects of biodiversity on ecosystem functioning that may arise independently of functional diversity properties. For example, species richness effects on ecosystem functioning may exceed those of functional metrics if niche differences among cooccurring species rely upon variables unrelated to functional traits or are not related to traits used to quantify functional diversity metrics (Craven et al., 2018). Therefore, adequate assessment of BEF may benefit from incorporating both functional and taxonomic diversity metrics to account for multiple pathways through which biodiversity may enhance ecosystem functioning (Cadotte et al., 2011; Roscher et al., 2012). </w:t>
      </w:r>
    </w:p>
    <w:p w14:paraId="6ED67FAE" w14:textId="77777777" w:rsidR="004E7D74" w:rsidRPr="004E7D74" w:rsidRDefault="004E7D74" w:rsidP="00363503">
      <w:pPr>
        <w:ind w:firstLine="720"/>
        <w:jc w:val="both"/>
        <w:rPr>
          <w:rFonts w:ascii="Times New Roman" w:hAnsi="Times New Roman" w:cs="Times New Roman"/>
        </w:rPr>
      </w:pPr>
      <w:r w:rsidRPr="004E7D74">
        <w:rPr>
          <w:rFonts w:ascii="Times New Roman" w:hAnsi="Times New Roman" w:cs="Times New Roman"/>
        </w:rPr>
        <w:t xml:space="preserve">Abiotic factors that affect the magnitude of biodiversity in a system are also important to include in BEF analyses (Cardinale et al., 2000; Hooper et al., 2005; Fornara &amp; Tilman, 2009). For example, gradients in climate (Lavers &amp; Field, 2006; Ma et al., 2010) and topography (Homeier et al., 2009; Belote et al., 2011) are well-established drivers of diversity; and anthropogenic impacts may cause deviations from BEF observed in undisturbed communities (Flynn et al., 2009; Mayfield et al., 2010; Allan et al., 2015). Considering the many factors that may influence BEF in natural systems, documenting these interrelationships is crucial to understand potential impacts of global change and biodiversity loss on ecosystem functioning (Loreau et al., 2001; Srivastava &amp; Vellend, 2005; Allan et al., 2015). </w:t>
      </w:r>
    </w:p>
    <w:p w14:paraId="35ED39DC" w14:textId="77777777" w:rsidR="004E7D74" w:rsidRPr="004E7D74" w:rsidRDefault="004E7D74" w:rsidP="00363503">
      <w:pPr>
        <w:ind w:firstLine="720"/>
        <w:jc w:val="both"/>
        <w:rPr>
          <w:rFonts w:ascii="Times New Roman" w:hAnsi="Times New Roman" w:cs="Times New Roman"/>
        </w:rPr>
      </w:pPr>
      <w:r w:rsidRPr="004E7D74">
        <w:rPr>
          <w:rFonts w:ascii="Times New Roman" w:hAnsi="Times New Roman" w:cs="Times New Roman"/>
        </w:rPr>
        <w:t xml:space="preserve">Despite the extensive literature supporting a positive BEF, two main limitations of previous studies prevent broader understanding of the circumstances and contexts over which the relationship applies (Kaiser, 2000). First, the majority of BEF studies are based on experimental designs involving arbitrarily selected assemblages composed of limited numbers of species at relatively small spatial scales (Hodgson et al., 2002; Naeem, 2002). While experimental studies are valuable in isolating the biodiversity effect from other confounding factors, they may overlook important processes (e.g., community assembly) or anthropogenic influences (e.g., non-native species introductions) that operate in natural systems (Lepš, 2004; Jiang et al., 2009). Understanding the relative effects of biodiversity on BEF in natural systems may thus be more informative to quantify potential impacts of biodiversity loss on ecosystem functioning, compared to experimental designs (Duffy et al., 2017). Second, existing BEF research has focused on a limited set of taxonomic groups and systems: grassland (Lambers et al., 2004; Isbell et al., 2011), forest (Paquette &amp; </w:t>
      </w:r>
      <w:r w:rsidRPr="004E7D74">
        <w:rPr>
          <w:rFonts w:ascii="Times New Roman" w:hAnsi="Times New Roman" w:cs="Times New Roman"/>
        </w:rPr>
        <w:lastRenderedPageBreak/>
        <w:t xml:space="preserve">Messier, 2011; Jucker et al., 2014; Forrester &amp; Bauhus, 2016; Liang et al., 2016; Jactel et al., 2018), aquatic primary producer (Dodson et al., 2000; Cardinale, 2011; Santos et al., 2015), and marine fish (Mora et al., 2011; Duffy et al., 2016) communities have constituted the taxonomic basis for the majority of research on BEF. Expanding analyses to previously understudied systems across a range of natural environmental contexts could thus provide additional insights into the generality of these relationships and potential benefits of biodiversity conservation for preserving ecosystem functioning, globally (Srivastava &amp; Vellend, 2005). </w:t>
      </w:r>
    </w:p>
    <w:p w14:paraId="68D18C4E" w14:textId="77777777" w:rsidR="004E7D74" w:rsidRPr="004E7D74" w:rsidRDefault="004E7D74" w:rsidP="00363503">
      <w:pPr>
        <w:ind w:firstLine="720"/>
        <w:jc w:val="both"/>
        <w:rPr>
          <w:rFonts w:ascii="Times New Roman" w:hAnsi="Times New Roman" w:cs="Times New Roman"/>
        </w:rPr>
      </w:pPr>
      <w:r w:rsidRPr="004E7D74">
        <w:rPr>
          <w:rFonts w:ascii="Times New Roman" w:hAnsi="Times New Roman" w:cs="Times New Roman"/>
        </w:rPr>
        <w:t xml:space="preserve">Focusing on an understudied group with regards to BEF, we test and explore this relationship in stream fish communities. As a model study system, we use the extensively sampled streams in France where the wide geographic coverage of surveys encompasses a variety of freshwater habitats and thus permits a robust analysis of BEF in natural, complex stream systems at a previously uninvestigated extent. We correlate community biomass with biodiversity drivers and assess whether biodiversity exerts a stronger influence on biomass than environmental variables. Specifically, we test the hypothesis that complementary resource use drives the magnitude of community biomass in more biodiverse stream communities [hereafter, the diversity-biomass relationship (DBR)]. To support this hypothesis, we predicted that: (1) biodiversity metrics will show a positive relationship with community biomass in natural stream systems, (2) functional diversity effects on biomass will exceed those of species richness, and (3) the influences of native biodiversity on biomass will be greater than those of non-native biodiversity. </w:t>
      </w:r>
    </w:p>
    <w:p w14:paraId="06BB30C5" w14:textId="3E55646A" w:rsidR="00236E6D" w:rsidRPr="00DF7C87" w:rsidRDefault="004E7D74" w:rsidP="00363503">
      <w:pPr>
        <w:ind w:firstLine="720"/>
        <w:jc w:val="both"/>
        <w:rPr>
          <w:rFonts w:ascii="Times New Roman" w:hAnsi="Times New Roman" w:cs="Times New Roman"/>
        </w:rPr>
      </w:pPr>
      <w:r w:rsidRPr="004E7D74">
        <w:rPr>
          <w:rFonts w:ascii="Times New Roman" w:hAnsi="Times New Roman" w:cs="Times New Roman"/>
        </w:rPr>
        <w:t>Understanding the role of biodiversity in rivers and streams is important because these systems harbor more imperiled species per unit area, compared to terrestrial and marine environments (Balian et al., 2008; Harrison et al., 2018). Maintaining ecosystem functioning in these systems is important because of the many ecosystem services freshwaters provide to human populations (Dodds et al., 2013). For example, maintenance of water quality as well as recreational fishing, commercial fisheries, and aquaculture industries are services provided by freshwater fish that benefit the public health and economic well-being of human societies (Holmlund &amp; Hammer, 1999; Wilson &amp; Carpenter, 1999; Auerbach et al., 2014). Although it is largely unknown what role biodiversity plays in maintaining ecosystem functions in natural riverine environments, experimental evidence indicates that increasing aquatic biodiversity promotes better water quality (Cardinale et al., 2011). Therefore, adequate assessment of the threats posed to streams and rivers may require understanding the extent to which erosion of biodiversity may affect ecosystem functionin</w:t>
      </w:r>
      <w:r>
        <w:rPr>
          <w:rFonts w:ascii="Times New Roman" w:hAnsi="Times New Roman" w:cs="Times New Roman"/>
        </w:rPr>
        <w:t>g.</w:t>
      </w:r>
    </w:p>
    <w:p w14:paraId="070216AB" w14:textId="147C999D" w:rsidR="00236E6D" w:rsidRPr="009764AD" w:rsidRDefault="001E2792" w:rsidP="009764AD">
      <w:pPr>
        <w:pStyle w:val="Heading2"/>
        <w:rPr>
          <w:rFonts w:ascii="Times New Roman" w:hAnsi="Times New Roman" w:cs="Times New Roman"/>
          <w:sz w:val="24"/>
          <w:szCs w:val="24"/>
        </w:rPr>
      </w:pPr>
      <w:bookmarkStart w:id="44" w:name="_Toc100607894"/>
      <w:r>
        <w:rPr>
          <w:rFonts w:ascii="Times New Roman" w:hAnsi="Times New Roman" w:cs="Times New Roman"/>
          <w:sz w:val="24"/>
          <w:szCs w:val="24"/>
        </w:rPr>
        <w:t>Methods</w:t>
      </w:r>
      <w:bookmarkEnd w:id="44"/>
    </w:p>
    <w:p w14:paraId="762C417C" w14:textId="01820196" w:rsidR="003D63DF" w:rsidRPr="00DF7C87" w:rsidRDefault="001E2792" w:rsidP="00334400">
      <w:pPr>
        <w:pStyle w:val="Heading3"/>
        <w:rPr>
          <w:rFonts w:ascii="Times New Roman" w:hAnsi="Times New Roman" w:cs="Times New Roman"/>
          <w:szCs w:val="24"/>
        </w:rPr>
      </w:pPr>
      <w:bookmarkStart w:id="45" w:name="_Toc100607895"/>
      <w:r>
        <w:rPr>
          <w:rFonts w:ascii="Times New Roman" w:hAnsi="Times New Roman" w:cs="Times New Roman"/>
          <w:szCs w:val="24"/>
        </w:rPr>
        <w:t>Data collection</w:t>
      </w:r>
      <w:bookmarkEnd w:id="45"/>
    </w:p>
    <w:p w14:paraId="03054E57" w14:textId="53149300" w:rsidR="001E2792" w:rsidRPr="001E2792" w:rsidRDefault="001E2792" w:rsidP="00363503">
      <w:pPr>
        <w:ind w:firstLine="720"/>
        <w:jc w:val="both"/>
        <w:rPr>
          <w:rFonts w:ascii="Times New Roman" w:hAnsi="Times New Roman" w:cs="Times New Roman"/>
        </w:rPr>
      </w:pPr>
      <w:r w:rsidRPr="001E2792">
        <w:rPr>
          <w:rFonts w:ascii="Times New Roman" w:hAnsi="Times New Roman" w:cs="Times New Roman"/>
        </w:rPr>
        <w:t xml:space="preserve">We obtained fish community data from the Office français de la biodiversité (OFB) freshwater fish monitoring program (available at &lt; http://www.naiades.eaufrance.fr/ &gt;) which surveyed fish communities from 1977–2018 using a standardized electrofishing protocol based on stream width and depth. We referenced each site to its respective watershed following the French National Service for Water Data and Common Repositories Management watershed dataset (Sandre, 2018). We restricted our dataset to </w:t>
      </w:r>
      <w:r w:rsidRPr="001E2792">
        <w:rPr>
          <w:rFonts w:ascii="Times New Roman" w:hAnsi="Times New Roman" w:cs="Times New Roman"/>
        </w:rPr>
        <w:lastRenderedPageBreak/>
        <w:t xml:space="preserve">sites sampled by backpack electrofishing using two passes to minimize potentially confounding effects of variable efficiency of different sampling gears. In addition to controlling for the number of passes at each site, we retained the surface area of the stream reach sampled (sampled area) for each survey to control for potential variation in sampling effort (Gotelli &amp; Colwell, 2001; Table </w:t>
      </w:r>
      <w:r w:rsidR="003A33A2">
        <w:rPr>
          <w:rFonts w:ascii="Times New Roman" w:hAnsi="Times New Roman" w:cs="Times New Roman"/>
        </w:rPr>
        <w:t>4</w:t>
      </w:r>
      <w:r w:rsidRPr="001E2792">
        <w:rPr>
          <w:rFonts w:ascii="Times New Roman" w:hAnsi="Times New Roman" w:cs="Times New Roman"/>
        </w:rPr>
        <w:t>). We temporally restricted our dataset to 1992–2012, a period which occurred after major climatic shifts across Europe in the preceding decade (Reid et al., 2016), and therefore these occurrence records likely represented similar, contemporary climatic conditions. We selected only sampling events from low flow periods (April–September) to minimize potential effects of seasonal bias on biomass measures. We also removed surveys in which brown trout (</w:t>
      </w:r>
      <w:r w:rsidRPr="009E4E49">
        <w:rPr>
          <w:rFonts w:ascii="Times New Roman" w:hAnsi="Times New Roman" w:cs="Times New Roman"/>
          <w:i/>
          <w:iCs/>
        </w:rPr>
        <w:t>Salmo trutta</w:t>
      </w:r>
      <w:r w:rsidRPr="001E2792">
        <w:rPr>
          <w:rFonts w:ascii="Times New Roman" w:hAnsi="Times New Roman" w:cs="Times New Roman"/>
        </w:rPr>
        <w:t>) was the only species recorded because these streams are likely stocked (Bohling et al., 2016), which may confound our analyses.</w:t>
      </w:r>
    </w:p>
    <w:p w14:paraId="7D9B0118" w14:textId="1E9C415C" w:rsidR="001E2792" w:rsidRPr="001E2792" w:rsidRDefault="001E2792" w:rsidP="00363503">
      <w:pPr>
        <w:ind w:firstLine="720"/>
        <w:jc w:val="both"/>
        <w:rPr>
          <w:rFonts w:ascii="Times New Roman" w:hAnsi="Times New Roman" w:cs="Times New Roman"/>
        </w:rPr>
      </w:pPr>
      <w:r w:rsidRPr="001E2792">
        <w:rPr>
          <w:rFonts w:ascii="Times New Roman" w:hAnsi="Times New Roman" w:cs="Times New Roman"/>
        </w:rPr>
        <w:t>Next, we performed additional data screening procedures for statistical considerations. First, for any instance in the dataset where a site was surveyed during multiple years, we retained only the most recent survey to prevent pseudoreplication. Second, we constrained surveys to those with ≥ 100 individuals sampled and watersheds containing at least five surveys, to minimize potential biases from under sampling within surveys and watersheds, respectively (mean number of individuals per site = 697, SD = 859.2; mean site density per watershed = 0.004 sites/km</w:t>
      </w:r>
      <w:r w:rsidRPr="009E4E49">
        <w:rPr>
          <w:rFonts w:ascii="Times New Roman" w:hAnsi="Times New Roman" w:cs="Times New Roman"/>
          <w:vertAlign w:val="superscript"/>
        </w:rPr>
        <w:t>2</w:t>
      </w:r>
      <w:r w:rsidRPr="001E2792">
        <w:rPr>
          <w:rFonts w:ascii="Times New Roman" w:hAnsi="Times New Roman" w:cs="Times New Roman"/>
        </w:rPr>
        <w:t>, SD = 0.003). To examine the sensitivity of our results to potential spatial and temporal variation in sampling effort, we assessed effects of alternative survey selection criteria and found that results were qualitatively similar (i.e., the magnitude of predictor variable effects on biomass were comparable;</w:t>
      </w:r>
      <w:r w:rsidR="00681E5F">
        <w:rPr>
          <w:rFonts w:ascii="Times New Roman" w:hAnsi="Times New Roman" w:cs="Times New Roman"/>
        </w:rPr>
        <w:t xml:space="preserve"> Table 6</w:t>
      </w:r>
      <w:r w:rsidRPr="001E2792">
        <w:rPr>
          <w:rFonts w:ascii="Times New Roman" w:hAnsi="Times New Roman" w:cs="Times New Roman"/>
        </w:rPr>
        <w:t>); therefore we consider our results robust to potential sampling biases usual in observational studies that may affect inferences regarding biodiversity variables.</w:t>
      </w:r>
    </w:p>
    <w:p w14:paraId="3E85FD57" w14:textId="7E20F06E" w:rsidR="001E2792" w:rsidRPr="001E2792" w:rsidRDefault="001E2792" w:rsidP="009764AD">
      <w:pPr>
        <w:ind w:firstLine="720"/>
        <w:jc w:val="both"/>
        <w:rPr>
          <w:rFonts w:ascii="Times New Roman" w:hAnsi="Times New Roman" w:cs="Times New Roman"/>
        </w:rPr>
      </w:pPr>
      <w:r w:rsidRPr="001E2792">
        <w:rPr>
          <w:rFonts w:ascii="Times New Roman" w:hAnsi="Times New Roman" w:cs="Times New Roman"/>
        </w:rPr>
        <w:t>In total, the 1357 sites retained for our analysis spanned a wide variety of environments along longitudinal stream gradients (mean upstream catchment area = 346.3 km</w:t>
      </w:r>
      <w:r w:rsidRPr="009E4E49">
        <w:rPr>
          <w:rFonts w:ascii="Times New Roman" w:hAnsi="Times New Roman" w:cs="Times New Roman"/>
          <w:vertAlign w:val="superscript"/>
        </w:rPr>
        <w:t>2</w:t>
      </w:r>
      <w:r w:rsidRPr="001E2792">
        <w:rPr>
          <w:rFonts w:ascii="Times New Roman" w:hAnsi="Times New Roman" w:cs="Times New Roman"/>
        </w:rPr>
        <w:t>, SD = 3019.1) and across watersheds (75 watersheds out of 184 with a mean area = 2945 km</w:t>
      </w:r>
      <w:r w:rsidRPr="00A52778">
        <w:rPr>
          <w:rFonts w:ascii="Times New Roman" w:hAnsi="Times New Roman" w:cs="Times New Roman"/>
          <w:vertAlign w:val="superscript"/>
        </w:rPr>
        <w:t>2</w:t>
      </w:r>
      <w:r w:rsidRPr="001E2792">
        <w:rPr>
          <w:rFonts w:ascii="Times New Roman" w:hAnsi="Times New Roman" w:cs="Times New Roman"/>
        </w:rPr>
        <w:t xml:space="preserve">, SD = 2310; Fig. </w:t>
      </w:r>
      <w:r w:rsidR="00A52778">
        <w:rPr>
          <w:rFonts w:ascii="Times New Roman" w:hAnsi="Times New Roman" w:cs="Times New Roman"/>
        </w:rPr>
        <w:t>9</w:t>
      </w:r>
      <w:r w:rsidRPr="001E2792">
        <w:rPr>
          <w:rFonts w:ascii="Times New Roman" w:hAnsi="Times New Roman" w:cs="Times New Roman"/>
        </w:rPr>
        <w:t>). The substantial environmental variation encompassed by the dataset allowed us to achieve a more general understanding of BEF across a broad diversity of habitats and gradients in natural, complex lotic systems.</w:t>
      </w:r>
    </w:p>
    <w:p w14:paraId="3554DAAF" w14:textId="01DC2477" w:rsidR="00066DE6" w:rsidRDefault="001E2792" w:rsidP="00363503">
      <w:pPr>
        <w:ind w:firstLine="720"/>
        <w:jc w:val="both"/>
        <w:rPr>
          <w:rFonts w:ascii="Times New Roman" w:hAnsi="Times New Roman" w:cs="Times New Roman"/>
        </w:rPr>
      </w:pPr>
      <w:r w:rsidRPr="001E2792">
        <w:rPr>
          <w:rFonts w:ascii="Times New Roman" w:hAnsi="Times New Roman" w:cs="Times New Roman"/>
        </w:rPr>
        <w:t xml:space="preserve">We selected total standing biomass as a measure of ecosystem functioning for each survey because biomass directly relates to metabolic constraints on energy use and has previously been used as an informative measure of ecosystem functioning for aquatic vertebrates (Mora et al., 2011; Duffy et al., 2016). The OFB dataset provided pooled biomass (weight in grams) measurements for all individuals of each species, therefore we summed biomass across all species for each sampling event to estimate total standing biomass in each site. </w:t>
      </w:r>
    </w:p>
    <w:p w14:paraId="756F8EC4" w14:textId="77777777" w:rsidR="00066DE6" w:rsidRDefault="00066DE6">
      <w:pPr>
        <w:rPr>
          <w:rFonts w:ascii="Times New Roman" w:hAnsi="Times New Roman" w:cs="Times New Roman"/>
        </w:rPr>
      </w:pPr>
      <w:r>
        <w:rPr>
          <w:rFonts w:ascii="Times New Roman" w:hAnsi="Times New Roman" w:cs="Times New Roman"/>
        </w:rPr>
        <w:br w:type="page"/>
      </w:r>
    </w:p>
    <w:p w14:paraId="43C97FD2" w14:textId="5719FF5F" w:rsidR="00066DE6" w:rsidRDefault="003A33A2" w:rsidP="00066DE6">
      <w:pPr>
        <w:pStyle w:val="Caption"/>
        <w:jc w:val="both"/>
        <w:rPr>
          <w:rFonts w:ascii="Times New Roman" w:hAnsi="Times New Roman" w:cs="Times New Roman"/>
          <w:b w:val="0"/>
          <w:bCs w:val="0"/>
        </w:rPr>
      </w:pPr>
      <w:bookmarkStart w:id="46" w:name="_Toc93411175"/>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4</w:t>
      </w:r>
      <w:r w:rsidRPr="00DF7C87">
        <w:rPr>
          <w:rFonts w:ascii="Times New Roman" w:hAnsi="Times New Roman" w:cs="Times New Roman"/>
        </w:rPr>
        <w:fldChar w:fldCharType="end"/>
      </w:r>
      <w:r w:rsidRPr="00DF7C87">
        <w:rPr>
          <w:rFonts w:ascii="Times New Roman" w:hAnsi="Times New Roman" w:cs="Times New Roman"/>
        </w:rPr>
        <w:t xml:space="preserve">. </w:t>
      </w:r>
      <w:r w:rsidR="00066DE6" w:rsidRPr="00066DE6">
        <w:rPr>
          <w:rFonts w:ascii="Times New Roman" w:hAnsi="Times New Roman" w:cs="Times New Roman"/>
        </w:rPr>
        <w:t xml:space="preserve">Predictor variables included in all path models predicting fish biomass (weight), including descriptions, units, hypothesized direct effects on biomass [+ (positive) or – (negative)], and references for predicted effects: </w:t>
      </w:r>
      <w:r w:rsidR="00066DE6" w:rsidRPr="00066DE6">
        <w:rPr>
          <w:rFonts w:ascii="Times New Roman" w:hAnsi="Times New Roman" w:cs="Times New Roman"/>
          <w:vertAlign w:val="superscript"/>
        </w:rPr>
        <w:t>a</w:t>
      </w:r>
      <w:r w:rsidR="00066DE6" w:rsidRPr="00066DE6">
        <w:rPr>
          <w:rFonts w:ascii="Times New Roman" w:hAnsi="Times New Roman" w:cs="Times New Roman"/>
        </w:rPr>
        <w:t xml:space="preserve">Giam &amp; Olden (2018), </w:t>
      </w:r>
      <w:r w:rsidR="00066DE6" w:rsidRPr="00066DE6">
        <w:rPr>
          <w:rFonts w:ascii="Times New Roman" w:hAnsi="Times New Roman" w:cs="Times New Roman"/>
          <w:vertAlign w:val="superscript"/>
        </w:rPr>
        <w:t>b</w:t>
      </w:r>
      <w:r w:rsidR="00066DE6" w:rsidRPr="00066DE6">
        <w:rPr>
          <w:rFonts w:ascii="Times New Roman" w:hAnsi="Times New Roman" w:cs="Times New Roman"/>
        </w:rPr>
        <w:t xml:space="preserve">Loreau et al. (2003), </w:t>
      </w:r>
      <w:r w:rsidR="00066DE6" w:rsidRPr="00066DE6">
        <w:rPr>
          <w:rFonts w:ascii="Times New Roman" w:hAnsi="Times New Roman" w:cs="Times New Roman"/>
          <w:vertAlign w:val="superscript"/>
        </w:rPr>
        <w:t>c</w:t>
      </w:r>
      <w:r w:rsidR="00066DE6" w:rsidRPr="00066DE6">
        <w:rPr>
          <w:rFonts w:ascii="Times New Roman" w:hAnsi="Times New Roman" w:cs="Times New Roman"/>
        </w:rPr>
        <w:t xml:space="preserve">Duffy et al. (2016), </w:t>
      </w:r>
      <w:r w:rsidR="00066DE6" w:rsidRPr="00066DE6">
        <w:rPr>
          <w:rFonts w:ascii="Times New Roman" w:hAnsi="Times New Roman" w:cs="Times New Roman"/>
          <w:vertAlign w:val="superscript"/>
        </w:rPr>
        <w:t>d</w:t>
      </w:r>
      <w:r w:rsidR="00066DE6" w:rsidRPr="00066DE6">
        <w:rPr>
          <w:rFonts w:ascii="Times New Roman" w:hAnsi="Times New Roman" w:cs="Times New Roman"/>
        </w:rPr>
        <w:t xml:space="preserve">Patrick et al. (2019). </w:t>
      </w:r>
      <w:r w:rsidR="00066DE6" w:rsidRPr="00066DE6">
        <w:rPr>
          <w:rFonts w:ascii="Times New Roman" w:hAnsi="Times New Roman" w:cs="Times New Roman"/>
          <w:b w:val="0"/>
          <w:bCs w:val="0"/>
        </w:rPr>
        <w:t>Transformations applied, if applicable, are listed after units and all variables were additionally standardized prior to analysis.</w:t>
      </w:r>
      <w:bookmarkEnd w:id="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311"/>
        <w:gridCol w:w="829"/>
        <w:gridCol w:w="1345"/>
      </w:tblGrid>
      <w:tr w:rsidR="0045314D" w14:paraId="518751DE" w14:textId="77777777" w:rsidTr="002C6156">
        <w:tc>
          <w:tcPr>
            <w:tcW w:w="2157" w:type="dxa"/>
            <w:tcBorders>
              <w:top w:val="single" w:sz="4" w:space="0" w:color="auto"/>
              <w:bottom w:val="single" w:sz="4" w:space="0" w:color="auto"/>
            </w:tcBorders>
          </w:tcPr>
          <w:p w14:paraId="13963F9B" w14:textId="57E52741" w:rsidR="0045314D" w:rsidRPr="002C6156" w:rsidRDefault="0045314D" w:rsidP="0045314D">
            <w:pPr>
              <w:rPr>
                <w:rFonts w:ascii="Times New Roman" w:hAnsi="Times New Roman" w:cs="Times New Roman"/>
                <w:b/>
                <w:bCs/>
              </w:rPr>
            </w:pPr>
            <w:r w:rsidRPr="002C6156">
              <w:rPr>
                <w:rFonts w:ascii="Times New Roman" w:hAnsi="Times New Roman"/>
                <w:b/>
                <w:bCs/>
              </w:rPr>
              <w:t>Variable</w:t>
            </w:r>
          </w:p>
        </w:tc>
        <w:tc>
          <w:tcPr>
            <w:tcW w:w="4318" w:type="dxa"/>
            <w:tcBorders>
              <w:top w:val="single" w:sz="4" w:space="0" w:color="auto"/>
              <w:bottom w:val="single" w:sz="4" w:space="0" w:color="auto"/>
            </w:tcBorders>
          </w:tcPr>
          <w:p w14:paraId="0612D49C" w14:textId="0D1FD377" w:rsidR="0045314D" w:rsidRPr="002C6156" w:rsidRDefault="0045314D" w:rsidP="0045314D">
            <w:pPr>
              <w:rPr>
                <w:rFonts w:ascii="Times New Roman" w:hAnsi="Times New Roman" w:cs="Times New Roman"/>
                <w:b/>
                <w:bCs/>
              </w:rPr>
            </w:pPr>
            <w:r w:rsidRPr="002C6156">
              <w:rPr>
                <w:rFonts w:ascii="Times New Roman" w:hAnsi="Times New Roman"/>
                <w:b/>
                <w:bCs/>
              </w:rPr>
              <w:t>Definition</w:t>
            </w:r>
          </w:p>
        </w:tc>
        <w:tc>
          <w:tcPr>
            <w:tcW w:w="810" w:type="dxa"/>
            <w:tcBorders>
              <w:top w:val="single" w:sz="4" w:space="0" w:color="auto"/>
              <w:bottom w:val="single" w:sz="4" w:space="0" w:color="auto"/>
            </w:tcBorders>
          </w:tcPr>
          <w:p w14:paraId="1B731A19" w14:textId="19003075" w:rsidR="0045314D" w:rsidRPr="002C6156" w:rsidRDefault="0045314D" w:rsidP="0045314D">
            <w:pPr>
              <w:rPr>
                <w:rFonts w:ascii="Times New Roman" w:hAnsi="Times New Roman" w:cs="Times New Roman"/>
                <w:b/>
                <w:bCs/>
              </w:rPr>
            </w:pPr>
            <w:r w:rsidRPr="002C6156">
              <w:rPr>
                <w:rFonts w:ascii="Times New Roman" w:hAnsi="Times New Roman"/>
                <w:b/>
                <w:bCs/>
              </w:rPr>
              <w:t>Effect</w:t>
            </w:r>
          </w:p>
        </w:tc>
        <w:tc>
          <w:tcPr>
            <w:tcW w:w="1345" w:type="dxa"/>
            <w:tcBorders>
              <w:top w:val="single" w:sz="4" w:space="0" w:color="auto"/>
              <w:bottom w:val="single" w:sz="4" w:space="0" w:color="auto"/>
            </w:tcBorders>
          </w:tcPr>
          <w:p w14:paraId="29BCF81E" w14:textId="374FC322" w:rsidR="0045314D" w:rsidRPr="002C6156" w:rsidRDefault="0045314D" w:rsidP="0045314D">
            <w:pPr>
              <w:rPr>
                <w:rFonts w:ascii="Times New Roman" w:hAnsi="Times New Roman" w:cs="Times New Roman"/>
                <w:b/>
                <w:bCs/>
              </w:rPr>
            </w:pPr>
            <w:r w:rsidRPr="002C6156">
              <w:rPr>
                <w:rFonts w:ascii="Times New Roman" w:hAnsi="Times New Roman"/>
                <w:b/>
                <w:bCs/>
              </w:rPr>
              <w:t>Reference</w:t>
            </w:r>
          </w:p>
        </w:tc>
      </w:tr>
      <w:tr w:rsidR="0045314D" w14:paraId="676C7286" w14:textId="77777777" w:rsidTr="002C6156">
        <w:tc>
          <w:tcPr>
            <w:tcW w:w="2157" w:type="dxa"/>
            <w:tcBorders>
              <w:top w:val="single" w:sz="4" w:space="0" w:color="auto"/>
            </w:tcBorders>
          </w:tcPr>
          <w:p w14:paraId="4F5C899D" w14:textId="09FDC5E6" w:rsidR="0045314D" w:rsidRPr="002C6156" w:rsidRDefault="0045314D" w:rsidP="0045314D">
            <w:pPr>
              <w:rPr>
                <w:rFonts w:ascii="Times New Roman" w:hAnsi="Times New Roman" w:cs="Times New Roman"/>
              </w:rPr>
            </w:pPr>
            <w:r w:rsidRPr="002C6156">
              <w:rPr>
                <w:rFonts w:ascii="Times New Roman" w:hAnsi="Times New Roman"/>
              </w:rPr>
              <w:t>Catchment area</w:t>
            </w:r>
          </w:p>
        </w:tc>
        <w:tc>
          <w:tcPr>
            <w:tcW w:w="4318" w:type="dxa"/>
            <w:tcBorders>
              <w:top w:val="single" w:sz="4" w:space="0" w:color="auto"/>
            </w:tcBorders>
          </w:tcPr>
          <w:p w14:paraId="2C182F51" w14:textId="679DB429" w:rsidR="0045314D" w:rsidRPr="002C6156" w:rsidRDefault="0045314D" w:rsidP="0045314D">
            <w:pPr>
              <w:rPr>
                <w:rFonts w:ascii="Times New Roman" w:hAnsi="Times New Roman" w:cs="Times New Roman"/>
              </w:rPr>
            </w:pPr>
            <w:r w:rsidRPr="002C6156">
              <w:rPr>
                <w:rFonts w:ascii="Times New Roman" w:hAnsi="Times New Roman"/>
              </w:rPr>
              <w:t>Total upstream drainage area (km</w:t>
            </w:r>
            <w:r w:rsidRPr="002C6156">
              <w:rPr>
                <w:rFonts w:ascii="Times New Roman" w:hAnsi="Times New Roman"/>
                <w:vertAlign w:val="superscript"/>
              </w:rPr>
              <w:t>2</w:t>
            </w:r>
            <w:r w:rsidRPr="002C6156">
              <w:rPr>
                <w:rFonts w:ascii="Times New Roman" w:hAnsi="Times New Roman"/>
              </w:rPr>
              <w:t xml:space="preserve">; </w:t>
            </w:r>
            <w:r w:rsidRPr="002C6156">
              <w:rPr>
                <w:rFonts w:ascii="Times New Roman" w:hAnsi="Times New Roman"/>
                <w:i/>
              </w:rPr>
              <w:t>log</w:t>
            </w:r>
            <w:r w:rsidRPr="002C6156">
              <w:rPr>
                <w:rFonts w:ascii="Times New Roman" w:hAnsi="Times New Roman"/>
                <w:i/>
                <w:vertAlign w:val="subscript"/>
              </w:rPr>
              <w:t>10</w:t>
            </w:r>
            <w:r w:rsidRPr="002C6156">
              <w:rPr>
                <w:rFonts w:ascii="Times New Roman" w:hAnsi="Times New Roman"/>
              </w:rPr>
              <w:t>)</w:t>
            </w:r>
          </w:p>
        </w:tc>
        <w:tc>
          <w:tcPr>
            <w:tcW w:w="810" w:type="dxa"/>
            <w:tcBorders>
              <w:top w:val="single" w:sz="4" w:space="0" w:color="auto"/>
            </w:tcBorders>
          </w:tcPr>
          <w:p w14:paraId="36DC03C1" w14:textId="28157E29"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Borders>
              <w:top w:val="single" w:sz="4" w:space="0" w:color="auto"/>
            </w:tcBorders>
          </w:tcPr>
          <w:p w14:paraId="3188C7F9" w14:textId="5B95A8A2" w:rsidR="0045314D" w:rsidRPr="002C6156" w:rsidRDefault="0045314D" w:rsidP="0045314D">
            <w:pPr>
              <w:rPr>
                <w:rFonts w:ascii="Times New Roman" w:hAnsi="Times New Roman" w:cs="Times New Roman"/>
              </w:rPr>
            </w:pPr>
            <w:r w:rsidRPr="002C6156">
              <w:rPr>
                <w:rFonts w:ascii="Times New Roman" w:hAnsi="Times New Roman"/>
              </w:rPr>
              <w:t>a</w:t>
            </w:r>
          </w:p>
        </w:tc>
      </w:tr>
      <w:tr w:rsidR="0045314D" w14:paraId="51C8B0D3" w14:textId="77777777" w:rsidTr="002C6156">
        <w:tc>
          <w:tcPr>
            <w:tcW w:w="2157" w:type="dxa"/>
          </w:tcPr>
          <w:p w14:paraId="46725B11" w14:textId="17734278" w:rsidR="0045314D" w:rsidRPr="002C6156" w:rsidRDefault="0045314D" w:rsidP="0045314D">
            <w:pPr>
              <w:rPr>
                <w:rFonts w:ascii="Times New Roman" w:hAnsi="Times New Roman" w:cs="Times New Roman"/>
              </w:rPr>
            </w:pPr>
            <w:r w:rsidRPr="002C6156">
              <w:rPr>
                <w:rFonts w:ascii="Times New Roman" w:hAnsi="Times New Roman"/>
              </w:rPr>
              <w:t>Free-flowing area</w:t>
            </w:r>
          </w:p>
        </w:tc>
        <w:tc>
          <w:tcPr>
            <w:tcW w:w="4318" w:type="dxa"/>
          </w:tcPr>
          <w:p w14:paraId="2C1C7398" w14:textId="3BC9B37C" w:rsidR="0045314D" w:rsidRPr="002C6156" w:rsidRDefault="0045314D" w:rsidP="0045314D">
            <w:pPr>
              <w:rPr>
                <w:rFonts w:ascii="Times New Roman" w:hAnsi="Times New Roman" w:cs="Times New Roman"/>
              </w:rPr>
            </w:pPr>
            <w:r w:rsidRPr="002C6156">
              <w:rPr>
                <w:rFonts w:ascii="Times New Roman" w:hAnsi="Times New Roman"/>
              </w:rPr>
              <w:t>Unobstructed river area (km</w:t>
            </w:r>
            <w:r w:rsidRPr="002C6156">
              <w:rPr>
                <w:rFonts w:ascii="Times New Roman" w:hAnsi="Times New Roman"/>
                <w:vertAlign w:val="superscript"/>
              </w:rPr>
              <w:t>2</w:t>
            </w:r>
            <w:r w:rsidRPr="002C6156">
              <w:rPr>
                <w:rFonts w:ascii="Times New Roman" w:hAnsi="Times New Roman"/>
              </w:rPr>
              <w:t xml:space="preserve">; </w:t>
            </w:r>
            <w:r w:rsidRPr="002C6156">
              <w:rPr>
                <w:rFonts w:ascii="Times New Roman" w:hAnsi="Times New Roman"/>
                <w:i/>
              </w:rPr>
              <w:t>ln</w:t>
            </w:r>
            <w:r w:rsidRPr="002C6156">
              <w:rPr>
                <w:rFonts w:ascii="Times New Roman" w:hAnsi="Times New Roman"/>
                <w:i/>
                <w:vertAlign w:val="subscript"/>
              </w:rPr>
              <w:t>x+1</w:t>
            </w:r>
            <w:r w:rsidRPr="002C6156">
              <w:rPr>
                <w:rFonts w:ascii="Times New Roman" w:hAnsi="Times New Roman"/>
              </w:rPr>
              <w:t>)</w:t>
            </w:r>
          </w:p>
        </w:tc>
        <w:tc>
          <w:tcPr>
            <w:tcW w:w="810" w:type="dxa"/>
          </w:tcPr>
          <w:p w14:paraId="5A8B4E95" w14:textId="43F7773C"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2D528518" w14:textId="07A614D0" w:rsidR="0045314D" w:rsidRPr="002C6156" w:rsidRDefault="0045314D" w:rsidP="0045314D">
            <w:pPr>
              <w:rPr>
                <w:rFonts w:ascii="Times New Roman" w:hAnsi="Times New Roman" w:cs="Times New Roman"/>
              </w:rPr>
            </w:pPr>
            <w:r w:rsidRPr="002C6156">
              <w:rPr>
                <w:rFonts w:ascii="Times New Roman" w:hAnsi="Times New Roman"/>
              </w:rPr>
              <w:t>a, b</w:t>
            </w:r>
          </w:p>
        </w:tc>
      </w:tr>
      <w:tr w:rsidR="0045314D" w14:paraId="0A2AADDC" w14:textId="77777777" w:rsidTr="002C6156">
        <w:tc>
          <w:tcPr>
            <w:tcW w:w="2157" w:type="dxa"/>
          </w:tcPr>
          <w:p w14:paraId="1B3476F5" w14:textId="09792524" w:rsidR="0045314D" w:rsidRPr="002C6156" w:rsidRDefault="0045314D" w:rsidP="0045314D">
            <w:pPr>
              <w:rPr>
                <w:rFonts w:ascii="Times New Roman" w:hAnsi="Times New Roman" w:cs="Times New Roman"/>
              </w:rPr>
            </w:pPr>
            <w:r w:rsidRPr="002C6156">
              <w:rPr>
                <w:rFonts w:ascii="Times New Roman" w:hAnsi="Times New Roman"/>
              </w:rPr>
              <w:t>Functional diversity</w:t>
            </w:r>
          </w:p>
        </w:tc>
        <w:tc>
          <w:tcPr>
            <w:tcW w:w="4318" w:type="dxa"/>
          </w:tcPr>
          <w:p w14:paraId="46C4427C" w14:textId="079284B0" w:rsidR="0045314D" w:rsidRPr="002C6156" w:rsidRDefault="0045314D" w:rsidP="0045314D">
            <w:pPr>
              <w:rPr>
                <w:rFonts w:ascii="Times New Roman" w:hAnsi="Times New Roman" w:cs="Times New Roman"/>
              </w:rPr>
            </w:pPr>
            <w:r w:rsidRPr="002C6156">
              <w:rPr>
                <w:rFonts w:ascii="Times New Roman" w:hAnsi="Times New Roman"/>
              </w:rPr>
              <w:t xml:space="preserve">Functional diversity (Rao’s Q) </w:t>
            </w:r>
          </w:p>
        </w:tc>
        <w:tc>
          <w:tcPr>
            <w:tcW w:w="810" w:type="dxa"/>
          </w:tcPr>
          <w:p w14:paraId="723772B3" w14:textId="1AF906AB"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54382D32" w14:textId="5E818079" w:rsidR="0045314D" w:rsidRPr="002C6156" w:rsidRDefault="0045314D" w:rsidP="0045314D">
            <w:pPr>
              <w:rPr>
                <w:rFonts w:ascii="Times New Roman" w:hAnsi="Times New Roman" w:cs="Times New Roman"/>
              </w:rPr>
            </w:pPr>
            <w:r w:rsidRPr="002C6156">
              <w:rPr>
                <w:rFonts w:ascii="Times New Roman" w:hAnsi="Times New Roman"/>
              </w:rPr>
              <w:t>c</w:t>
            </w:r>
          </w:p>
        </w:tc>
      </w:tr>
      <w:tr w:rsidR="0045314D" w14:paraId="4FC594DC" w14:textId="77777777" w:rsidTr="002C6156">
        <w:tc>
          <w:tcPr>
            <w:tcW w:w="2157" w:type="dxa"/>
          </w:tcPr>
          <w:p w14:paraId="225C8A78" w14:textId="292A7E32" w:rsidR="0045314D" w:rsidRPr="002C6156" w:rsidRDefault="0045314D" w:rsidP="0045314D">
            <w:pPr>
              <w:rPr>
                <w:rFonts w:ascii="Times New Roman" w:hAnsi="Times New Roman" w:cs="Times New Roman"/>
              </w:rPr>
            </w:pPr>
            <w:r w:rsidRPr="002C6156">
              <w:rPr>
                <w:rFonts w:ascii="Times New Roman" w:hAnsi="Times New Roman"/>
              </w:rPr>
              <w:t>Human impact</w:t>
            </w:r>
          </w:p>
        </w:tc>
        <w:tc>
          <w:tcPr>
            <w:tcW w:w="4318" w:type="dxa"/>
          </w:tcPr>
          <w:p w14:paraId="5338E440" w14:textId="5E380EA4" w:rsidR="0045314D" w:rsidRPr="002C6156" w:rsidRDefault="0045314D" w:rsidP="0045314D">
            <w:pPr>
              <w:rPr>
                <w:rFonts w:ascii="Times New Roman" w:hAnsi="Times New Roman" w:cs="Times New Roman"/>
              </w:rPr>
            </w:pPr>
            <w:r w:rsidRPr="002C6156">
              <w:rPr>
                <w:rFonts w:ascii="Times New Roman" w:hAnsi="Times New Roman"/>
              </w:rPr>
              <w:t>Human footprint index</w:t>
            </w:r>
          </w:p>
        </w:tc>
        <w:tc>
          <w:tcPr>
            <w:tcW w:w="810" w:type="dxa"/>
          </w:tcPr>
          <w:p w14:paraId="4899501A" w14:textId="2796988C"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3CA2E204" w14:textId="57670D12" w:rsidR="0045314D" w:rsidRPr="002C6156" w:rsidRDefault="0045314D" w:rsidP="0045314D">
            <w:pPr>
              <w:rPr>
                <w:rFonts w:ascii="Times New Roman" w:hAnsi="Times New Roman" w:cs="Times New Roman"/>
              </w:rPr>
            </w:pPr>
            <w:r w:rsidRPr="002C6156">
              <w:rPr>
                <w:rFonts w:ascii="Times New Roman" w:hAnsi="Times New Roman"/>
              </w:rPr>
              <w:t>c</w:t>
            </w:r>
          </w:p>
        </w:tc>
      </w:tr>
      <w:tr w:rsidR="0045314D" w14:paraId="6F553CFD" w14:textId="77777777" w:rsidTr="002C6156">
        <w:tc>
          <w:tcPr>
            <w:tcW w:w="2157" w:type="dxa"/>
          </w:tcPr>
          <w:p w14:paraId="69EC9ADB" w14:textId="276D600E" w:rsidR="0045314D" w:rsidRPr="002C6156" w:rsidRDefault="0045314D" w:rsidP="0045314D">
            <w:pPr>
              <w:rPr>
                <w:rFonts w:ascii="Times New Roman" w:hAnsi="Times New Roman" w:cs="Times New Roman"/>
              </w:rPr>
            </w:pPr>
            <w:r w:rsidRPr="002C6156">
              <w:rPr>
                <w:rFonts w:ascii="Times New Roman" w:hAnsi="Times New Roman"/>
              </w:rPr>
              <w:t>Native richness</w:t>
            </w:r>
          </w:p>
        </w:tc>
        <w:tc>
          <w:tcPr>
            <w:tcW w:w="4318" w:type="dxa"/>
          </w:tcPr>
          <w:p w14:paraId="34FDA2B8" w14:textId="2A0ABDDF" w:rsidR="0045314D" w:rsidRPr="002C6156" w:rsidRDefault="0045314D" w:rsidP="0045314D">
            <w:pPr>
              <w:rPr>
                <w:rFonts w:ascii="Times New Roman" w:hAnsi="Times New Roman" w:cs="Times New Roman"/>
              </w:rPr>
            </w:pPr>
            <w:r w:rsidRPr="002C6156">
              <w:rPr>
                <w:rFonts w:ascii="Times New Roman" w:hAnsi="Times New Roman"/>
              </w:rPr>
              <w:t>Native species richness (</w:t>
            </w:r>
            <w:r w:rsidRPr="002C6156">
              <w:rPr>
                <w:rFonts w:ascii="Times New Roman" w:hAnsi="Times New Roman"/>
                <w:i/>
              </w:rPr>
              <w:t>ln</w:t>
            </w:r>
            <w:r w:rsidRPr="002C6156">
              <w:rPr>
                <w:rFonts w:ascii="Times New Roman" w:hAnsi="Times New Roman"/>
                <w:i/>
                <w:vertAlign w:val="subscript"/>
              </w:rPr>
              <w:t>x+1</w:t>
            </w:r>
            <w:r w:rsidRPr="002C6156">
              <w:rPr>
                <w:rFonts w:ascii="Times New Roman" w:hAnsi="Times New Roman"/>
              </w:rPr>
              <w:t>)</w:t>
            </w:r>
          </w:p>
        </w:tc>
        <w:tc>
          <w:tcPr>
            <w:tcW w:w="810" w:type="dxa"/>
          </w:tcPr>
          <w:p w14:paraId="01583A8C" w14:textId="7922E41B"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30CACE33" w14:textId="4A95E6AE" w:rsidR="0045314D" w:rsidRPr="002C6156" w:rsidRDefault="0045314D" w:rsidP="0045314D">
            <w:pPr>
              <w:rPr>
                <w:rFonts w:ascii="Times New Roman" w:hAnsi="Times New Roman" w:cs="Times New Roman"/>
              </w:rPr>
            </w:pPr>
            <w:r w:rsidRPr="002C6156">
              <w:rPr>
                <w:rFonts w:ascii="Times New Roman" w:hAnsi="Times New Roman"/>
              </w:rPr>
              <w:t>c</w:t>
            </w:r>
          </w:p>
        </w:tc>
      </w:tr>
      <w:tr w:rsidR="0045314D" w14:paraId="4DA9D876" w14:textId="77777777" w:rsidTr="002C6156">
        <w:tc>
          <w:tcPr>
            <w:tcW w:w="2157" w:type="dxa"/>
          </w:tcPr>
          <w:p w14:paraId="34119FAC" w14:textId="73BF7940" w:rsidR="0045314D" w:rsidRPr="002C6156" w:rsidRDefault="0045314D" w:rsidP="0045314D">
            <w:pPr>
              <w:rPr>
                <w:rFonts w:ascii="Times New Roman" w:hAnsi="Times New Roman" w:cs="Times New Roman"/>
              </w:rPr>
            </w:pPr>
            <w:r w:rsidRPr="002C6156">
              <w:rPr>
                <w:rFonts w:ascii="Times New Roman" w:hAnsi="Times New Roman"/>
              </w:rPr>
              <w:t>Non-native richness</w:t>
            </w:r>
          </w:p>
        </w:tc>
        <w:tc>
          <w:tcPr>
            <w:tcW w:w="4318" w:type="dxa"/>
          </w:tcPr>
          <w:p w14:paraId="23275EFB" w14:textId="139B7680" w:rsidR="0045314D" w:rsidRPr="002C6156" w:rsidRDefault="0045314D" w:rsidP="0045314D">
            <w:pPr>
              <w:rPr>
                <w:rFonts w:ascii="Times New Roman" w:hAnsi="Times New Roman" w:cs="Times New Roman"/>
              </w:rPr>
            </w:pPr>
            <w:r w:rsidRPr="002C6156">
              <w:rPr>
                <w:rFonts w:ascii="Times New Roman" w:hAnsi="Times New Roman"/>
              </w:rPr>
              <w:t>Non-native species richness (</w:t>
            </w:r>
            <w:r w:rsidRPr="002C6156">
              <w:rPr>
                <w:rFonts w:ascii="Times New Roman" w:hAnsi="Times New Roman"/>
                <w:i/>
              </w:rPr>
              <w:t>ln</w:t>
            </w:r>
            <w:r w:rsidRPr="002C6156">
              <w:rPr>
                <w:rFonts w:ascii="Times New Roman" w:hAnsi="Times New Roman"/>
                <w:i/>
                <w:vertAlign w:val="subscript"/>
              </w:rPr>
              <w:t>x+1</w:t>
            </w:r>
            <w:r w:rsidRPr="002C6156">
              <w:rPr>
                <w:rFonts w:ascii="Times New Roman" w:hAnsi="Times New Roman"/>
              </w:rPr>
              <w:t>)</w:t>
            </w:r>
          </w:p>
        </w:tc>
        <w:tc>
          <w:tcPr>
            <w:tcW w:w="810" w:type="dxa"/>
          </w:tcPr>
          <w:p w14:paraId="38738053" w14:textId="4E1DD5DB"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420ED262" w14:textId="69A205BA" w:rsidR="0045314D" w:rsidRPr="002C6156" w:rsidRDefault="0045314D" w:rsidP="0045314D">
            <w:pPr>
              <w:rPr>
                <w:rFonts w:ascii="Times New Roman" w:hAnsi="Times New Roman" w:cs="Times New Roman"/>
              </w:rPr>
            </w:pPr>
            <w:r w:rsidRPr="002C6156">
              <w:rPr>
                <w:rFonts w:ascii="Times New Roman" w:hAnsi="Times New Roman"/>
              </w:rPr>
              <w:t>c</w:t>
            </w:r>
          </w:p>
        </w:tc>
      </w:tr>
      <w:tr w:rsidR="0045314D" w14:paraId="556D3380" w14:textId="77777777" w:rsidTr="002C6156">
        <w:tc>
          <w:tcPr>
            <w:tcW w:w="2157" w:type="dxa"/>
          </w:tcPr>
          <w:p w14:paraId="07E1FF10" w14:textId="07C2A23E" w:rsidR="0045314D" w:rsidRPr="002C6156" w:rsidRDefault="0045314D" w:rsidP="0045314D">
            <w:pPr>
              <w:rPr>
                <w:rFonts w:ascii="Times New Roman" w:hAnsi="Times New Roman" w:cs="Times New Roman"/>
              </w:rPr>
            </w:pPr>
            <w:r w:rsidRPr="002C6156">
              <w:rPr>
                <w:rFonts w:ascii="Times New Roman" w:hAnsi="Times New Roman"/>
              </w:rPr>
              <w:t>Precipitation</w:t>
            </w:r>
          </w:p>
        </w:tc>
        <w:tc>
          <w:tcPr>
            <w:tcW w:w="4318" w:type="dxa"/>
          </w:tcPr>
          <w:p w14:paraId="0402B446" w14:textId="50D6C6B1" w:rsidR="0045314D" w:rsidRPr="002C6156" w:rsidRDefault="0045314D" w:rsidP="0045314D">
            <w:pPr>
              <w:rPr>
                <w:rFonts w:ascii="Times New Roman" w:hAnsi="Times New Roman" w:cs="Times New Roman"/>
              </w:rPr>
            </w:pPr>
            <w:r w:rsidRPr="002C6156">
              <w:rPr>
                <w:rFonts w:ascii="Times New Roman" w:hAnsi="Times New Roman"/>
              </w:rPr>
              <w:t xml:space="preserve">Mean Precipitation (mm; </w:t>
            </w:r>
            <w:r w:rsidRPr="002C6156">
              <w:rPr>
                <w:rFonts w:ascii="Times New Roman" w:hAnsi="Times New Roman"/>
                <w:i/>
              </w:rPr>
              <w:t>log</w:t>
            </w:r>
            <w:r w:rsidRPr="002C6156">
              <w:rPr>
                <w:rFonts w:ascii="Times New Roman" w:hAnsi="Times New Roman"/>
                <w:i/>
                <w:vertAlign w:val="subscript"/>
              </w:rPr>
              <w:t>10</w:t>
            </w:r>
            <w:r w:rsidRPr="002C6156">
              <w:rPr>
                <w:rFonts w:ascii="Times New Roman" w:hAnsi="Times New Roman"/>
              </w:rPr>
              <w:t>)</w:t>
            </w:r>
          </w:p>
        </w:tc>
        <w:tc>
          <w:tcPr>
            <w:tcW w:w="810" w:type="dxa"/>
          </w:tcPr>
          <w:p w14:paraId="76CAA264" w14:textId="5A91478B"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56C4C2AC" w14:textId="12729822" w:rsidR="0045314D" w:rsidRPr="002C6156" w:rsidRDefault="0045314D" w:rsidP="0045314D">
            <w:pPr>
              <w:rPr>
                <w:rFonts w:ascii="Times New Roman" w:hAnsi="Times New Roman" w:cs="Times New Roman"/>
              </w:rPr>
            </w:pPr>
            <w:r w:rsidRPr="002C6156">
              <w:rPr>
                <w:rFonts w:ascii="Times New Roman" w:hAnsi="Times New Roman"/>
              </w:rPr>
              <w:t>d</w:t>
            </w:r>
          </w:p>
        </w:tc>
      </w:tr>
      <w:tr w:rsidR="0045314D" w14:paraId="10541869" w14:textId="77777777" w:rsidTr="002C6156">
        <w:tc>
          <w:tcPr>
            <w:tcW w:w="2157" w:type="dxa"/>
          </w:tcPr>
          <w:p w14:paraId="595D885F" w14:textId="514314C3" w:rsidR="0045314D" w:rsidRPr="002C6156" w:rsidRDefault="0045314D" w:rsidP="0045314D">
            <w:pPr>
              <w:rPr>
                <w:rFonts w:ascii="Times New Roman" w:hAnsi="Times New Roman" w:cs="Times New Roman"/>
              </w:rPr>
            </w:pPr>
            <w:r w:rsidRPr="002C6156">
              <w:rPr>
                <w:rFonts w:ascii="Times New Roman" w:hAnsi="Times New Roman"/>
              </w:rPr>
              <w:t>Slope</w:t>
            </w:r>
          </w:p>
        </w:tc>
        <w:tc>
          <w:tcPr>
            <w:tcW w:w="4318" w:type="dxa"/>
          </w:tcPr>
          <w:p w14:paraId="74457A4D" w14:textId="15805076" w:rsidR="0045314D" w:rsidRPr="002C6156" w:rsidRDefault="0045314D" w:rsidP="0045314D">
            <w:pPr>
              <w:rPr>
                <w:rFonts w:ascii="Times New Roman" w:hAnsi="Times New Roman" w:cs="Times New Roman"/>
              </w:rPr>
            </w:pPr>
            <w:r w:rsidRPr="002C6156">
              <w:rPr>
                <w:rFonts w:ascii="Times New Roman" w:hAnsi="Times New Roman"/>
              </w:rPr>
              <w:t>Slope along the stream reach (‰)</w:t>
            </w:r>
          </w:p>
        </w:tc>
        <w:tc>
          <w:tcPr>
            <w:tcW w:w="810" w:type="dxa"/>
          </w:tcPr>
          <w:p w14:paraId="2871DB5A" w14:textId="769B8D9D"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32F8DD71" w14:textId="4894BC91" w:rsidR="0045314D" w:rsidRPr="002C6156" w:rsidRDefault="0045314D" w:rsidP="0045314D">
            <w:pPr>
              <w:rPr>
                <w:rFonts w:ascii="Times New Roman" w:hAnsi="Times New Roman" w:cs="Times New Roman"/>
              </w:rPr>
            </w:pPr>
            <w:r w:rsidRPr="002C6156">
              <w:rPr>
                <w:rFonts w:ascii="Times New Roman" w:hAnsi="Times New Roman"/>
              </w:rPr>
              <w:t>a</w:t>
            </w:r>
          </w:p>
        </w:tc>
      </w:tr>
      <w:tr w:rsidR="0045314D" w14:paraId="600CBF94" w14:textId="77777777" w:rsidTr="002C6156">
        <w:tc>
          <w:tcPr>
            <w:tcW w:w="2157" w:type="dxa"/>
          </w:tcPr>
          <w:p w14:paraId="05393E41" w14:textId="0D12DC52" w:rsidR="0045314D" w:rsidRPr="002C6156" w:rsidRDefault="0045314D" w:rsidP="0045314D">
            <w:pPr>
              <w:rPr>
                <w:rFonts w:ascii="Times New Roman" w:hAnsi="Times New Roman" w:cs="Times New Roman"/>
              </w:rPr>
            </w:pPr>
            <w:r w:rsidRPr="002C6156">
              <w:rPr>
                <w:rFonts w:ascii="Times New Roman" w:hAnsi="Times New Roman"/>
              </w:rPr>
              <w:t>Species richness</w:t>
            </w:r>
          </w:p>
        </w:tc>
        <w:tc>
          <w:tcPr>
            <w:tcW w:w="4318" w:type="dxa"/>
          </w:tcPr>
          <w:p w14:paraId="0015E962" w14:textId="279B00DE" w:rsidR="0045314D" w:rsidRPr="002C6156" w:rsidRDefault="0045314D" w:rsidP="0045314D">
            <w:pPr>
              <w:rPr>
                <w:rFonts w:ascii="Times New Roman" w:hAnsi="Times New Roman" w:cs="Times New Roman"/>
              </w:rPr>
            </w:pPr>
            <w:r w:rsidRPr="002C6156">
              <w:rPr>
                <w:rFonts w:ascii="Times New Roman" w:hAnsi="Times New Roman"/>
              </w:rPr>
              <w:t>Total community species richness (</w:t>
            </w:r>
            <w:r w:rsidRPr="002C6156">
              <w:rPr>
                <w:rFonts w:ascii="Times New Roman" w:hAnsi="Times New Roman"/>
                <w:i/>
              </w:rPr>
              <w:t>log</w:t>
            </w:r>
            <w:r w:rsidRPr="002C6156">
              <w:rPr>
                <w:rFonts w:ascii="Times New Roman" w:hAnsi="Times New Roman"/>
                <w:i/>
                <w:vertAlign w:val="subscript"/>
              </w:rPr>
              <w:t>10</w:t>
            </w:r>
            <w:r w:rsidRPr="002C6156">
              <w:rPr>
                <w:rFonts w:ascii="Times New Roman" w:hAnsi="Times New Roman"/>
              </w:rPr>
              <w:t>)</w:t>
            </w:r>
          </w:p>
        </w:tc>
        <w:tc>
          <w:tcPr>
            <w:tcW w:w="810" w:type="dxa"/>
          </w:tcPr>
          <w:p w14:paraId="63A6F6B1" w14:textId="007D1EA4"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1752D6F2" w14:textId="5B0D32D2" w:rsidR="0045314D" w:rsidRPr="002C6156" w:rsidRDefault="0045314D" w:rsidP="0045314D">
            <w:pPr>
              <w:rPr>
                <w:rFonts w:ascii="Times New Roman" w:hAnsi="Times New Roman" w:cs="Times New Roman"/>
              </w:rPr>
            </w:pPr>
            <w:r w:rsidRPr="002C6156">
              <w:rPr>
                <w:rFonts w:ascii="Times New Roman" w:hAnsi="Times New Roman"/>
              </w:rPr>
              <w:t>c</w:t>
            </w:r>
          </w:p>
        </w:tc>
      </w:tr>
      <w:tr w:rsidR="0045314D" w14:paraId="42A0E95C" w14:textId="77777777" w:rsidTr="002C6156">
        <w:tc>
          <w:tcPr>
            <w:tcW w:w="2157" w:type="dxa"/>
          </w:tcPr>
          <w:p w14:paraId="641E7D69" w14:textId="246399CE" w:rsidR="0045314D" w:rsidRPr="002C6156" w:rsidRDefault="0045314D" w:rsidP="0045314D">
            <w:pPr>
              <w:rPr>
                <w:rFonts w:ascii="Times New Roman" w:hAnsi="Times New Roman" w:cs="Times New Roman"/>
              </w:rPr>
            </w:pPr>
            <w:r w:rsidRPr="002C6156">
              <w:rPr>
                <w:rFonts w:ascii="Times New Roman" w:hAnsi="Times New Roman"/>
              </w:rPr>
              <w:t>Sampled area</w:t>
            </w:r>
          </w:p>
        </w:tc>
        <w:tc>
          <w:tcPr>
            <w:tcW w:w="4318" w:type="dxa"/>
          </w:tcPr>
          <w:p w14:paraId="00BE0D86" w14:textId="1C1027EA" w:rsidR="0045314D" w:rsidRPr="002C6156" w:rsidRDefault="0045314D" w:rsidP="0045314D">
            <w:pPr>
              <w:rPr>
                <w:rFonts w:ascii="Times New Roman" w:hAnsi="Times New Roman" w:cs="Times New Roman"/>
              </w:rPr>
            </w:pPr>
            <w:r w:rsidRPr="002C6156">
              <w:rPr>
                <w:rFonts w:ascii="Times New Roman" w:hAnsi="Times New Roman"/>
              </w:rPr>
              <w:t>Surface area of sampled reach (m</w:t>
            </w:r>
            <w:r w:rsidRPr="002C6156">
              <w:rPr>
                <w:rFonts w:ascii="Times New Roman" w:hAnsi="Times New Roman"/>
                <w:vertAlign w:val="superscript"/>
              </w:rPr>
              <w:t>2</w:t>
            </w:r>
            <w:r w:rsidRPr="002C6156">
              <w:rPr>
                <w:rFonts w:ascii="Times New Roman" w:hAnsi="Times New Roman"/>
              </w:rPr>
              <w:t xml:space="preserve">; </w:t>
            </w:r>
            <w:r w:rsidRPr="002C6156">
              <w:rPr>
                <w:rFonts w:ascii="Times New Roman" w:hAnsi="Times New Roman"/>
                <w:i/>
              </w:rPr>
              <w:t>log</w:t>
            </w:r>
            <w:r w:rsidRPr="002C6156">
              <w:rPr>
                <w:rFonts w:ascii="Times New Roman" w:hAnsi="Times New Roman"/>
                <w:i/>
                <w:vertAlign w:val="subscript"/>
              </w:rPr>
              <w:t>10</w:t>
            </w:r>
            <w:r w:rsidRPr="002C6156">
              <w:rPr>
                <w:rFonts w:ascii="Times New Roman" w:hAnsi="Times New Roman"/>
              </w:rPr>
              <w:t>)</w:t>
            </w:r>
          </w:p>
        </w:tc>
        <w:tc>
          <w:tcPr>
            <w:tcW w:w="810" w:type="dxa"/>
          </w:tcPr>
          <w:p w14:paraId="16198222" w14:textId="32D7F8B3"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Pr>
          <w:p w14:paraId="6BA20B85" w14:textId="77777777" w:rsidR="0045314D" w:rsidRPr="002C6156" w:rsidRDefault="0045314D" w:rsidP="0045314D">
            <w:pPr>
              <w:rPr>
                <w:rFonts w:ascii="Times New Roman" w:hAnsi="Times New Roman" w:cs="Times New Roman"/>
              </w:rPr>
            </w:pPr>
          </w:p>
        </w:tc>
      </w:tr>
      <w:tr w:rsidR="0045314D" w14:paraId="41506F83" w14:textId="77777777" w:rsidTr="002C6156">
        <w:tc>
          <w:tcPr>
            <w:tcW w:w="2157" w:type="dxa"/>
            <w:tcBorders>
              <w:bottom w:val="single" w:sz="4" w:space="0" w:color="auto"/>
            </w:tcBorders>
          </w:tcPr>
          <w:p w14:paraId="32255034" w14:textId="226CC9D0" w:rsidR="0045314D" w:rsidRPr="002C6156" w:rsidRDefault="0045314D" w:rsidP="0045314D">
            <w:pPr>
              <w:rPr>
                <w:rFonts w:ascii="Times New Roman" w:hAnsi="Times New Roman" w:cs="Times New Roman"/>
              </w:rPr>
            </w:pPr>
            <w:r w:rsidRPr="002C6156">
              <w:rPr>
                <w:rFonts w:ascii="Times New Roman" w:hAnsi="Times New Roman"/>
              </w:rPr>
              <w:t>Temperature</w:t>
            </w:r>
          </w:p>
        </w:tc>
        <w:tc>
          <w:tcPr>
            <w:tcW w:w="4318" w:type="dxa"/>
            <w:tcBorders>
              <w:bottom w:val="single" w:sz="4" w:space="0" w:color="auto"/>
            </w:tcBorders>
          </w:tcPr>
          <w:p w14:paraId="5C82B64D" w14:textId="428701C9" w:rsidR="0045314D" w:rsidRPr="002C6156" w:rsidRDefault="0045314D" w:rsidP="0045314D">
            <w:pPr>
              <w:rPr>
                <w:rFonts w:ascii="Times New Roman" w:hAnsi="Times New Roman" w:cs="Times New Roman"/>
              </w:rPr>
            </w:pPr>
            <w:r w:rsidRPr="002C6156">
              <w:rPr>
                <w:rFonts w:ascii="Times New Roman" w:hAnsi="Times New Roman"/>
              </w:rPr>
              <w:t>Mean annual temperature (°C)</w:t>
            </w:r>
          </w:p>
        </w:tc>
        <w:tc>
          <w:tcPr>
            <w:tcW w:w="810" w:type="dxa"/>
            <w:tcBorders>
              <w:bottom w:val="single" w:sz="4" w:space="0" w:color="auto"/>
            </w:tcBorders>
          </w:tcPr>
          <w:p w14:paraId="1D9898E4" w14:textId="505C51F6" w:rsidR="0045314D" w:rsidRPr="002C6156" w:rsidRDefault="0045314D" w:rsidP="0045314D">
            <w:pPr>
              <w:rPr>
                <w:rFonts w:ascii="Times New Roman" w:hAnsi="Times New Roman" w:cs="Times New Roman"/>
              </w:rPr>
            </w:pPr>
            <w:r w:rsidRPr="002C6156">
              <w:rPr>
                <w:rFonts w:ascii="Times New Roman" w:hAnsi="Times New Roman"/>
              </w:rPr>
              <w:t>+</w:t>
            </w:r>
          </w:p>
        </w:tc>
        <w:tc>
          <w:tcPr>
            <w:tcW w:w="1345" w:type="dxa"/>
            <w:tcBorders>
              <w:bottom w:val="single" w:sz="4" w:space="0" w:color="auto"/>
            </w:tcBorders>
          </w:tcPr>
          <w:p w14:paraId="022E3268" w14:textId="00C13153" w:rsidR="0045314D" w:rsidRPr="002C6156" w:rsidRDefault="0045314D" w:rsidP="0045314D">
            <w:pPr>
              <w:rPr>
                <w:rFonts w:ascii="Times New Roman" w:hAnsi="Times New Roman" w:cs="Times New Roman"/>
              </w:rPr>
            </w:pPr>
            <w:r w:rsidRPr="002C6156">
              <w:rPr>
                <w:rFonts w:ascii="Times New Roman" w:hAnsi="Times New Roman"/>
              </w:rPr>
              <w:t>c</w:t>
            </w:r>
          </w:p>
        </w:tc>
      </w:tr>
    </w:tbl>
    <w:p w14:paraId="3053BACE" w14:textId="77777777" w:rsidR="00890591" w:rsidRDefault="00890591">
      <w:pPr>
        <w:rPr>
          <w:rFonts w:ascii="Times New Roman" w:hAnsi="Times New Roman" w:cs="Times New Roman"/>
        </w:rPr>
      </w:pPr>
    </w:p>
    <w:p w14:paraId="7D1D3AE6" w14:textId="77777777" w:rsidR="00890591" w:rsidRDefault="00890591">
      <w:pPr>
        <w:rPr>
          <w:rFonts w:ascii="Times New Roman" w:hAnsi="Times New Roman" w:cs="Times New Roman"/>
        </w:rPr>
      </w:pPr>
      <w:r>
        <w:rPr>
          <w:rFonts w:ascii="Times New Roman" w:hAnsi="Times New Roman" w:cs="Times New Roman"/>
        </w:rPr>
        <w:br w:type="page"/>
      </w:r>
    </w:p>
    <w:p w14:paraId="3FFEB45C" w14:textId="77777777" w:rsidR="00BD457E" w:rsidRDefault="00BD457E" w:rsidP="00BD457E">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CACED79" wp14:editId="7BCDDA14">
            <wp:extent cx="3590925" cy="6965983"/>
            <wp:effectExtent l="0" t="0" r="0" b="6350"/>
            <wp:docPr id="5" name="Picture 5" descr="A black and white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map&#10;&#10;Description automatically generated with low confidence"/>
                    <pic:cNvPicPr/>
                  </pic:nvPicPr>
                  <pic:blipFill rotWithShape="1">
                    <a:blip r:embed="rId17" cstate="print">
                      <a:extLst>
                        <a:ext uri="{28A0092B-C50C-407E-A947-70E740481C1C}">
                          <a14:useLocalDpi xmlns:a14="http://schemas.microsoft.com/office/drawing/2010/main" val="0"/>
                        </a:ext>
                      </a:extLst>
                    </a:blip>
                    <a:srcRect b="4384"/>
                    <a:stretch/>
                  </pic:blipFill>
                  <pic:spPr bwMode="auto">
                    <a:xfrm>
                      <a:off x="0" y="0"/>
                      <a:ext cx="3602461" cy="6988362"/>
                    </a:xfrm>
                    <a:prstGeom prst="rect">
                      <a:avLst/>
                    </a:prstGeom>
                    <a:ln>
                      <a:noFill/>
                    </a:ln>
                    <a:extLst>
                      <a:ext uri="{53640926-AAD7-44D8-BBD7-CCE9431645EC}">
                        <a14:shadowObscured xmlns:a14="http://schemas.microsoft.com/office/drawing/2010/main"/>
                      </a:ext>
                    </a:extLst>
                  </pic:spPr>
                </pic:pic>
              </a:graphicData>
            </a:graphic>
          </wp:inline>
        </w:drawing>
      </w:r>
    </w:p>
    <w:p w14:paraId="295A1460" w14:textId="6821BBEC" w:rsidR="00BD457E" w:rsidRDefault="003A33A2" w:rsidP="00BD457E">
      <w:pPr>
        <w:pStyle w:val="Caption"/>
        <w:jc w:val="both"/>
        <w:rPr>
          <w:rFonts w:ascii="Times New Roman" w:hAnsi="Times New Roman" w:cs="Times New Roman"/>
          <w:b w:val="0"/>
          <w:bCs w:val="0"/>
        </w:rPr>
      </w:pPr>
      <w:bookmarkStart w:id="47" w:name="_Toc100607938"/>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9</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 xml:space="preserve"> </w:t>
      </w:r>
      <w:r w:rsidR="00BD457E">
        <w:rPr>
          <w:rFonts w:ascii="Times New Roman" w:hAnsi="Times New Roman"/>
        </w:rPr>
        <w:t xml:space="preserve">Map of fish sampling sites included in the analysis across French watersheds (grey polygons). </w:t>
      </w:r>
      <w:r w:rsidR="00BD457E" w:rsidRPr="00BD457E">
        <w:rPr>
          <w:rFonts w:ascii="Times New Roman" w:hAnsi="Times New Roman" w:cs="Times New Roman"/>
          <w:b w:val="0"/>
          <w:bCs w:val="0"/>
        </w:rPr>
        <w:t>Three maps are shown to illustrate the distribution of (a) community biomass, (b) species richness, and (c) functional diversity.</w:t>
      </w:r>
      <w:bookmarkEnd w:id="47"/>
    </w:p>
    <w:p w14:paraId="460A5F67" w14:textId="3084D4E8" w:rsidR="001E2792" w:rsidRPr="001E2792" w:rsidRDefault="00066DE6" w:rsidP="00C134A4">
      <w:pPr>
        <w:rPr>
          <w:rFonts w:ascii="Times New Roman" w:hAnsi="Times New Roman" w:cs="Times New Roman"/>
        </w:rPr>
      </w:pPr>
      <w:r>
        <w:rPr>
          <w:rFonts w:ascii="Times New Roman" w:hAnsi="Times New Roman" w:cs="Times New Roman"/>
        </w:rPr>
        <w:br w:type="page"/>
      </w:r>
    </w:p>
    <w:p w14:paraId="6BA9D39B" w14:textId="05054814" w:rsidR="001E2792" w:rsidRPr="001E2792" w:rsidRDefault="001E2792" w:rsidP="00363503">
      <w:pPr>
        <w:ind w:firstLine="720"/>
        <w:jc w:val="both"/>
        <w:rPr>
          <w:rFonts w:ascii="Times New Roman" w:hAnsi="Times New Roman" w:cs="Times New Roman"/>
        </w:rPr>
      </w:pPr>
      <w:r w:rsidRPr="001E2792">
        <w:rPr>
          <w:rFonts w:ascii="Times New Roman" w:hAnsi="Times New Roman" w:cs="Times New Roman"/>
        </w:rPr>
        <w:lastRenderedPageBreak/>
        <w:t xml:space="preserve">We estimated two biodiversity metrics for each sampling event: species richness and functional diversity (Table </w:t>
      </w:r>
      <w:r w:rsidR="00897ABC">
        <w:rPr>
          <w:rFonts w:ascii="Times New Roman" w:hAnsi="Times New Roman" w:cs="Times New Roman"/>
        </w:rPr>
        <w:t>4</w:t>
      </w:r>
      <w:r w:rsidRPr="001E2792">
        <w:rPr>
          <w:rFonts w:ascii="Times New Roman" w:hAnsi="Times New Roman" w:cs="Times New Roman"/>
        </w:rPr>
        <w:t xml:space="preserve">). We calculated functional diversity as abundance-weighted Rao’s Quadratic Entropy (Rao's Q; Botta-Dukát, 2005) based on 10 functional traits obtained from FishBase (Froese &amp; Pauly, 2018) and the Freshwater Information Platform (Schmidt-Kloiber &amp; Hering, 2015; Table </w:t>
      </w:r>
      <w:r w:rsidR="00897ABC">
        <w:rPr>
          <w:rFonts w:ascii="Times New Roman" w:hAnsi="Times New Roman" w:cs="Times New Roman"/>
        </w:rPr>
        <w:t>5</w:t>
      </w:r>
      <w:r w:rsidRPr="001E2792">
        <w:rPr>
          <w:rFonts w:ascii="Times New Roman" w:hAnsi="Times New Roman" w:cs="Times New Roman"/>
        </w:rPr>
        <w:t xml:space="preserve">). We selected traits for inclusion based on a priori knowledge of fish functional diversity and potential functional axes along which niche partitioning may occur: habitat requirements, life history strategy, and trophic position (Duffy et al., 2016). Rao’s Q measures functional diversity by estimating the dispersion of the community in functional trait space as the mean pairwise distance between species in multivariate trait space defined by principal coordinates analysis axes (Botta-Dukát, 2005; Laliberte &amp; Legendre, 2010). It is therefore a useful metric to assess potential influences of niche partitioning in fish communities, while providing information independent of species diversity (Duffy et al., 2016). We used Gower’s distance to construct the distance matrix used to calculate Rao’s Q to accommodate mixed trait data types (Table </w:t>
      </w:r>
      <w:r w:rsidR="00897ABC">
        <w:rPr>
          <w:rFonts w:ascii="Times New Roman" w:hAnsi="Times New Roman" w:cs="Times New Roman"/>
        </w:rPr>
        <w:t>5</w:t>
      </w:r>
      <w:r w:rsidRPr="001E2792">
        <w:rPr>
          <w:rFonts w:ascii="Times New Roman" w:hAnsi="Times New Roman" w:cs="Times New Roman"/>
        </w:rPr>
        <w:t xml:space="preserve">; Gower, 1971). We used the package ‘FD’ (Laliberte et al., 2014) to compute Rao’s Q in R (R Core Team, 2018). </w:t>
      </w:r>
    </w:p>
    <w:p w14:paraId="1AD92810" w14:textId="26685A96" w:rsidR="00236E6D" w:rsidRDefault="001E2792" w:rsidP="00363503">
      <w:pPr>
        <w:ind w:firstLine="720"/>
        <w:jc w:val="both"/>
        <w:rPr>
          <w:rFonts w:ascii="Times New Roman" w:hAnsi="Times New Roman" w:cs="Times New Roman"/>
        </w:rPr>
      </w:pPr>
      <w:r w:rsidRPr="001E2792">
        <w:rPr>
          <w:rFonts w:ascii="Times New Roman" w:hAnsi="Times New Roman" w:cs="Times New Roman"/>
        </w:rPr>
        <w:t>In order to assess the relative effects of native versus non-native species on DBR, we classified each species in the dataset as native or non-native to each river basin using Tedesco et al. (2017). For a small number of species present in small coastal basins (104 occurrences out of 18,405 total occurrence records), native status was not available at the river basin scale. For these species occurrences, we used the United Nations Food and Agriculture Organization (FAO) Database on Introductions of Aquatic Species (FAO, 2005) to assign native status: species were assigned as native if they were not listed on the FAO dataset as being introduced to France. Following that, we calculated native and non-native species richness for each site</w:t>
      </w:r>
      <w:r w:rsidR="008F60C3" w:rsidRPr="00DF7C87">
        <w:rPr>
          <w:rFonts w:ascii="Times New Roman" w:hAnsi="Times New Roman" w:cs="Times New Roman"/>
        </w:rPr>
        <w:t>.</w:t>
      </w:r>
    </w:p>
    <w:p w14:paraId="11450568" w14:textId="69678C1A" w:rsidR="001E2792" w:rsidRPr="001E2792" w:rsidRDefault="001E2792" w:rsidP="00363503">
      <w:pPr>
        <w:ind w:firstLine="720"/>
        <w:jc w:val="both"/>
        <w:rPr>
          <w:rFonts w:ascii="Times New Roman" w:hAnsi="Times New Roman" w:cs="Times New Roman"/>
        </w:rPr>
      </w:pPr>
      <w:r w:rsidRPr="001E2792">
        <w:rPr>
          <w:rFonts w:ascii="Times New Roman" w:hAnsi="Times New Roman" w:cs="Times New Roman"/>
        </w:rPr>
        <w:t xml:space="preserve">To examine the direct and indirect effects of abiotic variables on diversity and biomass, we collected data on anthropogenic pressures, climate, and physical habitat (Table </w:t>
      </w:r>
      <w:r w:rsidR="00897ABC">
        <w:rPr>
          <w:rFonts w:ascii="Times New Roman" w:hAnsi="Times New Roman" w:cs="Times New Roman"/>
        </w:rPr>
        <w:t>4</w:t>
      </w:r>
      <w:r w:rsidRPr="001E2792">
        <w:rPr>
          <w:rFonts w:ascii="Times New Roman" w:hAnsi="Times New Roman" w:cs="Times New Roman"/>
        </w:rPr>
        <w:t xml:space="preserve">). We extracted local (i.e., site-level) mean annual temperature and precipitation from ClimateEU (Hamann et al., 2013) and averaged annual metrics over the period of analysis (1992–2012) to estimate climate conditions. We characterized variation in local instream habitat variables associated with the longitudinal position of the sampled site along the stream network (e.g., width, depth, and riparian shading; Vannote et al., 1980) using slope and upstream catchment area from the European River Catchments Network (European Environment Agency, 2012). </w:t>
      </w:r>
    </w:p>
    <w:p w14:paraId="1FED1BE8" w14:textId="3D843F6C" w:rsidR="001E2792" w:rsidRPr="001E2792" w:rsidRDefault="001E2792" w:rsidP="00363503">
      <w:pPr>
        <w:ind w:firstLine="720"/>
        <w:jc w:val="both"/>
        <w:rPr>
          <w:rFonts w:ascii="Times New Roman" w:hAnsi="Times New Roman" w:cs="Times New Roman"/>
        </w:rPr>
      </w:pPr>
      <w:r w:rsidRPr="001E2792">
        <w:rPr>
          <w:rFonts w:ascii="Times New Roman" w:hAnsi="Times New Roman" w:cs="Times New Roman"/>
        </w:rPr>
        <w:t>We assessed anthropogenic influences on DBR using the terrestrial Human Footprint Index (HFI; Venter et al., 2016) value extracted at each site (larger value = greater human impact) for the year 2009. HFI simultaneously accounts for cumulative impacts from multiple anthropogenic pressures (e.g., agriculture, urbanization, navigable waterways; Venter et al., 2016). We also assessed whether our results were more sensitive to HFI values corresponding to the beginning of our studied period by reevaluating our models using HFI values from 1993. We found that results using 1993 and 2009 HFI values were qualitatively similar (</w:t>
      </w:r>
      <w:r w:rsidR="00DB404D">
        <w:rPr>
          <w:rFonts w:ascii="Times New Roman" w:hAnsi="Times New Roman" w:cs="Times New Roman"/>
        </w:rPr>
        <w:t>Table</w:t>
      </w:r>
      <w:r w:rsidRPr="001E2792">
        <w:rPr>
          <w:rFonts w:ascii="Times New Roman" w:hAnsi="Times New Roman" w:cs="Times New Roman"/>
        </w:rPr>
        <w:t xml:space="preserve"> </w:t>
      </w:r>
      <w:r w:rsidR="00681E5F">
        <w:rPr>
          <w:rFonts w:ascii="Times New Roman" w:hAnsi="Times New Roman" w:cs="Times New Roman"/>
        </w:rPr>
        <w:t>7</w:t>
      </w:r>
      <w:r w:rsidRPr="001E2792">
        <w:rPr>
          <w:rFonts w:ascii="Times New Roman" w:hAnsi="Times New Roman" w:cs="Times New Roman"/>
        </w:rPr>
        <w:t>), therefore we only report results obtained using 2009 HFI in the main text.</w:t>
      </w:r>
    </w:p>
    <w:p w14:paraId="09AC8264" w14:textId="03AB9EE8" w:rsidR="008947D9" w:rsidRDefault="00897ABC" w:rsidP="008947D9">
      <w:pPr>
        <w:pStyle w:val="Caption"/>
        <w:jc w:val="both"/>
        <w:rPr>
          <w:rFonts w:ascii="Times New Roman" w:hAnsi="Times New Roman" w:cs="Times New Roman"/>
          <w:b w:val="0"/>
          <w:bCs w:val="0"/>
        </w:rPr>
      </w:pPr>
      <w:bookmarkStart w:id="48" w:name="_Toc93411176"/>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5</w:t>
      </w:r>
      <w:r w:rsidRPr="00DF7C87">
        <w:rPr>
          <w:rFonts w:ascii="Times New Roman" w:hAnsi="Times New Roman" w:cs="Times New Roman"/>
        </w:rPr>
        <w:fldChar w:fldCharType="end"/>
      </w:r>
      <w:r w:rsidRPr="00DF7C87">
        <w:rPr>
          <w:rFonts w:ascii="Times New Roman" w:hAnsi="Times New Roman" w:cs="Times New Roman"/>
        </w:rPr>
        <w:t xml:space="preserve">. </w:t>
      </w:r>
      <w:r w:rsidR="008947D9" w:rsidRPr="0078467D">
        <w:rPr>
          <w:rFonts w:ascii="Times New Roman" w:hAnsi="Times New Roman"/>
        </w:rPr>
        <w:t xml:space="preserve">Functional traits used in the functional diversity analyses. </w:t>
      </w:r>
      <w:r w:rsidR="008947D9" w:rsidRPr="008947D9">
        <w:rPr>
          <w:rFonts w:ascii="Times New Roman" w:hAnsi="Times New Roman" w:cs="Times New Roman"/>
          <w:b w:val="0"/>
          <w:bCs w:val="0"/>
        </w:rPr>
        <w:t>The category indicates the facet of functional diversity represented by each trait (troph = trophic/diet, env = environmental/habitat requirements, rep = reproductive/life history). Multichoice nominal variables indicate categorical traits for which a species can be assigned to multiple categories.</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170"/>
        <w:gridCol w:w="1376"/>
        <w:gridCol w:w="4284"/>
      </w:tblGrid>
      <w:tr w:rsidR="008947D9" w14:paraId="592D2FA0" w14:textId="77777777" w:rsidTr="009947CA">
        <w:tc>
          <w:tcPr>
            <w:tcW w:w="1800" w:type="dxa"/>
            <w:tcBorders>
              <w:top w:val="single" w:sz="4" w:space="0" w:color="auto"/>
              <w:bottom w:val="single" w:sz="4" w:space="0" w:color="auto"/>
            </w:tcBorders>
          </w:tcPr>
          <w:p w14:paraId="4291AE7C" w14:textId="7AF5FC1D" w:rsidR="008947D9" w:rsidRPr="008947D9" w:rsidRDefault="008947D9" w:rsidP="008947D9">
            <w:pPr>
              <w:rPr>
                <w:rFonts w:ascii="Times New Roman" w:hAnsi="Times New Roman" w:cs="Times New Roman"/>
                <w:b/>
                <w:bCs/>
              </w:rPr>
            </w:pPr>
            <w:r w:rsidRPr="008947D9">
              <w:rPr>
                <w:rFonts w:ascii="Times New Roman" w:hAnsi="Times New Roman"/>
                <w:b/>
                <w:bCs/>
              </w:rPr>
              <w:t>Trait</w:t>
            </w:r>
          </w:p>
        </w:tc>
        <w:tc>
          <w:tcPr>
            <w:tcW w:w="1170" w:type="dxa"/>
            <w:tcBorders>
              <w:top w:val="single" w:sz="4" w:space="0" w:color="auto"/>
              <w:bottom w:val="single" w:sz="4" w:space="0" w:color="auto"/>
            </w:tcBorders>
          </w:tcPr>
          <w:p w14:paraId="69DF9479" w14:textId="49D5D201" w:rsidR="008947D9" w:rsidRPr="008947D9" w:rsidRDefault="008947D9" w:rsidP="008947D9">
            <w:pPr>
              <w:rPr>
                <w:rFonts w:ascii="Times New Roman" w:hAnsi="Times New Roman" w:cs="Times New Roman"/>
                <w:b/>
                <w:bCs/>
              </w:rPr>
            </w:pPr>
            <w:r w:rsidRPr="008947D9">
              <w:rPr>
                <w:rFonts w:ascii="Times New Roman" w:hAnsi="Times New Roman"/>
                <w:b/>
                <w:bCs/>
              </w:rPr>
              <w:t>Category</w:t>
            </w:r>
          </w:p>
        </w:tc>
        <w:tc>
          <w:tcPr>
            <w:tcW w:w="1376" w:type="dxa"/>
            <w:tcBorders>
              <w:top w:val="single" w:sz="4" w:space="0" w:color="auto"/>
              <w:bottom w:val="single" w:sz="4" w:space="0" w:color="auto"/>
            </w:tcBorders>
          </w:tcPr>
          <w:p w14:paraId="414FE676" w14:textId="2AE658BD" w:rsidR="008947D9" w:rsidRPr="008947D9" w:rsidRDefault="008947D9" w:rsidP="008947D9">
            <w:pPr>
              <w:rPr>
                <w:rFonts w:ascii="Times New Roman" w:hAnsi="Times New Roman" w:cs="Times New Roman"/>
                <w:b/>
                <w:bCs/>
              </w:rPr>
            </w:pPr>
            <w:r w:rsidRPr="008947D9">
              <w:rPr>
                <w:rFonts w:ascii="Times New Roman" w:hAnsi="Times New Roman"/>
                <w:b/>
                <w:bCs/>
              </w:rPr>
              <w:t>Type</w:t>
            </w:r>
          </w:p>
        </w:tc>
        <w:tc>
          <w:tcPr>
            <w:tcW w:w="4284" w:type="dxa"/>
            <w:tcBorders>
              <w:top w:val="single" w:sz="4" w:space="0" w:color="auto"/>
              <w:bottom w:val="single" w:sz="4" w:space="0" w:color="auto"/>
            </w:tcBorders>
          </w:tcPr>
          <w:p w14:paraId="3149040D" w14:textId="61E72579" w:rsidR="008947D9" w:rsidRPr="008947D9" w:rsidRDefault="008947D9" w:rsidP="008947D9">
            <w:pPr>
              <w:rPr>
                <w:rFonts w:ascii="Times New Roman" w:hAnsi="Times New Roman" w:cs="Times New Roman"/>
                <w:b/>
                <w:bCs/>
              </w:rPr>
            </w:pPr>
            <w:r w:rsidRPr="008947D9">
              <w:rPr>
                <w:rFonts w:ascii="Times New Roman" w:hAnsi="Times New Roman"/>
                <w:b/>
                <w:bCs/>
              </w:rPr>
              <w:t>Units or levels</w:t>
            </w:r>
          </w:p>
        </w:tc>
      </w:tr>
      <w:tr w:rsidR="008947D9" w14:paraId="2F43698A" w14:textId="77777777" w:rsidTr="009947CA">
        <w:tc>
          <w:tcPr>
            <w:tcW w:w="1800" w:type="dxa"/>
            <w:tcBorders>
              <w:top w:val="single" w:sz="4" w:space="0" w:color="auto"/>
            </w:tcBorders>
          </w:tcPr>
          <w:p w14:paraId="35890337" w14:textId="7B95727D" w:rsidR="008947D9" w:rsidRDefault="008947D9" w:rsidP="008947D9">
            <w:pPr>
              <w:rPr>
                <w:rFonts w:ascii="Times New Roman" w:hAnsi="Times New Roman" w:cs="Times New Roman"/>
              </w:rPr>
            </w:pPr>
            <w:r w:rsidRPr="00C22812">
              <w:rPr>
                <w:rFonts w:ascii="Times New Roman" w:hAnsi="Times New Roman"/>
              </w:rPr>
              <w:t>Vertical feeding position</w:t>
            </w:r>
          </w:p>
        </w:tc>
        <w:tc>
          <w:tcPr>
            <w:tcW w:w="1170" w:type="dxa"/>
            <w:tcBorders>
              <w:top w:val="single" w:sz="4" w:space="0" w:color="auto"/>
            </w:tcBorders>
          </w:tcPr>
          <w:p w14:paraId="644D12A5" w14:textId="2F5615F4" w:rsidR="008947D9" w:rsidRDefault="008947D9" w:rsidP="008947D9">
            <w:pPr>
              <w:rPr>
                <w:rFonts w:ascii="Times New Roman" w:hAnsi="Times New Roman" w:cs="Times New Roman"/>
              </w:rPr>
            </w:pPr>
            <w:r w:rsidRPr="00C22812">
              <w:rPr>
                <w:rFonts w:ascii="Times New Roman" w:hAnsi="Times New Roman"/>
              </w:rPr>
              <w:t>Troph</w:t>
            </w:r>
          </w:p>
        </w:tc>
        <w:tc>
          <w:tcPr>
            <w:tcW w:w="1376" w:type="dxa"/>
            <w:tcBorders>
              <w:top w:val="single" w:sz="4" w:space="0" w:color="auto"/>
            </w:tcBorders>
          </w:tcPr>
          <w:p w14:paraId="7BD13096" w14:textId="149504E4" w:rsidR="008947D9" w:rsidRDefault="008947D9" w:rsidP="008947D9">
            <w:pPr>
              <w:rPr>
                <w:rFonts w:ascii="Times New Roman" w:hAnsi="Times New Roman" w:cs="Times New Roman"/>
              </w:rPr>
            </w:pPr>
            <w:r w:rsidRPr="00C22812">
              <w:rPr>
                <w:rFonts w:ascii="Times New Roman" w:hAnsi="Times New Roman"/>
              </w:rPr>
              <w:t>Multichoice nominal</w:t>
            </w:r>
          </w:p>
        </w:tc>
        <w:tc>
          <w:tcPr>
            <w:tcW w:w="4284" w:type="dxa"/>
            <w:tcBorders>
              <w:top w:val="single" w:sz="4" w:space="0" w:color="auto"/>
            </w:tcBorders>
          </w:tcPr>
          <w:p w14:paraId="2341D2DF" w14:textId="33E94ABD" w:rsidR="008947D9" w:rsidRDefault="008947D9" w:rsidP="008947D9">
            <w:pPr>
              <w:rPr>
                <w:rFonts w:ascii="Times New Roman" w:hAnsi="Times New Roman" w:cs="Times New Roman"/>
              </w:rPr>
            </w:pPr>
            <w:r w:rsidRPr="00C22812">
              <w:rPr>
                <w:rFonts w:ascii="Times New Roman" w:hAnsi="Times New Roman"/>
              </w:rPr>
              <w:t>Benthic, surface</w:t>
            </w:r>
          </w:p>
        </w:tc>
      </w:tr>
      <w:tr w:rsidR="008947D9" w14:paraId="570D256B" w14:textId="77777777" w:rsidTr="009947CA">
        <w:tc>
          <w:tcPr>
            <w:tcW w:w="1800" w:type="dxa"/>
          </w:tcPr>
          <w:p w14:paraId="48349345" w14:textId="17E4F913" w:rsidR="008947D9" w:rsidRDefault="008947D9" w:rsidP="008947D9">
            <w:pPr>
              <w:rPr>
                <w:rFonts w:ascii="Times New Roman" w:hAnsi="Times New Roman" w:cs="Times New Roman"/>
              </w:rPr>
            </w:pPr>
            <w:r w:rsidRPr="00C22812">
              <w:rPr>
                <w:rFonts w:ascii="Times New Roman" w:hAnsi="Times New Roman"/>
              </w:rPr>
              <w:t>Adult trophic guild</w:t>
            </w:r>
          </w:p>
        </w:tc>
        <w:tc>
          <w:tcPr>
            <w:tcW w:w="1170" w:type="dxa"/>
          </w:tcPr>
          <w:p w14:paraId="2402AA7D" w14:textId="4633FB29" w:rsidR="008947D9" w:rsidRDefault="008947D9" w:rsidP="008947D9">
            <w:pPr>
              <w:rPr>
                <w:rFonts w:ascii="Times New Roman" w:hAnsi="Times New Roman" w:cs="Times New Roman"/>
              </w:rPr>
            </w:pPr>
            <w:r w:rsidRPr="00C22812">
              <w:rPr>
                <w:rFonts w:ascii="Times New Roman" w:hAnsi="Times New Roman"/>
              </w:rPr>
              <w:t>Troph</w:t>
            </w:r>
          </w:p>
        </w:tc>
        <w:tc>
          <w:tcPr>
            <w:tcW w:w="1376" w:type="dxa"/>
          </w:tcPr>
          <w:p w14:paraId="155350E2" w14:textId="533722A5" w:rsidR="008947D9" w:rsidRDefault="008947D9" w:rsidP="008947D9">
            <w:pPr>
              <w:rPr>
                <w:rFonts w:ascii="Times New Roman" w:hAnsi="Times New Roman" w:cs="Times New Roman"/>
              </w:rPr>
            </w:pPr>
            <w:r w:rsidRPr="00C22812">
              <w:rPr>
                <w:rFonts w:ascii="Times New Roman" w:hAnsi="Times New Roman"/>
              </w:rPr>
              <w:t xml:space="preserve">Nominal </w:t>
            </w:r>
          </w:p>
        </w:tc>
        <w:tc>
          <w:tcPr>
            <w:tcW w:w="4284" w:type="dxa"/>
          </w:tcPr>
          <w:p w14:paraId="3852AEEA" w14:textId="0538EA1D" w:rsidR="008947D9" w:rsidRDefault="008947D9" w:rsidP="008947D9">
            <w:pPr>
              <w:rPr>
                <w:rFonts w:ascii="Times New Roman" w:hAnsi="Times New Roman" w:cs="Times New Roman"/>
              </w:rPr>
            </w:pPr>
            <w:r w:rsidRPr="00C22812">
              <w:rPr>
                <w:rFonts w:ascii="Times New Roman" w:hAnsi="Times New Roman"/>
              </w:rPr>
              <w:t>Invertivore, invertivore–piscivore, piscivore, omnivore, herbivore–detritivore</w:t>
            </w:r>
          </w:p>
        </w:tc>
      </w:tr>
      <w:tr w:rsidR="008947D9" w14:paraId="457EAB31" w14:textId="77777777" w:rsidTr="009947CA">
        <w:tc>
          <w:tcPr>
            <w:tcW w:w="1800" w:type="dxa"/>
          </w:tcPr>
          <w:p w14:paraId="2E614E9E" w14:textId="737A09AA" w:rsidR="008947D9" w:rsidRDefault="008947D9" w:rsidP="008947D9">
            <w:pPr>
              <w:rPr>
                <w:rFonts w:ascii="Times New Roman" w:hAnsi="Times New Roman" w:cs="Times New Roman"/>
              </w:rPr>
            </w:pPr>
            <w:r w:rsidRPr="00C22812">
              <w:rPr>
                <w:rFonts w:ascii="Times New Roman" w:hAnsi="Times New Roman"/>
              </w:rPr>
              <w:t>Maximum total length</w:t>
            </w:r>
          </w:p>
        </w:tc>
        <w:tc>
          <w:tcPr>
            <w:tcW w:w="1170" w:type="dxa"/>
          </w:tcPr>
          <w:p w14:paraId="6611C795" w14:textId="2BD1A244" w:rsidR="008947D9" w:rsidRDefault="008947D9" w:rsidP="008947D9">
            <w:pPr>
              <w:rPr>
                <w:rFonts w:ascii="Times New Roman" w:hAnsi="Times New Roman" w:cs="Times New Roman"/>
              </w:rPr>
            </w:pPr>
            <w:r w:rsidRPr="003F57F4">
              <w:rPr>
                <w:rFonts w:ascii="Times New Roman" w:hAnsi="Times New Roman"/>
              </w:rPr>
              <w:t>Rep</w:t>
            </w:r>
          </w:p>
        </w:tc>
        <w:tc>
          <w:tcPr>
            <w:tcW w:w="1376" w:type="dxa"/>
          </w:tcPr>
          <w:p w14:paraId="53228435" w14:textId="244AC693" w:rsidR="008947D9" w:rsidRDefault="008947D9" w:rsidP="008947D9">
            <w:pPr>
              <w:rPr>
                <w:rFonts w:ascii="Times New Roman" w:hAnsi="Times New Roman" w:cs="Times New Roman"/>
              </w:rPr>
            </w:pPr>
            <w:r w:rsidRPr="00C22812">
              <w:rPr>
                <w:rFonts w:ascii="Times New Roman" w:hAnsi="Times New Roman"/>
              </w:rPr>
              <w:t>Continuous</w:t>
            </w:r>
          </w:p>
        </w:tc>
        <w:tc>
          <w:tcPr>
            <w:tcW w:w="4284" w:type="dxa"/>
          </w:tcPr>
          <w:p w14:paraId="6E36C05D" w14:textId="63B0ADE5" w:rsidR="008947D9" w:rsidRDefault="008947D9" w:rsidP="008947D9">
            <w:pPr>
              <w:rPr>
                <w:rFonts w:ascii="Times New Roman" w:hAnsi="Times New Roman" w:cs="Times New Roman"/>
              </w:rPr>
            </w:pPr>
            <w:r w:rsidRPr="00C22812">
              <w:rPr>
                <w:rFonts w:ascii="Times New Roman" w:hAnsi="Times New Roman"/>
              </w:rPr>
              <w:t>Cm (</w:t>
            </w:r>
            <w:r w:rsidRPr="00C22812">
              <w:rPr>
                <w:rFonts w:ascii="Times New Roman" w:hAnsi="Times New Roman"/>
                <w:i/>
              </w:rPr>
              <w:t>log</w:t>
            </w:r>
            <w:r w:rsidRPr="00C22812">
              <w:rPr>
                <w:rFonts w:ascii="Times New Roman" w:hAnsi="Times New Roman"/>
                <w:i/>
                <w:vertAlign w:val="subscript"/>
              </w:rPr>
              <w:t>10</w:t>
            </w:r>
            <w:r w:rsidRPr="00C22812">
              <w:rPr>
                <w:rFonts w:ascii="Times New Roman" w:hAnsi="Times New Roman"/>
              </w:rPr>
              <w:t>)</w:t>
            </w:r>
          </w:p>
        </w:tc>
      </w:tr>
      <w:tr w:rsidR="008947D9" w14:paraId="04E8CB97" w14:textId="77777777" w:rsidTr="009947CA">
        <w:tc>
          <w:tcPr>
            <w:tcW w:w="1800" w:type="dxa"/>
          </w:tcPr>
          <w:p w14:paraId="277A56F0" w14:textId="0C0C28C0" w:rsidR="008947D9" w:rsidRDefault="008947D9" w:rsidP="008947D9">
            <w:pPr>
              <w:rPr>
                <w:rFonts w:ascii="Times New Roman" w:hAnsi="Times New Roman" w:cs="Times New Roman"/>
              </w:rPr>
            </w:pPr>
            <w:r w:rsidRPr="00C22812">
              <w:rPr>
                <w:rFonts w:ascii="Times New Roman" w:hAnsi="Times New Roman"/>
              </w:rPr>
              <w:t>Substrate affinity</w:t>
            </w:r>
          </w:p>
        </w:tc>
        <w:tc>
          <w:tcPr>
            <w:tcW w:w="1170" w:type="dxa"/>
          </w:tcPr>
          <w:p w14:paraId="1B65EA64" w14:textId="4983F935" w:rsidR="008947D9" w:rsidRDefault="008947D9" w:rsidP="008947D9">
            <w:pPr>
              <w:rPr>
                <w:rFonts w:ascii="Times New Roman" w:hAnsi="Times New Roman" w:cs="Times New Roman"/>
              </w:rPr>
            </w:pPr>
            <w:r w:rsidRPr="00C22812">
              <w:rPr>
                <w:rFonts w:ascii="Times New Roman" w:hAnsi="Times New Roman"/>
              </w:rPr>
              <w:t>Env</w:t>
            </w:r>
          </w:p>
        </w:tc>
        <w:tc>
          <w:tcPr>
            <w:tcW w:w="1376" w:type="dxa"/>
          </w:tcPr>
          <w:p w14:paraId="2FDDB075" w14:textId="66FC4D94" w:rsidR="008947D9" w:rsidRDefault="008947D9" w:rsidP="008947D9">
            <w:pPr>
              <w:rPr>
                <w:rFonts w:ascii="Times New Roman" w:hAnsi="Times New Roman" w:cs="Times New Roman"/>
              </w:rPr>
            </w:pPr>
            <w:r w:rsidRPr="00C22812">
              <w:rPr>
                <w:rFonts w:ascii="Times New Roman" w:hAnsi="Times New Roman"/>
              </w:rPr>
              <w:t>Multichoice nominal</w:t>
            </w:r>
          </w:p>
        </w:tc>
        <w:tc>
          <w:tcPr>
            <w:tcW w:w="4284" w:type="dxa"/>
          </w:tcPr>
          <w:p w14:paraId="66C73FD5" w14:textId="7839131C" w:rsidR="008947D9" w:rsidRDefault="008947D9" w:rsidP="008947D9">
            <w:pPr>
              <w:rPr>
                <w:rFonts w:ascii="Times New Roman" w:hAnsi="Times New Roman" w:cs="Times New Roman"/>
              </w:rPr>
            </w:pPr>
            <w:r w:rsidRPr="00C22812">
              <w:rPr>
                <w:rFonts w:ascii="Times New Roman" w:hAnsi="Times New Roman"/>
              </w:rPr>
              <w:t>Fine, coarse, rocky, vegetation</w:t>
            </w:r>
          </w:p>
        </w:tc>
      </w:tr>
      <w:tr w:rsidR="008947D9" w14:paraId="3D2A9694" w14:textId="77777777" w:rsidTr="009947CA">
        <w:tc>
          <w:tcPr>
            <w:tcW w:w="1800" w:type="dxa"/>
          </w:tcPr>
          <w:p w14:paraId="71D700F9" w14:textId="409F0C0A" w:rsidR="008947D9" w:rsidRDefault="008947D9" w:rsidP="008947D9">
            <w:pPr>
              <w:rPr>
                <w:rFonts w:ascii="Times New Roman" w:hAnsi="Times New Roman" w:cs="Times New Roman"/>
              </w:rPr>
            </w:pPr>
            <w:r w:rsidRPr="00C22812">
              <w:rPr>
                <w:rFonts w:ascii="Times New Roman" w:hAnsi="Times New Roman"/>
              </w:rPr>
              <w:t>Habitat affinity</w:t>
            </w:r>
          </w:p>
        </w:tc>
        <w:tc>
          <w:tcPr>
            <w:tcW w:w="1170" w:type="dxa"/>
          </w:tcPr>
          <w:p w14:paraId="604D353C" w14:textId="309DA0A5" w:rsidR="008947D9" w:rsidRDefault="008947D9" w:rsidP="008947D9">
            <w:pPr>
              <w:rPr>
                <w:rFonts w:ascii="Times New Roman" w:hAnsi="Times New Roman" w:cs="Times New Roman"/>
              </w:rPr>
            </w:pPr>
            <w:r w:rsidRPr="00C22812">
              <w:rPr>
                <w:rFonts w:ascii="Times New Roman" w:hAnsi="Times New Roman"/>
              </w:rPr>
              <w:t>Env</w:t>
            </w:r>
          </w:p>
        </w:tc>
        <w:tc>
          <w:tcPr>
            <w:tcW w:w="1376" w:type="dxa"/>
          </w:tcPr>
          <w:p w14:paraId="0D00247A" w14:textId="2A289895" w:rsidR="008947D9" w:rsidRDefault="008947D9" w:rsidP="008947D9">
            <w:pPr>
              <w:rPr>
                <w:rFonts w:ascii="Times New Roman" w:hAnsi="Times New Roman" w:cs="Times New Roman"/>
              </w:rPr>
            </w:pPr>
            <w:r w:rsidRPr="00C22812">
              <w:rPr>
                <w:rFonts w:ascii="Times New Roman" w:hAnsi="Times New Roman"/>
              </w:rPr>
              <w:t>Multichoice nominal</w:t>
            </w:r>
          </w:p>
        </w:tc>
        <w:tc>
          <w:tcPr>
            <w:tcW w:w="4284" w:type="dxa"/>
          </w:tcPr>
          <w:p w14:paraId="59842274" w14:textId="72726045" w:rsidR="008947D9" w:rsidRDefault="008947D9" w:rsidP="008947D9">
            <w:pPr>
              <w:rPr>
                <w:rFonts w:ascii="Times New Roman" w:hAnsi="Times New Roman" w:cs="Times New Roman"/>
              </w:rPr>
            </w:pPr>
            <w:r w:rsidRPr="00C22812">
              <w:rPr>
                <w:rFonts w:ascii="Times New Roman" w:hAnsi="Times New Roman"/>
              </w:rPr>
              <w:t>Creek, small river, large river, lake, spring</w:t>
            </w:r>
          </w:p>
        </w:tc>
      </w:tr>
      <w:tr w:rsidR="008947D9" w14:paraId="32B939A1" w14:textId="77777777" w:rsidTr="009947CA">
        <w:tc>
          <w:tcPr>
            <w:tcW w:w="1800" w:type="dxa"/>
          </w:tcPr>
          <w:p w14:paraId="25DF8ED3" w14:textId="28E43699" w:rsidR="008947D9" w:rsidRDefault="008947D9" w:rsidP="008947D9">
            <w:pPr>
              <w:rPr>
                <w:rFonts w:ascii="Times New Roman" w:hAnsi="Times New Roman" w:cs="Times New Roman"/>
              </w:rPr>
            </w:pPr>
            <w:r w:rsidRPr="00C22812">
              <w:rPr>
                <w:rFonts w:ascii="Times New Roman" w:hAnsi="Times New Roman"/>
              </w:rPr>
              <w:t>Altitudinal affinity</w:t>
            </w:r>
          </w:p>
        </w:tc>
        <w:tc>
          <w:tcPr>
            <w:tcW w:w="1170" w:type="dxa"/>
          </w:tcPr>
          <w:p w14:paraId="0C76ED14" w14:textId="560F450D" w:rsidR="008947D9" w:rsidRDefault="008947D9" w:rsidP="008947D9">
            <w:pPr>
              <w:rPr>
                <w:rFonts w:ascii="Times New Roman" w:hAnsi="Times New Roman" w:cs="Times New Roman"/>
              </w:rPr>
            </w:pPr>
            <w:r w:rsidRPr="00C22812">
              <w:rPr>
                <w:rFonts w:ascii="Times New Roman" w:hAnsi="Times New Roman"/>
              </w:rPr>
              <w:t>Env</w:t>
            </w:r>
          </w:p>
        </w:tc>
        <w:tc>
          <w:tcPr>
            <w:tcW w:w="1376" w:type="dxa"/>
          </w:tcPr>
          <w:p w14:paraId="4971C320" w14:textId="22D8E9C7" w:rsidR="008947D9" w:rsidRDefault="008947D9" w:rsidP="008947D9">
            <w:pPr>
              <w:rPr>
                <w:rFonts w:ascii="Times New Roman" w:hAnsi="Times New Roman" w:cs="Times New Roman"/>
              </w:rPr>
            </w:pPr>
            <w:r w:rsidRPr="00C22812">
              <w:rPr>
                <w:rFonts w:ascii="Times New Roman" w:hAnsi="Times New Roman"/>
              </w:rPr>
              <w:t>Multichoice nominal</w:t>
            </w:r>
          </w:p>
        </w:tc>
        <w:tc>
          <w:tcPr>
            <w:tcW w:w="4284" w:type="dxa"/>
          </w:tcPr>
          <w:p w14:paraId="2C577892" w14:textId="768D39E7" w:rsidR="008947D9" w:rsidRDefault="008947D9" w:rsidP="008947D9">
            <w:pPr>
              <w:rPr>
                <w:rFonts w:ascii="Times New Roman" w:hAnsi="Times New Roman" w:cs="Times New Roman"/>
              </w:rPr>
            </w:pPr>
            <w:r w:rsidRPr="00C22812">
              <w:rPr>
                <w:rFonts w:ascii="Times New Roman" w:hAnsi="Times New Roman"/>
              </w:rPr>
              <w:t>Lowland, montane, upland</w:t>
            </w:r>
          </w:p>
        </w:tc>
      </w:tr>
      <w:tr w:rsidR="008947D9" w14:paraId="131AD7D7" w14:textId="77777777" w:rsidTr="009947CA">
        <w:tc>
          <w:tcPr>
            <w:tcW w:w="1800" w:type="dxa"/>
          </w:tcPr>
          <w:p w14:paraId="06E49EFF" w14:textId="22F33F1E" w:rsidR="008947D9" w:rsidRDefault="008947D9" w:rsidP="008947D9">
            <w:pPr>
              <w:rPr>
                <w:rFonts w:ascii="Times New Roman" w:hAnsi="Times New Roman" w:cs="Times New Roman"/>
              </w:rPr>
            </w:pPr>
            <w:r w:rsidRPr="00C22812">
              <w:rPr>
                <w:rFonts w:ascii="Times New Roman" w:hAnsi="Times New Roman"/>
              </w:rPr>
              <w:t>Velocity preference</w:t>
            </w:r>
          </w:p>
        </w:tc>
        <w:tc>
          <w:tcPr>
            <w:tcW w:w="1170" w:type="dxa"/>
          </w:tcPr>
          <w:p w14:paraId="0BB45762" w14:textId="68C92076" w:rsidR="008947D9" w:rsidRDefault="008947D9" w:rsidP="008947D9">
            <w:pPr>
              <w:rPr>
                <w:rFonts w:ascii="Times New Roman" w:hAnsi="Times New Roman" w:cs="Times New Roman"/>
              </w:rPr>
            </w:pPr>
            <w:r w:rsidRPr="00C22812">
              <w:rPr>
                <w:rFonts w:ascii="Times New Roman" w:hAnsi="Times New Roman"/>
              </w:rPr>
              <w:t>Env</w:t>
            </w:r>
          </w:p>
        </w:tc>
        <w:tc>
          <w:tcPr>
            <w:tcW w:w="1376" w:type="dxa"/>
          </w:tcPr>
          <w:p w14:paraId="20890DAA" w14:textId="06EF4269" w:rsidR="008947D9" w:rsidRDefault="008947D9" w:rsidP="008947D9">
            <w:pPr>
              <w:rPr>
                <w:rFonts w:ascii="Times New Roman" w:hAnsi="Times New Roman" w:cs="Times New Roman"/>
              </w:rPr>
            </w:pPr>
            <w:r w:rsidRPr="00C22812">
              <w:rPr>
                <w:rFonts w:ascii="Times New Roman" w:hAnsi="Times New Roman"/>
              </w:rPr>
              <w:t>Multichoice nominal</w:t>
            </w:r>
          </w:p>
        </w:tc>
        <w:tc>
          <w:tcPr>
            <w:tcW w:w="4284" w:type="dxa"/>
          </w:tcPr>
          <w:p w14:paraId="44DDFC0A" w14:textId="23D36D12" w:rsidR="008947D9" w:rsidRDefault="008947D9" w:rsidP="008947D9">
            <w:pPr>
              <w:rPr>
                <w:rFonts w:ascii="Times New Roman" w:hAnsi="Times New Roman" w:cs="Times New Roman"/>
              </w:rPr>
            </w:pPr>
            <w:r w:rsidRPr="00C22812">
              <w:rPr>
                <w:rFonts w:ascii="Times New Roman" w:hAnsi="Times New Roman"/>
              </w:rPr>
              <w:t>Fast, moderate, slow</w:t>
            </w:r>
          </w:p>
        </w:tc>
      </w:tr>
      <w:tr w:rsidR="008947D9" w14:paraId="0651B10E" w14:textId="77777777" w:rsidTr="009947CA">
        <w:tc>
          <w:tcPr>
            <w:tcW w:w="1800" w:type="dxa"/>
          </w:tcPr>
          <w:p w14:paraId="07D6FC2C" w14:textId="010C047D" w:rsidR="008947D9" w:rsidRDefault="008947D9" w:rsidP="008947D9">
            <w:pPr>
              <w:rPr>
                <w:rFonts w:ascii="Times New Roman" w:hAnsi="Times New Roman" w:cs="Times New Roman"/>
              </w:rPr>
            </w:pPr>
            <w:r w:rsidRPr="00C22812">
              <w:rPr>
                <w:rFonts w:ascii="Times New Roman" w:hAnsi="Times New Roman"/>
              </w:rPr>
              <w:t>Maximum total fecundity</w:t>
            </w:r>
          </w:p>
        </w:tc>
        <w:tc>
          <w:tcPr>
            <w:tcW w:w="1170" w:type="dxa"/>
          </w:tcPr>
          <w:p w14:paraId="5D94C5C7" w14:textId="4514E4AF" w:rsidR="008947D9" w:rsidRDefault="008947D9" w:rsidP="008947D9">
            <w:pPr>
              <w:rPr>
                <w:rFonts w:ascii="Times New Roman" w:hAnsi="Times New Roman" w:cs="Times New Roman"/>
              </w:rPr>
            </w:pPr>
            <w:r w:rsidRPr="00C22812">
              <w:rPr>
                <w:rFonts w:ascii="Times New Roman" w:hAnsi="Times New Roman"/>
              </w:rPr>
              <w:t>Rep</w:t>
            </w:r>
          </w:p>
        </w:tc>
        <w:tc>
          <w:tcPr>
            <w:tcW w:w="1376" w:type="dxa"/>
          </w:tcPr>
          <w:p w14:paraId="2F743A10" w14:textId="4D95ED09" w:rsidR="008947D9" w:rsidRDefault="008947D9" w:rsidP="008947D9">
            <w:pPr>
              <w:rPr>
                <w:rFonts w:ascii="Times New Roman" w:hAnsi="Times New Roman" w:cs="Times New Roman"/>
              </w:rPr>
            </w:pPr>
            <w:r w:rsidRPr="00C22812">
              <w:rPr>
                <w:rFonts w:ascii="Times New Roman" w:hAnsi="Times New Roman"/>
              </w:rPr>
              <w:t>Continuous</w:t>
            </w:r>
          </w:p>
        </w:tc>
        <w:tc>
          <w:tcPr>
            <w:tcW w:w="4284" w:type="dxa"/>
          </w:tcPr>
          <w:p w14:paraId="18E43854" w14:textId="0BB340F3" w:rsidR="008947D9" w:rsidRDefault="008947D9" w:rsidP="008947D9">
            <w:pPr>
              <w:rPr>
                <w:rFonts w:ascii="Times New Roman" w:hAnsi="Times New Roman" w:cs="Times New Roman"/>
              </w:rPr>
            </w:pPr>
            <w:r w:rsidRPr="00C22812">
              <w:rPr>
                <w:rFonts w:ascii="Times New Roman" w:hAnsi="Times New Roman"/>
              </w:rPr>
              <w:t>Number of eggs (</w:t>
            </w:r>
            <w:r w:rsidRPr="00C22812">
              <w:rPr>
                <w:rFonts w:ascii="Times New Roman" w:hAnsi="Times New Roman"/>
                <w:i/>
              </w:rPr>
              <w:t>log</w:t>
            </w:r>
            <w:r w:rsidRPr="00C22812">
              <w:rPr>
                <w:rFonts w:ascii="Times New Roman" w:hAnsi="Times New Roman"/>
                <w:i/>
                <w:vertAlign w:val="subscript"/>
              </w:rPr>
              <w:t>10</w:t>
            </w:r>
            <w:r w:rsidRPr="00C22812">
              <w:rPr>
                <w:rFonts w:ascii="Times New Roman" w:hAnsi="Times New Roman"/>
              </w:rPr>
              <w:t>)</w:t>
            </w:r>
          </w:p>
        </w:tc>
      </w:tr>
      <w:tr w:rsidR="008947D9" w14:paraId="1AD6DD39" w14:textId="77777777" w:rsidTr="009947CA">
        <w:tc>
          <w:tcPr>
            <w:tcW w:w="1800" w:type="dxa"/>
          </w:tcPr>
          <w:p w14:paraId="070224F4" w14:textId="76CF531C" w:rsidR="008947D9" w:rsidRDefault="008947D9" w:rsidP="008947D9">
            <w:pPr>
              <w:rPr>
                <w:rFonts w:ascii="Times New Roman" w:hAnsi="Times New Roman" w:cs="Times New Roman"/>
              </w:rPr>
            </w:pPr>
            <w:r w:rsidRPr="00C22812">
              <w:rPr>
                <w:rFonts w:ascii="Times New Roman" w:hAnsi="Times New Roman"/>
              </w:rPr>
              <w:t>Spawning season length</w:t>
            </w:r>
          </w:p>
        </w:tc>
        <w:tc>
          <w:tcPr>
            <w:tcW w:w="1170" w:type="dxa"/>
          </w:tcPr>
          <w:p w14:paraId="78506753" w14:textId="0AB45927" w:rsidR="008947D9" w:rsidRDefault="008947D9" w:rsidP="008947D9">
            <w:pPr>
              <w:rPr>
                <w:rFonts w:ascii="Times New Roman" w:hAnsi="Times New Roman" w:cs="Times New Roman"/>
              </w:rPr>
            </w:pPr>
            <w:r w:rsidRPr="00C22812">
              <w:rPr>
                <w:rFonts w:ascii="Times New Roman" w:hAnsi="Times New Roman"/>
              </w:rPr>
              <w:t>Rep</w:t>
            </w:r>
          </w:p>
        </w:tc>
        <w:tc>
          <w:tcPr>
            <w:tcW w:w="1376" w:type="dxa"/>
          </w:tcPr>
          <w:p w14:paraId="3F98CE51" w14:textId="43CCE9EF" w:rsidR="008947D9" w:rsidRDefault="008947D9" w:rsidP="008947D9">
            <w:pPr>
              <w:rPr>
                <w:rFonts w:ascii="Times New Roman" w:hAnsi="Times New Roman" w:cs="Times New Roman"/>
              </w:rPr>
            </w:pPr>
            <w:r w:rsidRPr="00C22812">
              <w:rPr>
                <w:rFonts w:ascii="Times New Roman" w:hAnsi="Times New Roman"/>
              </w:rPr>
              <w:t>Continuous</w:t>
            </w:r>
          </w:p>
        </w:tc>
        <w:tc>
          <w:tcPr>
            <w:tcW w:w="4284" w:type="dxa"/>
          </w:tcPr>
          <w:p w14:paraId="642FDA4E" w14:textId="27375B94" w:rsidR="008947D9" w:rsidRDefault="008947D9" w:rsidP="008947D9">
            <w:pPr>
              <w:rPr>
                <w:rFonts w:ascii="Times New Roman" w:hAnsi="Times New Roman" w:cs="Times New Roman"/>
              </w:rPr>
            </w:pPr>
            <w:r w:rsidRPr="00C22812">
              <w:rPr>
                <w:rFonts w:ascii="Times New Roman" w:hAnsi="Times New Roman"/>
              </w:rPr>
              <w:t>Number of months</w:t>
            </w:r>
          </w:p>
        </w:tc>
      </w:tr>
      <w:tr w:rsidR="008947D9" w14:paraId="0400D904" w14:textId="77777777" w:rsidTr="009947CA">
        <w:tc>
          <w:tcPr>
            <w:tcW w:w="1800" w:type="dxa"/>
            <w:tcBorders>
              <w:bottom w:val="single" w:sz="4" w:space="0" w:color="auto"/>
            </w:tcBorders>
          </w:tcPr>
          <w:p w14:paraId="11211BAA" w14:textId="62DAAFD0" w:rsidR="008947D9" w:rsidRPr="00C22812" w:rsidRDefault="008947D9" w:rsidP="008947D9">
            <w:pPr>
              <w:rPr>
                <w:rFonts w:ascii="Times New Roman" w:hAnsi="Times New Roman"/>
              </w:rPr>
            </w:pPr>
            <w:r w:rsidRPr="00C22812">
              <w:rPr>
                <w:rFonts w:ascii="Times New Roman" w:hAnsi="Times New Roman"/>
              </w:rPr>
              <w:t>Reproductive guild</w:t>
            </w:r>
          </w:p>
        </w:tc>
        <w:tc>
          <w:tcPr>
            <w:tcW w:w="1170" w:type="dxa"/>
            <w:tcBorders>
              <w:bottom w:val="single" w:sz="4" w:space="0" w:color="auto"/>
            </w:tcBorders>
          </w:tcPr>
          <w:p w14:paraId="3E2F0826" w14:textId="7A97A283" w:rsidR="008947D9" w:rsidRPr="00C22812" w:rsidRDefault="008947D9" w:rsidP="008947D9">
            <w:pPr>
              <w:rPr>
                <w:rFonts w:ascii="Times New Roman" w:hAnsi="Times New Roman"/>
              </w:rPr>
            </w:pPr>
            <w:r w:rsidRPr="00C22812">
              <w:rPr>
                <w:rFonts w:ascii="Times New Roman" w:hAnsi="Times New Roman"/>
              </w:rPr>
              <w:t>Rep</w:t>
            </w:r>
          </w:p>
        </w:tc>
        <w:tc>
          <w:tcPr>
            <w:tcW w:w="1376" w:type="dxa"/>
            <w:tcBorders>
              <w:bottom w:val="single" w:sz="4" w:space="0" w:color="auto"/>
            </w:tcBorders>
          </w:tcPr>
          <w:p w14:paraId="2D5866E8" w14:textId="264287A2" w:rsidR="008947D9" w:rsidRPr="00C22812" w:rsidRDefault="008947D9" w:rsidP="008947D9">
            <w:pPr>
              <w:rPr>
                <w:rFonts w:ascii="Times New Roman" w:hAnsi="Times New Roman"/>
              </w:rPr>
            </w:pPr>
            <w:r w:rsidRPr="00C22812">
              <w:rPr>
                <w:rFonts w:ascii="Times New Roman" w:hAnsi="Times New Roman"/>
              </w:rPr>
              <w:t>Nominal</w:t>
            </w:r>
          </w:p>
        </w:tc>
        <w:tc>
          <w:tcPr>
            <w:tcW w:w="4284" w:type="dxa"/>
            <w:tcBorders>
              <w:bottom w:val="single" w:sz="4" w:space="0" w:color="auto"/>
            </w:tcBorders>
          </w:tcPr>
          <w:p w14:paraId="3370A89A" w14:textId="615A180F" w:rsidR="008947D9" w:rsidRPr="00C22812" w:rsidRDefault="008947D9" w:rsidP="008947D9">
            <w:pPr>
              <w:rPr>
                <w:rFonts w:ascii="Times New Roman" w:hAnsi="Times New Roman"/>
              </w:rPr>
            </w:pPr>
            <w:r w:rsidRPr="00C22812">
              <w:rPr>
                <w:rFonts w:ascii="Times New Roman" w:hAnsi="Times New Roman"/>
              </w:rPr>
              <w:t>Broadcast spawner (non–guarder), brood hider (non–guarder), substrate chooser (guarder), nest builder (guarder), substrate indifferent</w:t>
            </w:r>
          </w:p>
        </w:tc>
      </w:tr>
    </w:tbl>
    <w:p w14:paraId="3A6D1B7A" w14:textId="77777777" w:rsidR="008947D9" w:rsidRDefault="008947D9">
      <w:pPr>
        <w:rPr>
          <w:rFonts w:ascii="Times New Roman" w:hAnsi="Times New Roman" w:cs="Times New Roman"/>
        </w:rPr>
      </w:pPr>
      <w:r>
        <w:rPr>
          <w:rFonts w:ascii="Times New Roman" w:hAnsi="Times New Roman" w:cs="Times New Roman"/>
        </w:rPr>
        <w:br w:type="page"/>
      </w:r>
    </w:p>
    <w:p w14:paraId="17E2A496" w14:textId="58F497B7" w:rsidR="00236E6D" w:rsidRPr="00DF7C87" w:rsidRDefault="001E2792" w:rsidP="009764AD">
      <w:pPr>
        <w:ind w:firstLine="720"/>
        <w:jc w:val="both"/>
        <w:rPr>
          <w:rFonts w:ascii="Times New Roman" w:hAnsi="Times New Roman" w:cs="Times New Roman"/>
        </w:rPr>
      </w:pPr>
      <w:r w:rsidRPr="001E2792">
        <w:rPr>
          <w:rFonts w:ascii="Times New Roman" w:hAnsi="Times New Roman" w:cs="Times New Roman"/>
        </w:rPr>
        <w:lastRenderedPageBreak/>
        <w:t>In addition to external terrestrial stressors, freshwaters may experience unique stressors such as impoundment (damming) of waterways, which may restrict fish movement. To account for potential influences of river fragmentation on DBR (hereafter ‘free-flowing area’), we obtained the area between artificial structures and impoundments of  ≥ 1 m height from the French national obstacle inventory (ROE database, &lt; http://carmen.carmencarto.fr/66/ka_roe_current_metropole.map &gt;) complemented with modelled estimations from Januchowski-Hartley et al. (2019). A larger free-flowing area indicates a greater area of unobstructed river and therefore, larger habitat availability without fish dispersal constraints. We selected artificial structures of ≥ 1m height because obstructions of this height represent important dispersal barriers to many native French fish species and encompass a broad variety of stream habitat alterations imposed by barriers (Baudoin et al., 2014).</w:t>
      </w:r>
    </w:p>
    <w:p w14:paraId="6CD0DFDD" w14:textId="18833C9D" w:rsidR="003D63DF" w:rsidRPr="00DF7C87" w:rsidRDefault="002A0756" w:rsidP="00334400">
      <w:pPr>
        <w:pStyle w:val="Heading3"/>
        <w:rPr>
          <w:rFonts w:ascii="Times New Roman" w:hAnsi="Times New Roman" w:cs="Times New Roman"/>
          <w:szCs w:val="24"/>
        </w:rPr>
      </w:pPr>
      <w:bookmarkStart w:id="49" w:name="_Toc100607896"/>
      <w:r>
        <w:rPr>
          <w:rFonts w:ascii="Times New Roman" w:hAnsi="Times New Roman" w:cs="Times New Roman"/>
          <w:szCs w:val="24"/>
        </w:rPr>
        <w:t>Data analysis</w:t>
      </w:r>
      <w:bookmarkEnd w:id="49"/>
    </w:p>
    <w:p w14:paraId="46D7366B" w14:textId="62C36334" w:rsidR="002A0756" w:rsidRDefault="002A0756" w:rsidP="00363503">
      <w:pPr>
        <w:ind w:firstLine="720"/>
        <w:jc w:val="both"/>
        <w:rPr>
          <w:rFonts w:ascii="Times New Roman" w:hAnsi="Times New Roman" w:cs="Times New Roman"/>
        </w:rPr>
      </w:pPr>
      <w:r w:rsidRPr="002A0756">
        <w:rPr>
          <w:rFonts w:ascii="Times New Roman" w:hAnsi="Times New Roman" w:cs="Times New Roman"/>
        </w:rPr>
        <w:t xml:space="preserve">We used piecewise path analysis to examine direct and indirect drivers of the variation in local biomass across stream sites. Path analysis is an appropriate method to quantify DBR in observational analyses because it can discriminate between the relative importance of multiple covarying factors (Mokany et al., 2008) and account for complex interrelationships of predictor variables that affect biomass (Patrick et al., 2019). First, we constructed hypothesized causal models (Fig. </w:t>
      </w:r>
      <w:r w:rsidR="00681E5F">
        <w:rPr>
          <w:rFonts w:ascii="Times New Roman" w:hAnsi="Times New Roman" w:cs="Times New Roman"/>
        </w:rPr>
        <w:t>10</w:t>
      </w:r>
      <w:r w:rsidRPr="002A0756">
        <w:rPr>
          <w:rFonts w:ascii="Times New Roman" w:hAnsi="Times New Roman" w:cs="Times New Roman"/>
        </w:rPr>
        <w:t xml:space="preserve">) for two separate path models: a first one that did not discriminate between native and non-native species (hereafter ‘total biodiversity model’; Fig. </w:t>
      </w:r>
      <w:r w:rsidR="00681E5F">
        <w:rPr>
          <w:rFonts w:ascii="Times New Roman" w:hAnsi="Times New Roman" w:cs="Times New Roman"/>
        </w:rPr>
        <w:t>10</w:t>
      </w:r>
      <w:r w:rsidRPr="002A0756">
        <w:rPr>
          <w:rFonts w:ascii="Times New Roman" w:hAnsi="Times New Roman" w:cs="Times New Roman"/>
        </w:rPr>
        <w:t xml:space="preserve">a), and a second where we assessed potential differences between native and non-native species richness in driving DBR (hereafter ‘partitioned biodiversity model’; Fig. </w:t>
      </w:r>
      <w:r w:rsidR="00681E5F">
        <w:rPr>
          <w:rFonts w:ascii="Times New Roman" w:hAnsi="Times New Roman" w:cs="Times New Roman"/>
        </w:rPr>
        <w:t>10</w:t>
      </w:r>
      <w:r w:rsidRPr="002A0756">
        <w:rPr>
          <w:rFonts w:ascii="Times New Roman" w:hAnsi="Times New Roman" w:cs="Times New Roman"/>
        </w:rPr>
        <w:t>b). This approach did not require a prior specification of whether a given directional path was positive or negative.</w:t>
      </w:r>
    </w:p>
    <w:p w14:paraId="25C99025" w14:textId="38AD73A9" w:rsidR="002A0756" w:rsidRPr="002A0756" w:rsidRDefault="008F60C3" w:rsidP="00363503">
      <w:pPr>
        <w:ind w:firstLine="720"/>
        <w:jc w:val="both"/>
        <w:rPr>
          <w:rFonts w:ascii="Times New Roman" w:hAnsi="Times New Roman" w:cs="Times New Roman"/>
        </w:rPr>
      </w:pPr>
      <w:r w:rsidRPr="00DF7C87">
        <w:rPr>
          <w:rFonts w:ascii="Times New Roman" w:hAnsi="Times New Roman" w:cs="Times New Roman"/>
        </w:rPr>
        <w:t xml:space="preserve"> </w:t>
      </w:r>
      <w:r w:rsidR="003D07F7" w:rsidRPr="00DF7C87">
        <w:rPr>
          <w:rFonts w:ascii="Times New Roman" w:hAnsi="Times New Roman" w:cs="Times New Roman"/>
        </w:rPr>
        <w:t xml:space="preserve"> </w:t>
      </w:r>
      <w:r w:rsidR="002A0756" w:rsidRPr="002A0756">
        <w:rPr>
          <w:rFonts w:ascii="Times New Roman" w:hAnsi="Times New Roman" w:cs="Times New Roman"/>
        </w:rPr>
        <w:t>To model endogenous piecewise components (biomass, functional diversity, and species richness), we used linear mixed-effects models with Gaussian error structures. We incorporated random intercepts based on watershed ID in all endogenous components because sites in the same watershed might have more similar responses owing to similarities in environmental conditions and/or species pools. We also included sampled area as a covariate in all endogenous piecewise components, which allowed us to quantify the influences of predictor variables, while controlling for variation in sampling effort. We also assessed whether sampling year may affect results and incorporated year as a covariate and these preliminary analyses indicated no effect (</w:t>
      </w:r>
      <w:r w:rsidR="00681E5F">
        <w:rPr>
          <w:rFonts w:ascii="Times New Roman" w:hAnsi="Times New Roman" w:cs="Times New Roman"/>
        </w:rPr>
        <w:t>Table 8</w:t>
      </w:r>
      <w:r w:rsidR="002A0756" w:rsidRPr="002A0756">
        <w:rPr>
          <w:rFonts w:ascii="Times New Roman" w:hAnsi="Times New Roman" w:cs="Times New Roman"/>
        </w:rPr>
        <w:t xml:space="preserve">), therefore we selected the more parsimonious models without sampling year for analyses. Prior to fitting path models, we applied transformations where appropriate to predictor variables (see Table </w:t>
      </w:r>
      <w:r w:rsidR="00897ABC">
        <w:rPr>
          <w:rFonts w:ascii="Times New Roman" w:hAnsi="Times New Roman" w:cs="Times New Roman"/>
        </w:rPr>
        <w:t>4</w:t>
      </w:r>
      <w:r w:rsidR="002A0756" w:rsidRPr="002A0756">
        <w:rPr>
          <w:rFonts w:ascii="Times New Roman" w:hAnsi="Times New Roman" w:cs="Times New Roman"/>
        </w:rPr>
        <w:t>), log10 transformed biomass, and standardized (centered to mean = 0 and scaled to SD = 1) all variables to meet assumptions of normality of residuals imposed by Gaussian error structures.</w:t>
      </w:r>
    </w:p>
    <w:p w14:paraId="58B5C718" w14:textId="77777777" w:rsidR="00ED4F76" w:rsidRDefault="00ED4F76">
      <w:pPr>
        <w:rPr>
          <w:rFonts w:ascii="Times New Roman" w:hAnsi="Times New Roman" w:cs="Times New Roman"/>
        </w:rPr>
      </w:pPr>
      <w:r>
        <w:rPr>
          <w:rFonts w:ascii="Times New Roman" w:hAnsi="Times New Roman" w:cs="Times New Roman"/>
        </w:rPr>
        <w:br w:type="page"/>
      </w:r>
    </w:p>
    <w:p w14:paraId="4A68A537" w14:textId="77777777" w:rsidR="00ED4F76" w:rsidRDefault="00ED4F76" w:rsidP="002B5C2C">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616759E" wp14:editId="30DC7B12">
            <wp:extent cx="2795016" cy="4892040"/>
            <wp:effectExtent l="0" t="0" r="5715" b="381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5016" cy="4892040"/>
                    </a:xfrm>
                    <a:prstGeom prst="rect">
                      <a:avLst/>
                    </a:prstGeom>
                  </pic:spPr>
                </pic:pic>
              </a:graphicData>
            </a:graphic>
          </wp:inline>
        </w:drawing>
      </w:r>
    </w:p>
    <w:p w14:paraId="2B96FCC2" w14:textId="1446AFDB" w:rsidR="00ED4F76" w:rsidRDefault="00FD1AE9" w:rsidP="00ED4F76">
      <w:pPr>
        <w:pStyle w:val="Caption"/>
        <w:jc w:val="both"/>
        <w:rPr>
          <w:rFonts w:ascii="Times New Roman" w:hAnsi="Times New Roman" w:cs="Times New Roman"/>
          <w:b w:val="0"/>
          <w:bCs w:val="0"/>
        </w:rPr>
      </w:pPr>
      <w:bookmarkStart w:id="50" w:name="_Toc100607939"/>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10</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sidR="00ED4F76">
        <w:rPr>
          <w:rFonts w:ascii="Times New Roman" w:hAnsi="Times New Roman"/>
        </w:rPr>
        <w:t xml:space="preserve">Hypothesized path models showing all potential direct and indirect relationships of predictor variables on biomass for the (a) </w:t>
      </w:r>
      <w:r w:rsidR="00ED4F76" w:rsidRPr="001B6037">
        <w:rPr>
          <w:rFonts w:ascii="Times New Roman" w:hAnsi="Times New Roman"/>
          <w:i/>
        </w:rPr>
        <w:t>total biodiversity path model</w:t>
      </w:r>
      <w:r w:rsidR="00ED4F76">
        <w:rPr>
          <w:rFonts w:ascii="Times New Roman" w:hAnsi="Times New Roman"/>
        </w:rPr>
        <w:t xml:space="preserve"> and (b) </w:t>
      </w:r>
      <w:r w:rsidR="00ED4F76" w:rsidRPr="001B6037">
        <w:rPr>
          <w:rFonts w:ascii="Times New Roman" w:hAnsi="Times New Roman"/>
          <w:i/>
        </w:rPr>
        <w:t>partitioned biodiversity path model</w:t>
      </w:r>
      <w:r w:rsidR="00ED4F76">
        <w:rPr>
          <w:rFonts w:ascii="Times New Roman" w:hAnsi="Times New Roman"/>
        </w:rPr>
        <w:t xml:space="preserve">. </w:t>
      </w:r>
      <w:r w:rsidR="00ED4F76" w:rsidRPr="00ED4F76">
        <w:rPr>
          <w:rFonts w:ascii="Times New Roman" w:hAnsi="Times New Roman" w:cs="Times New Roman"/>
          <w:b w:val="0"/>
          <w:bCs w:val="0"/>
        </w:rPr>
        <w:t>Black lines show direct effects of endogenous variables, dashed grey lines illustrate combined effects of exogenous abiotic variables, and double-headed arrows illustrate bidirectional relationships. Paths between exogenous abiotic variables, all of which are treated as bidirectional correlations, are omitted.</w:t>
      </w:r>
      <w:bookmarkEnd w:id="50"/>
    </w:p>
    <w:p w14:paraId="36977282" w14:textId="4C469255" w:rsidR="00ED4F76" w:rsidRDefault="00ED4F76">
      <w:pPr>
        <w:rPr>
          <w:rFonts w:ascii="Times New Roman" w:hAnsi="Times New Roman" w:cs="Times New Roman"/>
        </w:rPr>
      </w:pPr>
      <w:r>
        <w:rPr>
          <w:rFonts w:ascii="Times New Roman" w:hAnsi="Times New Roman" w:cs="Times New Roman"/>
        </w:rPr>
        <w:br w:type="page"/>
      </w:r>
    </w:p>
    <w:p w14:paraId="40ABA04D" w14:textId="50A3CA5F" w:rsidR="002A0756" w:rsidRPr="002A0756" w:rsidRDefault="002A0756" w:rsidP="00363503">
      <w:pPr>
        <w:ind w:firstLine="720"/>
        <w:jc w:val="both"/>
        <w:rPr>
          <w:rFonts w:ascii="Times New Roman" w:hAnsi="Times New Roman" w:cs="Times New Roman"/>
        </w:rPr>
      </w:pPr>
      <w:r w:rsidRPr="002A0756">
        <w:rPr>
          <w:rFonts w:ascii="Times New Roman" w:hAnsi="Times New Roman" w:cs="Times New Roman"/>
        </w:rPr>
        <w:lastRenderedPageBreak/>
        <w:t xml:space="preserve">We modelled biomass as a function of abiotic and biodiversity (species richness and functional diversity) variables plus sampled area. Sites within the same regional pool may also exhibit more similar responses of biomass to biodiversity effects. Therefore, we assessed the fit of the following candidate random effects structures applied to the global (all predictor variables included) biomass model: (1) random watershed intercepts, (2) random species richness slopes and watershed intercepts; and (3) random functional diversity slopes and watershed intercepts. We used small-sample Akaike Information Criterion (AICc) to select the most parsimonious random effect structure from the candidate models (i.e. model with the lowest AICc). </w:t>
      </w:r>
    </w:p>
    <w:p w14:paraId="1331810B" w14:textId="4622DA0D" w:rsidR="002A0756" w:rsidRPr="002A0756" w:rsidRDefault="002A0756" w:rsidP="00363503">
      <w:pPr>
        <w:ind w:firstLine="720"/>
        <w:jc w:val="both"/>
        <w:rPr>
          <w:rFonts w:ascii="Times New Roman" w:hAnsi="Times New Roman" w:cs="Times New Roman"/>
        </w:rPr>
      </w:pPr>
      <w:r w:rsidRPr="002A0756">
        <w:rPr>
          <w:rFonts w:ascii="Times New Roman" w:hAnsi="Times New Roman" w:cs="Times New Roman"/>
        </w:rPr>
        <w:t xml:space="preserve">Next, we modelled species richness as a function of abiotic variables and sampled area; and modelled functional diversity as a function of species richness, abiotic variables, and sampled area (Fig. </w:t>
      </w:r>
      <w:r w:rsidR="00681E5F">
        <w:rPr>
          <w:rFonts w:ascii="Times New Roman" w:hAnsi="Times New Roman" w:cs="Times New Roman"/>
        </w:rPr>
        <w:t>10</w:t>
      </w:r>
      <w:r w:rsidRPr="002A0756">
        <w:rPr>
          <w:rFonts w:ascii="Times New Roman" w:hAnsi="Times New Roman" w:cs="Times New Roman"/>
        </w:rPr>
        <w:t>a). We specified a direct path from species richness to functional diversity to reflect the dependency of functional diversity on species richness (Flynn et al., 2011; Duffy et al., 2016; Craven et al., 2018). For each endogenous model (</w:t>
      </w:r>
      <w:r w:rsidRPr="00681E5F">
        <w:rPr>
          <w:rFonts w:ascii="Times New Roman" w:hAnsi="Times New Roman" w:cs="Times New Roman"/>
          <w:i/>
          <w:iCs/>
        </w:rPr>
        <w:t>n</w:t>
      </w:r>
      <w:r w:rsidRPr="002A0756">
        <w:rPr>
          <w:rFonts w:ascii="Times New Roman" w:hAnsi="Times New Roman" w:cs="Times New Roman"/>
        </w:rPr>
        <w:t xml:space="preserve"> = 3), we verified the absence of collinearity among the full suite of predictor variables using variance inflation factors (VIF &lt; 4; </w:t>
      </w:r>
      <w:r w:rsidR="00156D86">
        <w:rPr>
          <w:rFonts w:ascii="Times New Roman" w:hAnsi="Times New Roman" w:cs="Times New Roman"/>
        </w:rPr>
        <w:t xml:space="preserve">Table </w:t>
      </w:r>
      <w:r w:rsidR="00681E5F">
        <w:rPr>
          <w:rFonts w:ascii="Times New Roman" w:hAnsi="Times New Roman" w:cs="Times New Roman"/>
        </w:rPr>
        <w:t>9</w:t>
      </w:r>
      <w:r w:rsidRPr="002A0756">
        <w:rPr>
          <w:rFonts w:ascii="Times New Roman" w:hAnsi="Times New Roman" w:cs="Times New Roman"/>
        </w:rPr>
        <w:t>).</w:t>
      </w:r>
    </w:p>
    <w:p w14:paraId="6D303904" w14:textId="77777777" w:rsidR="002A0756" w:rsidRPr="002A0756" w:rsidRDefault="002A0756" w:rsidP="00363503">
      <w:pPr>
        <w:ind w:firstLine="720"/>
        <w:jc w:val="both"/>
        <w:rPr>
          <w:rFonts w:ascii="Times New Roman" w:hAnsi="Times New Roman" w:cs="Times New Roman"/>
        </w:rPr>
      </w:pPr>
      <w:r w:rsidRPr="002A0756">
        <w:rPr>
          <w:rFonts w:ascii="Times New Roman" w:hAnsi="Times New Roman" w:cs="Times New Roman"/>
        </w:rPr>
        <w:t xml:space="preserve">For relationships between exogenous abiotic variables (catchment area, free-flowing area, human impact, precipitation, slope, and temperature), we specified all potential paths between variable pairs as bidirectional correlations because these variables covary with environmental context determined by geographic location and position within stream networks (Vannote et al., 1980; Harvey &amp; Altermatt, 2019). Therefore, relationships between these variables are not based on causal mechanisms (Shipley, 2009, 2016). For example, annual temperature and human impact are likely positively related not through causal mechanisms, but because they both covary along longitudinal and geographical gradients. We treated sampled area the same as exogenous abiotic variables because sampled area is associated with variables (e.g., stream width and depth) that are likewise determined by regional and longitudinal position of the sampling site. </w:t>
      </w:r>
    </w:p>
    <w:p w14:paraId="6E084D3B" w14:textId="7B77B30D" w:rsidR="002A0756" w:rsidRPr="002A0756" w:rsidRDefault="002A0756" w:rsidP="00363503">
      <w:pPr>
        <w:ind w:firstLine="720"/>
        <w:jc w:val="both"/>
        <w:rPr>
          <w:rFonts w:ascii="Times New Roman" w:hAnsi="Times New Roman" w:cs="Times New Roman"/>
        </w:rPr>
      </w:pPr>
      <w:r w:rsidRPr="002A0756">
        <w:rPr>
          <w:rFonts w:ascii="Times New Roman" w:hAnsi="Times New Roman" w:cs="Times New Roman"/>
        </w:rPr>
        <w:t>Next, for each endogenous variable, we identified important predictors via backward elimination of non-significant (</w:t>
      </w:r>
      <w:r w:rsidRPr="00681E5F">
        <w:rPr>
          <w:rFonts w:ascii="Times New Roman" w:hAnsi="Times New Roman" w:cs="Times New Roman"/>
          <w:i/>
          <w:iCs/>
        </w:rPr>
        <w:t>p</w:t>
      </w:r>
      <w:r w:rsidRPr="002A0756">
        <w:rPr>
          <w:rFonts w:ascii="Times New Roman" w:hAnsi="Times New Roman" w:cs="Times New Roman"/>
        </w:rPr>
        <w:t xml:space="preserve"> &gt; 0.05) fixed effects starting from the full model (Kuznetsova et al., 2017). To assess the fit of each endogenous LMM, we inspected model residuals for the best-fit models and scatterplots of response and predictor variables and found no evidence of potential non-linearity with respect to relationships between biomass and biodiversity variables with environmental predictors. We examined Moran’s correlograms from the residuals of the best-fit biomass model and found no evidence of residual spatial autocorrelation structure (</w:t>
      </w:r>
      <w:r w:rsidR="00D16F03">
        <w:rPr>
          <w:rFonts w:ascii="Times New Roman" w:hAnsi="Times New Roman" w:cs="Times New Roman"/>
        </w:rPr>
        <w:t xml:space="preserve">Fig. </w:t>
      </w:r>
      <w:r w:rsidR="00681E5F">
        <w:rPr>
          <w:rFonts w:ascii="Times New Roman" w:hAnsi="Times New Roman" w:cs="Times New Roman"/>
        </w:rPr>
        <w:t>13</w:t>
      </w:r>
      <w:r w:rsidRPr="002A0756">
        <w:rPr>
          <w:rFonts w:ascii="Times New Roman" w:hAnsi="Times New Roman" w:cs="Times New Roman"/>
        </w:rPr>
        <w:t xml:space="preserve">), therefore we did not consider a spatial correlation structure as part of the random effects in the model. </w:t>
      </w:r>
    </w:p>
    <w:p w14:paraId="2429052B" w14:textId="1BCC190B" w:rsidR="00236E6D" w:rsidRDefault="002A0756" w:rsidP="00363503">
      <w:pPr>
        <w:ind w:firstLine="720"/>
        <w:jc w:val="both"/>
        <w:rPr>
          <w:rFonts w:ascii="Times New Roman" w:hAnsi="Times New Roman" w:cs="Times New Roman"/>
        </w:rPr>
      </w:pPr>
      <w:r w:rsidRPr="002A0756">
        <w:rPr>
          <w:rFonts w:ascii="Times New Roman" w:hAnsi="Times New Roman" w:cs="Times New Roman"/>
        </w:rPr>
        <w:t xml:space="preserve">Following identification of causal paths between piecewise components, we tested whether our final path model provided a good fit to the empirical data using the d-sep test, which quantifies whether unconnected variables are indeed independent after accounting for the influence of other variables in the model (Shipley, 2016). The d-sep test entails (1) decomposing the causal path model into a series of k conditional independence claims, (2) testing the validity of each claim using appropriate statistical methods, (3) combining p-values from each claim to obtain the Fisher’s </w:t>
      </w:r>
      <w:r w:rsidRPr="00A351E0">
        <w:rPr>
          <w:rFonts w:ascii="Times New Roman" w:hAnsi="Times New Roman" w:cs="Times New Roman"/>
          <w:i/>
          <w:iCs/>
        </w:rPr>
        <w:t>C</w:t>
      </w:r>
      <w:r w:rsidRPr="002A0756">
        <w:rPr>
          <w:rFonts w:ascii="Times New Roman" w:hAnsi="Times New Roman" w:cs="Times New Roman"/>
        </w:rPr>
        <w:t xml:space="preserve"> statistic; and (4) testing </w:t>
      </w:r>
      <w:r w:rsidRPr="00A351E0">
        <w:rPr>
          <w:rFonts w:ascii="Times New Roman" w:hAnsi="Times New Roman" w:cs="Times New Roman"/>
          <w:i/>
          <w:iCs/>
        </w:rPr>
        <w:t>C</w:t>
      </w:r>
      <w:r w:rsidRPr="002A0756">
        <w:rPr>
          <w:rFonts w:ascii="Times New Roman" w:hAnsi="Times New Roman" w:cs="Times New Roman"/>
        </w:rPr>
        <w:t xml:space="preserve"> against a chi-squared distribution with 2k degrees of freedom (see Shipley, 2016). If the </w:t>
      </w:r>
      <w:r w:rsidRPr="00A351E0">
        <w:rPr>
          <w:rFonts w:ascii="Times New Roman" w:hAnsi="Times New Roman" w:cs="Times New Roman"/>
          <w:i/>
          <w:iCs/>
        </w:rPr>
        <w:t>p</w:t>
      </w:r>
      <w:r w:rsidRPr="002A0756">
        <w:rPr>
          <w:rFonts w:ascii="Times New Roman" w:hAnsi="Times New Roman" w:cs="Times New Roman"/>
        </w:rPr>
        <w:t xml:space="preserve">-value from </w:t>
      </w:r>
      <w:r w:rsidRPr="002A0756">
        <w:rPr>
          <w:rFonts w:ascii="Times New Roman" w:hAnsi="Times New Roman" w:cs="Times New Roman"/>
        </w:rPr>
        <w:lastRenderedPageBreak/>
        <w:t>the d-sep test is not significant (</w:t>
      </w:r>
      <w:r w:rsidRPr="00966AB2">
        <w:rPr>
          <w:rFonts w:ascii="Times New Roman" w:hAnsi="Times New Roman" w:cs="Times New Roman"/>
          <w:i/>
          <w:iCs/>
        </w:rPr>
        <w:t>p</w:t>
      </w:r>
      <w:r w:rsidRPr="002A0756">
        <w:rPr>
          <w:rFonts w:ascii="Times New Roman" w:hAnsi="Times New Roman" w:cs="Times New Roman"/>
        </w:rPr>
        <w:t xml:space="preserve"> &gt; 0.05), this indicates effects in the path model are conditionally independent, therefore the path model provides an adequate fit to the data (Shipley, 2016).</w:t>
      </w:r>
    </w:p>
    <w:p w14:paraId="086B0535" w14:textId="77777777" w:rsidR="002A0756" w:rsidRPr="002A0756" w:rsidRDefault="002A0756" w:rsidP="00363503">
      <w:pPr>
        <w:ind w:firstLine="720"/>
        <w:jc w:val="both"/>
        <w:rPr>
          <w:rFonts w:ascii="Times New Roman" w:hAnsi="Times New Roman" w:cs="Times New Roman"/>
        </w:rPr>
      </w:pPr>
      <w:r w:rsidRPr="002A0756">
        <w:rPr>
          <w:rFonts w:ascii="Times New Roman" w:hAnsi="Times New Roman" w:cs="Times New Roman"/>
        </w:rPr>
        <w:t xml:space="preserve">We then examined more specifically how non-native species may affect pathways of community biomass within the partitioned biodiversity model. We maintained the same hypothesized causal model structure as in the total biodiversity model explained above but separated species richness into native and non-native species richness components. For the biomass model, we used AICc to select the optimal random effects structure from four candidate structures: (1) random watershed intercepts, (2) random slopes for native species richness and watershed intercepts, (3) random slopes for non-native species richness and watershed intercepts; and (4) random slopes for functional diversity and watershed intercepts. We specified direct paths from native and non-native species richness to functional diversity to assess the relative effects of native versus non-native species in driving functional diversity. We additionally incorporated a bidirectional correlation between native and non-native species richness because the relationship between these two variables is unresolved (Brown &amp; Peet, 2003; Fridley et al., 2007). Model selection and d-sep test methods for the partitioned biodiversity model followed those used in the total biodiversity model. </w:t>
      </w:r>
    </w:p>
    <w:p w14:paraId="54B7FB0B" w14:textId="11A046E9" w:rsidR="00236E6D" w:rsidRPr="00DF7C87" w:rsidRDefault="002A0756" w:rsidP="009764AD">
      <w:pPr>
        <w:ind w:firstLine="720"/>
        <w:jc w:val="both"/>
        <w:rPr>
          <w:rFonts w:ascii="Times New Roman" w:hAnsi="Times New Roman" w:cs="Times New Roman"/>
        </w:rPr>
      </w:pPr>
      <w:r w:rsidRPr="002A0756">
        <w:rPr>
          <w:rFonts w:ascii="Times New Roman" w:hAnsi="Times New Roman" w:cs="Times New Roman"/>
        </w:rPr>
        <w:t>We used the packages ‘lme4’ (Bates et al., 2015), ‘lmertest’ (Kuznetsova et al., 2017), ‘MuMIn’ (Barton, 2018), and ‘piecewiseSEM’ (Lefcheck, 2016) to fit and evaluate linear mixed-effects models and piecewise path models in R.</w:t>
      </w:r>
    </w:p>
    <w:p w14:paraId="32C3884A" w14:textId="0F4E41D4" w:rsidR="00904969" w:rsidRPr="00911285" w:rsidRDefault="00067269" w:rsidP="00911285">
      <w:pPr>
        <w:pStyle w:val="Heading2"/>
        <w:rPr>
          <w:rFonts w:ascii="Times New Roman" w:hAnsi="Times New Roman" w:cs="Times New Roman"/>
          <w:sz w:val="24"/>
          <w:szCs w:val="24"/>
        </w:rPr>
      </w:pPr>
      <w:bookmarkStart w:id="51" w:name="_Toc100607897"/>
      <w:r>
        <w:rPr>
          <w:rFonts w:ascii="Times New Roman" w:hAnsi="Times New Roman" w:cs="Times New Roman"/>
          <w:sz w:val="24"/>
          <w:szCs w:val="24"/>
        </w:rPr>
        <w:t>Results</w:t>
      </w:r>
      <w:bookmarkEnd w:id="51"/>
    </w:p>
    <w:p w14:paraId="6B0C7FD9" w14:textId="2A4CD32F" w:rsidR="000447B4" w:rsidRPr="000447B4" w:rsidRDefault="000447B4" w:rsidP="00363503">
      <w:pPr>
        <w:ind w:firstLine="720"/>
        <w:jc w:val="both"/>
        <w:rPr>
          <w:rFonts w:ascii="Times New Roman" w:hAnsi="Times New Roman" w:cs="Times New Roman"/>
        </w:rPr>
      </w:pPr>
      <w:r w:rsidRPr="000447B4">
        <w:rPr>
          <w:rFonts w:ascii="Times New Roman" w:hAnsi="Times New Roman" w:cs="Times New Roman"/>
        </w:rPr>
        <w:t>The final total biodiversity model adequately fit the data (</w:t>
      </w:r>
      <w:r w:rsidRPr="00A351E0">
        <w:rPr>
          <w:rFonts w:ascii="Times New Roman" w:hAnsi="Times New Roman" w:cs="Times New Roman"/>
          <w:i/>
          <w:iCs/>
        </w:rPr>
        <w:t>C</w:t>
      </w:r>
      <w:r w:rsidRPr="000447B4">
        <w:rPr>
          <w:rFonts w:ascii="Times New Roman" w:hAnsi="Times New Roman" w:cs="Times New Roman"/>
        </w:rPr>
        <w:t xml:space="preserve"> = 7.78, 14 </w:t>
      </w:r>
      <w:r w:rsidRPr="00A351E0">
        <w:rPr>
          <w:rFonts w:ascii="Times New Roman" w:hAnsi="Times New Roman" w:cs="Times New Roman"/>
          <w:i/>
          <w:iCs/>
        </w:rPr>
        <w:t>df</w:t>
      </w:r>
      <w:r w:rsidRPr="000447B4">
        <w:rPr>
          <w:rFonts w:ascii="Times New Roman" w:hAnsi="Times New Roman" w:cs="Times New Roman"/>
        </w:rPr>
        <w:t xml:space="preserve">, </w:t>
      </w:r>
      <w:r w:rsidRPr="00A351E0">
        <w:rPr>
          <w:rFonts w:ascii="Times New Roman" w:hAnsi="Times New Roman" w:cs="Times New Roman"/>
          <w:i/>
          <w:iCs/>
        </w:rPr>
        <w:t>p</w:t>
      </w:r>
      <w:r w:rsidRPr="000447B4">
        <w:rPr>
          <w:rFonts w:ascii="Times New Roman" w:hAnsi="Times New Roman" w:cs="Times New Roman"/>
        </w:rPr>
        <w:t xml:space="preserve"> = 0.90; Fig. </w:t>
      </w:r>
      <w:r w:rsidR="00966AB2">
        <w:rPr>
          <w:rFonts w:ascii="Times New Roman" w:hAnsi="Times New Roman" w:cs="Times New Roman"/>
        </w:rPr>
        <w:t>11</w:t>
      </w:r>
      <w:r w:rsidRPr="000447B4">
        <w:rPr>
          <w:rFonts w:ascii="Times New Roman" w:hAnsi="Times New Roman" w:cs="Times New Roman"/>
        </w:rPr>
        <w:t>a</w:t>
      </w:r>
      <w:r w:rsidR="005F6380">
        <w:rPr>
          <w:rFonts w:ascii="Times New Roman" w:hAnsi="Times New Roman" w:cs="Times New Roman"/>
        </w:rPr>
        <w:t xml:space="preserve">, </w:t>
      </w:r>
      <w:r w:rsidR="001E6AE5">
        <w:rPr>
          <w:rFonts w:ascii="Times New Roman" w:hAnsi="Times New Roman" w:cs="Times New Roman"/>
        </w:rPr>
        <w:t xml:space="preserve">Table </w:t>
      </w:r>
      <w:r w:rsidR="00966AB2">
        <w:rPr>
          <w:rFonts w:ascii="Times New Roman" w:hAnsi="Times New Roman" w:cs="Times New Roman"/>
        </w:rPr>
        <w:t>10</w:t>
      </w:r>
      <w:r w:rsidRPr="000447B4">
        <w:rPr>
          <w:rFonts w:ascii="Times New Roman" w:hAnsi="Times New Roman" w:cs="Times New Roman"/>
        </w:rPr>
        <w:t xml:space="preserve">). Results indicated regional variation in the response of biomass to species richness, as shown by an optimal random effect structure of random intercepts and random slopes for species richness across watersheds. After controlling for sampling effort, biodiversity variables (species richness and functional diversity) were direct, positive drivers of biomass (Fig. </w:t>
      </w:r>
      <w:r w:rsidR="00966AB2">
        <w:rPr>
          <w:rFonts w:ascii="Times New Roman" w:hAnsi="Times New Roman" w:cs="Times New Roman"/>
        </w:rPr>
        <w:t>11</w:t>
      </w:r>
      <w:r w:rsidRPr="000447B4">
        <w:rPr>
          <w:rFonts w:ascii="Times New Roman" w:hAnsi="Times New Roman" w:cs="Times New Roman"/>
        </w:rPr>
        <w:t xml:space="preserve">a). The cumulative direct effects of biodiversity on stream fish biomass exceeded those of abiotic variables (Fig. </w:t>
      </w:r>
      <w:r w:rsidR="00966AB2">
        <w:rPr>
          <w:rFonts w:ascii="Times New Roman" w:hAnsi="Times New Roman" w:cs="Times New Roman"/>
        </w:rPr>
        <w:t>12</w:t>
      </w:r>
      <w:r w:rsidRPr="000447B4">
        <w:rPr>
          <w:rFonts w:ascii="Times New Roman" w:hAnsi="Times New Roman" w:cs="Times New Roman"/>
        </w:rPr>
        <w:t xml:space="preserve">a). Biomass also increased as a direct consequence of precipitation and human impact and increased with decreasing temperature (Fig. </w:t>
      </w:r>
      <w:r w:rsidR="00966AB2">
        <w:rPr>
          <w:rFonts w:ascii="Times New Roman" w:hAnsi="Times New Roman" w:cs="Times New Roman"/>
        </w:rPr>
        <w:t>11</w:t>
      </w:r>
      <w:r w:rsidRPr="000447B4">
        <w:rPr>
          <w:rFonts w:ascii="Times New Roman" w:hAnsi="Times New Roman" w:cs="Times New Roman"/>
        </w:rPr>
        <w:t xml:space="preserve">a). </w:t>
      </w:r>
    </w:p>
    <w:p w14:paraId="59919766" w14:textId="77777777" w:rsidR="000447B4" w:rsidRPr="000447B4" w:rsidRDefault="000447B4" w:rsidP="00363503">
      <w:pPr>
        <w:ind w:firstLine="720"/>
        <w:jc w:val="both"/>
        <w:rPr>
          <w:rFonts w:ascii="Times New Roman" w:hAnsi="Times New Roman" w:cs="Times New Roman"/>
        </w:rPr>
      </w:pPr>
      <w:r w:rsidRPr="000447B4">
        <w:rPr>
          <w:rFonts w:ascii="Times New Roman" w:hAnsi="Times New Roman" w:cs="Times New Roman"/>
        </w:rPr>
        <w:t xml:space="preserve">Species richness increased with increasing temperature, free-flowing area, and human impact, and decreased with increasing precipitation and slope. Functional diversity increased with increasing temperature and precipitation and decreased with increasing catchment area. Species richness showed a strong, positive relationship with functional diversity. </w:t>
      </w:r>
    </w:p>
    <w:p w14:paraId="12503F79" w14:textId="31C823E0" w:rsidR="000447B4" w:rsidRPr="00DF7C87" w:rsidRDefault="000447B4" w:rsidP="00363503">
      <w:pPr>
        <w:ind w:firstLine="720"/>
        <w:jc w:val="both"/>
        <w:rPr>
          <w:rFonts w:ascii="Times New Roman" w:hAnsi="Times New Roman" w:cs="Times New Roman"/>
        </w:rPr>
      </w:pPr>
      <w:r w:rsidRPr="000447B4">
        <w:rPr>
          <w:rFonts w:ascii="Times New Roman" w:hAnsi="Times New Roman" w:cs="Times New Roman"/>
        </w:rPr>
        <w:t xml:space="preserve">Precipitation had opposing indirect and direct effects; however, the overall effect of precipitation on biomass was positive (Fig. </w:t>
      </w:r>
      <w:r w:rsidR="00966AB2">
        <w:rPr>
          <w:rFonts w:ascii="Times New Roman" w:hAnsi="Times New Roman" w:cs="Times New Roman"/>
        </w:rPr>
        <w:t>12</w:t>
      </w:r>
      <w:r w:rsidRPr="000447B4">
        <w:rPr>
          <w:rFonts w:ascii="Times New Roman" w:hAnsi="Times New Roman" w:cs="Times New Roman"/>
        </w:rPr>
        <w:t xml:space="preserve">a). Temperature also had opposing indirect and direct effects; however, indirect positive effects of temperature on biomass exceeded the direct, negative effects (Fig. </w:t>
      </w:r>
      <w:r w:rsidR="00966AB2">
        <w:rPr>
          <w:rFonts w:ascii="Times New Roman" w:hAnsi="Times New Roman" w:cs="Times New Roman"/>
        </w:rPr>
        <w:t>12</w:t>
      </w:r>
      <w:r w:rsidRPr="000447B4">
        <w:rPr>
          <w:rFonts w:ascii="Times New Roman" w:hAnsi="Times New Roman" w:cs="Times New Roman"/>
        </w:rPr>
        <w:t xml:space="preserve">a). Overall, catchment area, free-flowing area, and temperature had indirect positive effects on biomass, whereas precipitation and slope had indirect negative effects on biomass, all of which were mediated through species richness and/or functional diversity (Fig. </w:t>
      </w:r>
      <w:r w:rsidR="00966AB2">
        <w:rPr>
          <w:rFonts w:ascii="Times New Roman" w:hAnsi="Times New Roman" w:cs="Times New Roman"/>
        </w:rPr>
        <w:t>11</w:t>
      </w:r>
      <w:r w:rsidRPr="000447B4">
        <w:rPr>
          <w:rFonts w:ascii="Times New Roman" w:hAnsi="Times New Roman" w:cs="Times New Roman"/>
        </w:rPr>
        <w:t xml:space="preserve">a, Fig. </w:t>
      </w:r>
      <w:r w:rsidR="00966AB2">
        <w:rPr>
          <w:rFonts w:ascii="Times New Roman" w:hAnsi="Times New Roman" w:cs="Times New Roman"/>
        </w:rPr>
        <w:t>12</w:t>
      </w:r>
      <w:r w:rsidRPr="000447B4">
        <w:rPr>
          <w:rFonts w:ascii="Times New Roman" w:hAnsi="Times New Roman" w:cs="Times New Roman"/>
        </w:rPr>
        <w:t>a).</w:t>
      </w:r>
    </w:p>
    <w:p w14:paraId="52EF22F0" w14:textId="77777777" w:rsidR="005654C9" w:rsidRDefault="005654C9" w:rsidP="005654C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AFB2093" wp14:editId="0DEA8B97">
            <wp:extent cx="3210615" cy="6296025"/>
            <wp:effectExtent l="0" t="0" r="889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19" cstate="print">
                      <a:extLst>
                        <a:ext uri="{28A0092B-C50C-407E-A947-70E740481C1C}">
                          <a14:useLocalDpi xmlns:a14="http://schemas.microsoft.com/office/drawing/2010/main" val="0"/>
                        </a:ext>
                      </a:extLst>
                    </a:blip>
                    <a:srcRect r="21318" b="15708"/>
                    <a:stretch/>
                  </pic:blipFill>
                  <pic:spPr bwMode="auto">
                    <a:xfrm>
                      <a:off x="0" y="0"/>
                      <a:ext cx="3224738" cy="6323721"/>
                    </a:xfrm>
                    <a:prstGeom prst="rect">
                      <a:avLst/>
                    </a:prstGeom>
                    <a:ln>
                      <a:noFill/>
                    </a:ln>
                    <a:extLst>
                      <a:ext uri="{53640926-AAD7-44D8-BBD7-CCE9431645EC}">
                        <a14:shadowObscured xmlns:a14="http://schemas.microsoft.com/office/drawing/2010/main"/>
                      </a:ext>
                    </a:extLst>
                  </pic:spPr>
                </pic:pic>
              </a:graphicData>
            </a:graphic>
          </wp:inline>
        </w:drawing>
      </w:r>
    </w:p>
    <w:p w14:paraId="5161F9F2" w14:textId="6E1310C5" w:rsidR="005654C9" w:rsidRDefault="00FD1AE9" w:rsidP="005654C9">
      <w:pPr>
        <w:pStyle w:val="Caption"/>
        <w:jc w:val="both"/>
        <w:rPr>
          <w:rFonts w:ascii="Times New Roman" w:hAnsi="Times New Roman" w:cs="Times New Roman"/>
          <w:b w:val="0"/>
          <w:bCs w:val="0"/>
        </w:rPr>
      </w:pPr>
      <w:bookmarkStart w:id="52" w:name="_Toc100607940"/>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11</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 xml:space="preserve"> </w:t>
      </w:r>
      <w:r w:rsidR="005654C9">
        <w:rPr>
          <w:rFonts w:ascii="Times New Roman" w:hAnsi="Times New Roman"/>
        </w:rPr>
        <w:t xml:space="preserve">Final piecewise path models showing abiotic and biotic influences on fish biomass for the (a) </w:t>
      </w:r>
      <w:r w:rsidR="005654C9" w:rsidRPr="001B6037">
        <w:rPr>
          <w:rFonts w:ascii="Times New Roman" w:hAnsi="Times New Roman"/>
          <w:i/>
        </w:rPr>
        <w:t>total biodiversity path model</w:t>
      </w:r>
      <w:r w:rsidR="005654C9">
        <w:rPr>
          <w:rFonts w:ascii="Times New Roman" w:hAnsi="Times New Roman"/>
        </w:rPr>
        <w:t xml:space="preserve"> and (b) </w:t>
      </w:r>
      <w:r w:rsidR="005654C9" w:rsidRPr="001B6037">
        <w:rPr>
          <w:rFonts w:ascii="Times New Roman" w:hAnsi="Times New Roman"/>
          <w:i/>
        </w:rPr>
        <w:t>partitioned biodiversity path model</w:t>
      </w:r>
      <w:r w:rsidR="005654C9">
        <w:rPr>
          <w:rFonts w:ascii="Times New Roman" w:hAnsi="Times New Roman"/>
        </w:rPr>
        <w:t xml:space="preserve">. </w:t>
      </w:r>
      <w:r w:rsidR="005654C9" w:rsidRPr="005654C9">
        <w:rPr>
          <w:rFonts w:ascii="Times New Roman" w:hAnsi="Times New Roman" w:cs="Times New Roman"/>
          <w:b w:val="0"/>
          <w:bCs w:val="0"/>
        </w:rPr>
        <w:t xml:space="preserve">All paths are significant at </w:t>
      </w:r>
      <w:r w:rsidR="005654C9" w:rsidRPr="00A351E0">
        <w:rPr>
          <w:rFonts w:ascii="Times New Roman" w:hAnsi="Times New Roman" w:cs="Times New Roman"/>
          <w:b w:val="0"/>
          <w:bCs w:val="0"/>
          <w:i/>
          <w:iCs/>
        </w:rPr>
        <w:t>p</w:t>
      </w:r>
      <w:r w:rsidR="005654C9" w:rsidRPr="005654C9">
        <w:rPr>
          <w:rFonts w:ascii="Times New Roman" w:hAnsi="Times New Roman" w:cs="Times New Roman"/>
          <w:b w:val="0"/>
          <w:bCs w:val="0"/>
        </w:rPr>
        <w:t xml:space="preserve"> &lt; 0.05. Width of arrows represents the absolute value of the path coefficient (effect size) based on percentiles of the distribution of absolute path coefficients from the total biodiversity path model and color indicates the direction (positive or negative) of the effect. For clarity, bidirectional correlations are omitted, as well as sampled area because this variable served as a control.</w:t>
      </w:r>
      <w:bookmarkEnd w:id="52"/>
    </w:p>
    <w:p w14:paraId="33531878" w14:textId="0170796E" w:rsidR="0044298B" w:rsidRDefault="0044298B">
      <w:pPr>
        <w:rPr>
          <w:rFonts w:ascii="Times New Roman" w:hAnsi="Times New Roman" w:cs="Times New Roman"/>
        </w:rPr>
      </w:pPr>
      <w:r>
        <w:rPr>
          <w:rFonts w:ascii="Times New Roman" w:hAnsi="Times New Roman" w:cs="Times New Roman"/>
        </w:rPr>
        <w:br w:type="page"/>
      </w:r>
    </w:p>
    <w:p w14:paraId="48129FD2" w14:textId="77777777" w:rsidR="005654C9" w:rsidRDefault="005654C9" w:rsidP="008362B6">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F005B9F" wp14:editId="6D07CDFD">
            <wp:extent cx="3419856" cy="6556248"/>
            <wp:effectExtent l="0" t="0" r="9525" b="0"/>
            <wp:docPr id="9" name="Picture 9" descr="Chart, histo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 waterfall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19856" cy="6556248"/>
                    </a:xfrm>
                    <a:prstGeom prst="rect">
                      <a:avLst/>
                    </a:prstGeom>
                  </pic:spPr>
                </pic:pic>
              </a:graphicData>
            </a:graphic>
          </wp:inline>
        </w:drawing>
      </w:r>
    </w:p>
    <w:p w14:paraId="0D8A2325" w14:textId="392EB42E" w:rsidR="005654C9" w:rsidRDefault="00FD1AE9" w:rsidP="005654C9">
      <w:pPr>
        <w:pStyle w:val="Caption"/>
        <w:jc w:val="both"/>
        <w:rPr>
          <w:rFonts w:ascii="Times New Roman" w:hAnsi="Times New Roman" w:cs="Times New Roman"/>
          <w:b w:val="0"/>
          <w:bCs w:val="0"/>
        </w:rPr>
      </w:pPr>
      <w:bookmarkStart w:id="53" w:name="_Toc100607941"/>
      <w:r w:rsidRPr="00DF7C87">
        <w:rPr>
          <w:rFonts w:ascii="Times New Roman" w:hAnsi="Times New Roman" w:cs="Times New Roman"/>
        </w:rPr>
        <w:t xml:space="preserve">Figure </w:t>
      </w:r>
      <w:r w:rsidRPr="00DF7C87">
        <w:rPr>
          <w:rFonts w:ascii="Times New Roman" w:hAnsi="Times New Roman" w:cs="Times New Roman"/>
        </w:rPr>
        <w:fldChar w:fldCharType="begin"/>
      </w:r>
      <w:r w:rsidRPr="00DF7C87">
        <w:rPr>
          <w:rFonts w:ascii="Times New Roman" w:hAnsi="Times New Roman" w:cs="Times New Roman"/>
        </w:rPr>
        <w:instrText xml:space="preserve"> SEQ Figure \* ARABIC </w:instrText>
      </w:r>
      <w:r w:rsidRPr="00DF7C87">
        <w:rPr>
          <w:rFonts w:ascii="Times New Roman" w:hAnsi="Times New Roman" w:cs="Times New Roman"/>
        </w:rPr>
        <w:fldChar w:fldCharType="separate"/>
      </w:r>
      <w:r>
        <w:rPr>
          <w:rFonts w:ascii="Times New Roman" w:hAnsi="Times New Roman" w:cs="Times New Roman"/>
          <w:noProof/>
        </w:rPr>
        <w:t>12</w:t>
      </w:r>
      <w:r w:rsidRPr="00DF7C87">
        <w:rPr>
          <w:rFonts w:ascii="Times New Roman" w:hAnsi="Times New Roman" w:cs="Times New Roman"/>
        </w:rPr>
        <w:fldChar w:fldCharType="end"/>
      </w:r>
      <w:r>
        <w:rPr>
          <w:rFonts w:ascii="Times New Roman" w:hAnsi="Times New Roman" w:cs="Times New Roman"/>
        </w:rPr>
        <w:t>.</w:t>
      </w:r>
      <w:r w:rsidRPr="00DF7C87">
        <w:rPr>
          <w:rFonts w:ascii="Times New Roman" w:hAnsi="Times New Roman" w:cs="Times New Roman"/>
        </w:rPr>
        <w:t xml:space="preserve"> </w:t>
      </w:r>
      <w:r>
        <w:rPr>
          <w:rFonts w:ascii="Times New Roman" w:hAnsi="Times New Roman" w:cs="Times New Roman"/>
        </w:rPr>
        <w:t xml:space="preserve"> </w:t>
      </w:r>
      <w:r w:rsidR="005654C9">
        <w:rPr>
          <w:rFonts w:ascii="Times New Roman" w:hAnsi="Times New Roman"/>
        </w:rPr>
        <w:t xml:space="preserve">Direct and indirect effects of biodiversity and environmental factors on fish biomass from the path model for the (a) </w:t>
      </w:r>
      <w:r w:rsidR="005654C9" w:rsidRPr="001B6037">
        <w:rPr>
          <w:rFonts w:ascii="Times New Roman" w:hAnsi="Times New Roman"/>
          <w:i/>
        </w:rPr>
        <w:t>total biodiversity path model</w:t>
      </w:r>
      <w:r w:rsidR="005654C9">
        <w:rPr>
          <w:rFonts w:ascii="Times New Roman" w:hAnsi="Times New Roman"/>
        </w:rPr>
        <w:t xml:space="preserve"> and (b) </w:t>
      </w:r>
      <w:r w:rsidR="005654C9" w:rsidRPr="001B6037">
        <w:rPr>
          <w:rFonts w:ascii="Times New Roman" w:hAnsi="Times New Roman"/>
          <w:i/>
        </w:rPr>
        <w:t>partitioned biodiversity path model</w:t>
      </w:r>
      <w:r w:rsidR="005654C9">
        <w:rPr>
          <w:rFonts w:ascii="Times New Roman" w:hAnsi="Times New Roman"/>
        </w:rPr>
        <w:t>.</w:t>
      </w:r>
      <w:bookmarkEnd w:id="53"/>
      <w:r w:rsidR="005654C9">
        <w:rPr>
          <w:rFonts w:ascii="Times New Roman" w:hAnsi="Times New Roman"/>
        </w:rPr>
        <w:t xml:space="preserve"> </w:t>
      </w:r>
    </w:p>
    <w:p w14:paraId="03C50C2C" w14:textId="1D89BC89" w:rsidR="005654C9" w:rsidRDefault="005654C9">
      <w:pPr>
        <w:rPr>
          <w:rFonts w:ascii="Times New Roman" w:hAnsi="Times New Roman" w:cs="Times New Roman"/>
        </w:rPr>
      </w:pPr>
      <w:r>
        <w:rPr>
          <w:rFonts w:ascii="Times New Roman" w:hAnsi="Times New Roman" w:cs="Times New Roman"/>
        </w:rPr>
        <w:br w:type="page"/>
      </w:r>
    </w:p>
    <w:p w14:paraId="7D29DEC1" w14:textId="6DB2428E" w:rsidR="000447B4" w:rsidRPr="000447B4" w:rsidRDefault="000447B4" w:rsidP="00363503">
      <w:pPr>
        <w:ind w:firstLine="720"/>
        <w:jc w:val="both"/>
        <w:rPr>
          <w:rFonts w:ascii="Times New Roman" w:hAnsi="Times New Roman" w:cs="Times New Roman"/>
        </w:rPr>
      </w:pPr>
      <w:r w:rsidRPr="000447B4">
        <w:rPr>
          <w:rFonts w:ascii="Times New Roman" w:hAnsi="Times New Roman" w:cs="Times New Roman"/>
        </w:rPr>
        <w:lastRenderedPageBreak/>
        <w:t>The partitioned biodiversity model also provided an adequate fit to the data (</w:t>
      </w:r>
      <w:r w:rsidRPr="00795053">
        <w:rPr>
          <w:rFonts w:ascii="Times New Roman" w:hAnsi="Times New Roman" w:cs="Times New Roman"/>
          <w:i/>
          <w:iCs/>
        </w:rPr>
        <w:t>C</w:t>
      </w:r>
      <w:r w:rsidRPr="000447B4">
        <w:rPr>
          <w:rFonts w:ascii="Times New Roman" w:hAnsi="Times New Roman" w:cs="Times New Roman"/>
        </w:rPr>
        <w:t xml:space="preserve"> = 23.42, 20 </w:t>
      </w:r>
      <w:r w:rsidRPr="00795053">
        <w:rPr>
          <w:rFonts w:ascii="Times New Roman" w:hAnsi="Times New Roman" w:cs="Times New Roman"/>
          <w:i/>
          <w:iCs/>
        </w:rPr>
        <w:t>df</w:t>
      </w:r>
      <w:r w:rsidRPr="000447B4">
        <w:rPr>
          <w:rFonts w:ascii="Times New Roman" w:hAnsi="Times New Roman" w:cs="Times New Roman"/>
        </w:rPr>
        <w:t xml:space="preserve">, </w:t>
      </w:r>
      <w:r w:rsidRPr="00795053">
        <w:rPr>
          <w:rFonts w:ascii="Times New Roman" w:hAnsi="Times New Roman" w:cs="Times New Roman"/>
          <w:i/>
          <w:iCs/>
        </w:rPr>
        <w:t>p</w:t>
      </w:r>
      <w:r w:rsidRPr="000447B4">
        <w:rPr>
          <w:rFonts w:ascii="Times New Roman" w:hAnsi="Times New Roman" w:cs="Times New Roman"/>
        </w:rPr>
        <w:t xml:space="preserve"> = 0.269; </w:t>
      </w:r>
      <w:r w:rsidR="005E2659">
        <w:rPr>
          <w:rFonts w:ascii="Times New Roman" w:hAnsi="Times New Roman" w:cs="Times New Roman"/>
        </w:rPr>
        <w:t xml:space="preserve">Table </w:t>
      </w:r>
      <w:r w:rsidR="00795053">
        <w:rPr>
          <w:rFonts w:ascii="Times New Roman" w:hAnsi="Times New Roman" w:cs="Times New Roman"/>
        </w:rPr>
        <w:t>12</w:t>
      </w:r>
      <w:r w:rsidRPr="000447B4">
        <w:rPr>
          <w:rFonts w:ascii="Times New Roman" w:hAnsi="Times New Roman" w:cs="Times New Roman"/>
        </w:rPr>
        <w:t xml:space="preserve">). Results indicated regional variation in the response of biomass to native species richness, as shown by an optimal random effects structure based on random watershed intercepts and random slopes for native species richness across watersheds. Native species richness showed the strongest effect on biomass, followed by non-native species richness, and functional diversity. Direct effects of abiotic variables on biomass were consistent with those in the total biodiversity model (Fig. </w:t>
      </w:r>
      <w:r w:rsidR="00795053">
        <w:rPr>
          <w:rFonts w:ascii="Times New Roman" w:hAnsi="Times New Roman" w:cs="Times New Roman"/>
        </w:rPr>
        <w:t>11</w:t>
      </w:r>
      <w:r w:rsidRPr="000447B4">
        <w:rPr>
          <w:rFonts w:ascii="Times New Roman" w:hAnsi="Times New Roman" w:cs="Times New Roman"/>
        </w:rPr>
        <w:t>b).</w:t>
      </w:r>
    </w:p>
    <w:p w14:paraId="2CC065FA" w14:textId="69B32740" w:rsidR="00CE4D4B" w:rsidRPr="00DF7C87" w:rsidRDefault="000447B4" w:rsidP="00363503">
      <w:pPr>
        <w:jc w:val="both"/>
        <w:rPr>
          <w:rFonts w:ascii="Times New Roman" w:hAnsi="Times New Roman" w:cs="Times New Roman"/>
        </w:rPr>
      </w:pPr>
      <w:r w:rsidRPr="000447B4">
        <w:rPr>
          <w:rFonts w:ascii="Times New Roman" w:hAnsi="Times New Roman" w:cs="Times New Roman"/>
        </w:rPr>
        <w:t xml:space="preserve"> </w:t>
      </w:r>
      <w:r>
        <w:rPr>
          <w:rFonts w:ascii="Times New Roman" w:hAnsi="Times New Roman" w:cs="Times New Roman"/>
        </w:rPr>
        <w:tab/>
      </w:r>
      <w:r w:rsidRPr="000447B4">
        <w:rPr>
          <w:rFonts w:ascii="Times New Roman" w:hAnsi="Times New Roman" w:cs="Times New Roman"/>
        </w:rPr>
        <w:t xml:space="preserve">Native species richness showed a strong, positive correlation with non-native species richness. Native species richness was a stronger driver of functional diversity than non-native species richness. Functional diversity also increased with increasing temperature and decreasing upstream catchment area. Native and non-native species richness increased with increasing catchment area, free-flowing area, and temperature. Native species richness also increased with decreasing slope and precipitation (Fig. </w:t>
      </w:r>
      <w:r w:rsidR="00795053">
        <w:rPr>
          <w:rFonts w:ascii="Times New Roman" w:hAnsi="Times New Roman" w:cs="Times New Roman"/>
        </w:rPr>
        <w:t>11</w:t>
      </w:r>
      <w:r w:rsidRPr="000447B4">
        <w:rPr>
          <w:rFonts w:ascii="Times New Roman" w:hAnsi="Times New Roman" w:cs="Times New Roman"/>
        </w:rPr>
        <w:t xml:space="preserve">b). Human impact had no effect on native species richness, but showed a strong, positive effect on non-native species richness (Fig. </w:t>
      </w:r>
      <w:r w:rsidR="00795053">
        <w:rPr>
          <w:rFonts w:ascii="Times New Roman" w:hAnsi="Times New Roman" w:cs="Times New Roman"/>
        </w:rPr>
        <w:t>11</w:t>
      </w:r>
      <w:r w:rsidRPr="000447B4">
        <w:rPr>
          <w:rFonts w:ascii="Times New Roman" w:hAnsi="Times New Roman" w:cs="Times New Roman"/>
        </w:rPr>
        <w:t>b)</w:t>
      </w:r>
      <w:r w:rsidR="00CE4D4B" w:rsidRPr="00DF7C87">
        <w:rPr>
          <w:rFonts w:ascii="Times New Roman" w:hAnsi="Times New Roman" w:cs="Times New Roman"/>
        </w:rPr>
        <w:t xml:space="preserve">.  </w:t>
      </w:r>
    </w:p>
    <w:p w14:paraId="66425D9A" w14:textId="48F14262" w:rsidR="00911285" w:rsidRPr="00911285" w:rsidRDefault="00911285" w:rsidP="00911285">
      <w:pPr>
        <w:pStyle w:val="Heading2"/>
        <w:rPr>
          <w:rFonts w:ascii="Times New Roman" w:hAnsi="Times New Roman" w:cs="Times New Roman"/>
          <w:sz w:val="24"/>
          <w:szCs w:val="24"/>
        </w:rPr>
      </w:pPr>
      <w:bookmarkStart w:id="54" w:name="_Toc100607898"/>
      <w:r>
        <w:rPr>
          <w:rFonts w:ascii="Times New Roman" w:hAnsi="Times New Roman" w:cs="Times New Roman"/>
          <w:sz w:val="24"/>
          <w:szCs w:val="24"/>
        </w:rPr>
        <w:t>Discussion</w:t>
      </w:r>
      <w:bookmarkEnd w:id="54"/>
    </w:p>
    <w:p w14:paraId="384191AE" w14:textId="77777777" w:rsidR="00911285" w:rsidRDefault="00911285" w:rsidP="00363503">
      <w:pPr>
        <w:ind w:firstLine="720"/>
        <w:jc w:val="both"/>
        <w:rPr>
          <w:rFonts w:ascii="Times New Roman" w:hAnsi="Times New Roman" w:cs="Times New Roman"/>
        </w:rPr>
      </w:pPr>
      <w:r w:rsidRPr="00911285">
        <w:rPr>
          <w:rFonts w:ascii="Times New Roman" w:hAnsi="Times New Roman" w:cs="Times New Roman"/>
        </w:rPr>
        <w:t>Our analysis indicates that the DBR operates in a previously under-studied context (stream fish communities) and that multiple abiotic factors directly and indirectly contribute to the DBR in these systems. Biodiversity variables (species richness and functional diversity) had the strongest positive effects on biomass, and native species, compared to non-native species, contributed more to this relationship. Generally, indirect effects of abiotic variables on biomass reflected environmental conditions that vary along longitudinal stream gradients and suggested that fish biomass increased in warmer habitats (Myers et al., 2018). Although longitudinal stream gradients in fish productivity are less well-studied, analyses of aquatic primary production (McTammany et al., 2003) and macroinvertebrate secondary production (Grubaugh et al., 1996) suggest that productivity increases in lowland habitats. Although we did not assess community production in this study, standing biomass may in some cases provide a proxy for productivity (Mora et al., 2011). Therefore, our results complement these analyses by suggesting that productivity of aquatic primary producer, macroinvertebrate, and fish communities increase along longitudinal stream gradients.</w:t>
      </w:r>
    </w:p>
    <w:p w14:paraId="0DE5659B" w14:textId="77777777" w:rsidR="00911285" w:rsidRPr="00911285" w:rsidRDefault="00911285" w:rsidP="00363503">
      <w:pPr>
        <w:ind w:firstLine="720"/>
        <w:jc w:val="both"/>
        <w:rPr>
          <w:rFonts w:ascii="Times New Roman" w:hAnsi="Times New Roman" w:cs="Times New Roman"/>
        </w:rPr>
      </w:pPr>
      <w:r w:rsidRPr="00911285">
        <w:rPr>
          <w:rFonts w:ascii="Times New Roman" w:hAnsi="Times New Roman" w:cs="Times New Roman"/>
        </w:rPr>
        <w:t>After controlling for local environment and sampling effort, both functional diversity and species richness positively affected biomass, and the direct influences of biodiversity variables on biomass exceeded those (both direct and indirect) of abiotic variables. Our analyses indicate a positive role of biodiversity in promoting ecosystem functioning (Loreau et al., 2001; Cardinale et al., 2007) and do so across a large study extent encompassing complex ecological and environmental gradients that are difficult to incorporate in controlled experiments. These results add to the growing body of evidence that effects of biodiversity on ecosystem functioning often outweigh those of environmental variables in natural systems (Duffy et al., 2017). In the context of the multiple stressors that threaten freshwater biodiversity, a positive BEF suggest ongoing biodiversity loss will also impact the many ecosystem services provided by these systems (Dudgeon, 2010).</w:t>
      </w:r>
    </w:p>
    <w:p w14:paraId="1EBCA136" w14:textId="77777777" w:rsidR="00B22C13" w:rsidRDefault="00911285" w:rsidP="00363503">
      <w:pPr>
        <w:ind w:firstLine="720"/>
        <w:jc w:val="both"/>
        <w:rPr>
          <w:rFonts w:ascii="Times New Roman" w:hAnsi="Times New Roman" w:cs="Times New Roman"/>
        </w:rPr>
      </w:pPr>
      <w:r w:rsidRPr="00911285">
        <w:rPr>
          <w:rFonts w:ascii="Times New Roman" w:hAnsi="Times New Roman" w:cs="Times New Roman"/>
        </w:rPr>
        <w:lastRenderedPageBreak/>
        <w:t>We found that species richness had a stronger effect on biomass than functional diversity, in contrast to predictions of the niche complementarity hypothesis. These results may support evidence that interspecific interactions play a limited role in structuring stream fish communities (Oberdorff et al., 1998; Peres-Neto, 2004; Giam &amp; Olden, 2016). A stronger species richness effect on biomass relative to functional diversity may also suggest that more biodiverse systems are more productive due to mechanisms independent of functional diversity. In more speciose communities, the selection of dominant, productive species during community assembly may be increased, relative to communities with lower species richness (selection effects; Hector, 1998; Loreau &amp; Hector, 2001). Stronger effects of taxonomic diversity indices on ecosystem functioning relative to functional diversity may also indicate factors driving niche partitioning are unrelated to the traits selected (Craven et al., 2018). Although the traits used in this analysis encompassed a broad spectrum of fish functional characteristics, resource partitioning in stream fish communities may be more adequately assessed using morphometric traits or stable isotope data (Comte et al., 2016). Regardless of the ultimate mechanisms underlying the relative effects of species richness compared to functional diversity, our results based on observational data provide evidence of strong, direct effects of biodiversity on biomass and therefore support a positive DBR.</w:t>
      </w:r>
    </w:p>
    <w:p w14:paraId="6DE84728" w14:textId="77777777" w:rsidR="00B22C13" w:rsidRPr="00B22C13" w:rsidRDefault="00B22C13" w:rsidP="00363503">
      <w:pPr>
        <w:ind w:firstLine="720"/>
        <w:jc w:val="both"/>
        <w:rPr>
          <w:rFonts w:ascii="Times New Roman" w:hAnsi="Times New Roman" w:cs="Times New Roman"/>
        </w:rPr>
      </w:pPr>
      <w:r w:rsidRPr="00B22C13">
        <w:rPr>
          <w:rFonts w:ascii="Times New Roman" w:hAnsi="Times New Roman" w:cs="Times New Roman"/>
        </w:rPr>
        <w:t xml:space="preserve">We found that biodiversity effects on community biomass outweigh those of abiotic variables in natural, complex communities. However, environmental variables also directly and indirectly influence DBR. Our results indicate a direct, positive effect of precipitation on biomass, after controlling for biodiversity variables. A positive relationship between biomass and precipitation is well-established for terrestrial plant communities where droughts can limit community productivity (Ciais et al., 2005; Hogg et al., 2008; Ma et al., 2010; Zhao &amp; Running, 2010). In streams, precipitation effects are mediated through the hydrologic regime, which may be a key regulator of aquatic macroinvertebrate secondary production (Grimm &amp; Fisher, 2006; Chadwick &amp; Huryn, 2007; Ledger et al., 2011; Patrick et al., 2019) and affects recruitment of stream fish via synchronization of life history events with streamflow (Bunn &amp; Arthington, 2002; Lytle &amp; Poff, 2004; Mims &amp; Olden, 2012, 2013). Therefore, after accounting for indirect effects mediated by biodiversity variables, our results indicate a direct, positive effect of streamflow on fish community biomass, as indicated by analyses on other taxa. The effects of precipitation on biodiversity differed based on the biodiversity variable considered. We found a negative effect of precipitation on species richness, and a positive, but weaker, effects of precipitation on functional diversity. The moderate effect of precipitation on species richness may reflect biogeographical gradients in biodiversity from relatively less biodiverse but wetter temperate streams to more speciose but drier Mediterranean streams (Reyjol et al., 2006). </w:t>
      </w:r>
    </w:p>
    <w:p w14:paraId="02FEB8F4" w14:textId="77777777" w:rsidR="00B22C13" w:rsidRPr="00B22C13" w:rsidRDefault="00B22C13" w:rsidP="00363503">
      <w:pPr>
        <w:ind w:firstLine="720"/>
        <w:jc w:val="both"/>
        <w:rPr>
          <w:rFonts w:ascii="Times New Roman" w:hAnsi="Times New Roman" w:cs="Times New Roman"/>
        </w:rPr>
      </w:pPr>
      <w:r w:rsidRPr="00B22C13">
        <w:rPr>
          <w:rFonts w:ascii="Times New Roman" w:hAnsi="Times New Roman" w:cs="Times New Roman"/>
        </w:rPr>
        <w:t xml:space="preserve">Temperature also showed contrasting direct and indirect effects on biomass. We found a weak negative direct effect of temperature on biomass, suggesting that cooler environments positively influence fish community biomass. However, indirect effects of temperature on biomass exceeded those of direct effects and suggested biomass increased with increasing temperature, as found for marine fish communities (Duffy et al., 2016). This suggests available energy limits fish species and functional diversity in stream systems, like many other taxonomic groups and ecological systems (Hawkins et al., 2003; </w:t>
      </w:r>
      <w:r w:rsidRPr="00B22C13">
        <w:rPr>
          <w:rFonts w:ascii="Times New Roman" w:hAnsi="Times New Roman" w:cs="Times New Roman"/>
        </w:rPr>
        <w:lastRenderedPageBreak/>
        <w:t>Clarke &amp; Gaston, 2006; Field et al., 2009; Swenson et al., 2012; Chu et al., 2018). One potential mechanism that may explain the contrasting direct and indirect effects of temperature on biomass may be the observed inverse relationship between temperature and body size (Blanchet et al., 2010). In colder streams, although species richness and functional diversity may be lower, individuals may achieve larger body sizes, thus driving the inverse, direct relationship between biomass and temperature.</w:t>
      </w:r>
    </w:p>
    <w:p w14:paraId="2D5AF1EA" w14:textId="77777777" w:rsidR="00B22C13" w:rsidRDefault="00B22C13" w:rsidP="00363503">
      <w:pPr>
        <w:ind w:firstLine="720"/>
        <w:jc w:val="both"/>
        <w:rPr>
          <w:rFonts w:ascii="Times New Roman" w:hAnsi="Times New Roman" w:cs="Times New Roman"/>
        </w:rPr>
      </w:pPr>
      <w:r w:rsidRPr="00B22C13">
        <w:rPr>
          <w:rFonts w:ascii="Times New Roman" w:hAnsi="Times New Roman" w:cs="Times New Roman"/>
        </w:rPr>
        <w:t>Human impact showed weak, but positive indirect effects on biomass, as was found for marine fish communities (Duffy et al., 2016). Streams in highly anthropogenic environments are often channelized and widened (Navratil et al., 2013), which may provide suitable habitat for larger-bodied species (Giam &amp; Olden, 2018). Additionally, streams in catchments characterized by agricultural land use may show higher rates of primary production (Burrell et al., 2014), which may in turn drive increased fish community biomass in these areas. Our analyses also suggest that human-mediated habitat alterations contribute to the successful establishment of non-native species (Leprieur et al. 2008; Blanchet et al., 2009; Redding et al., 2019), which may drive the indirect, positive relationship between human impact and fish community biomass</w:t>
      </w:r>
      <w:r>
        <w:rPr>
          <w:rFonts w:ascii="Times New Roman" w:hAnsi="Times New Roman" w:cs="Times New Roman"/>
        </w:rPr>
        <w:t>.</w:t>
      </w:r>
    </w:p>
    <w:p w14:paraId="43A0C37E" w14:textId="3B4CF58C" w:rsidR="00B22C13" w:rsidRPr="00B22C13" w:rsidRDefault="00B22C13" w:rsidP="00363503">
      <w:pPr>
        <w:jc w:val="both"/>
        <w:rPr>
          <w:rFonts w:ascii="Times New Roman" w:hAnsi="Times New Roman" w:cs="Times New Roman"/>
        </w:rPr>
      </w:pPr>
      <w:r w:rsidRPr="00B22C13">
        <w:rPr>
          <w:rFonts w:ascii="Times New Roman" w:hAnsi="Times New Roman" w:cs="Times New Roman"/>
        </w:rPr>
        <w:t xml:space="preserve"> </w:t>
      </w:r>
      <w:r>
        <w:rPr>
          <w:rFonts w:ascii="Times New Roman" w:hAnsi="Times New Roman" w:cs="Times New Roman"/>
        </w:rPr>
        <w:tab/>
      </w:r>
      <w:r w:rsidRPr="00B22C13">
        <w:rPr>
          <w:rFonts w:ascii="Times New Roman" w:hAnsi="Times New Roman" w:cs="Times New Roman"/>
        </w:rPr>
        <w:t>Upstream catchment area showed indirect effects on biomass, mediated through species richness and functional diversity. We found a strong positive relationship between catchment area and species richness. This indicates species richness increases along longitudinal stream gradients from the headwaters to lowland streams, consistent with established freshwater biodiversity patterns (Vannote et al., 1980). By contrast, we found a weak negative effect of catchment area on functional diversity, after controlling for species richness. One explanation for this is that lower-order (smaller) streams tend to have greater habitat heterogeneity (e.g., fast-flowing shallow riffles, slow-flowing deep pools, patches of woody debris and leaf litter) per unit area compared to higher-order (larger) streams (Forman, 1995). Although the directional effects of catchment area differed between biodiversity variables, positive effects of catchment area on biodiversity variables outweighed those of negative effects, resulting in an overall positive indirect effect of catchment area on fish community biomass, as found for other aquatic taxa (McTammany et al., 2003, Patrick et al., 2019).</w:t>
      </w:r>
    </w:p>
    <w:p w14:paraId="042E814F" w14:textId="77777777" w:rsidR="00B22C13" w:rsidRDefault="00B22C13" w:rsidP="00363503">
      <w:pPr>
        <w:ind w:firstLine="720"/>
        <w:jc w:val="both"/>
        <w:rPr>
          <w:rFonts w:ascii="Times New Roman" w:hAnsi="Times New Roman" w:cs="Times New Roman"/>
        </w:rPr>
      </w:pPr>
      <w:r w:rsidRPr="00B22C13">
        <w:rPr>
          <w:rFonts w:ascii="Times New Roman" w:hAnsi="Times New Roman" w:cs="Times New Roman"/>
        </w:rPr>
        <w:t xml:space="preserve">We also found indirect positive effects of free-flowing area on biomass because larger free-flowing patches of river increased species richness. These results may indicate habitat connectivity can positively influence ecosystem functioning by facilitating dispersal in heterogeneous environments (i.e., spatial insurance effects; Loreau et al., 2003). It is somewhat notable that free-flowing area had a greater positive effect on non-native than native richness, but this result may reflect the larger habitat requirements of non-native species, many of which are large-bodied and migratory, and may disperse via large river habitats (Rahel et al. 2006; Guillerault et al. 2015; Rahel &amp; McLaughlin, 2018). Prior investigations of BEF at small, experimental scales indicate biodiversity-mediated effects of dispersal can influence ecosystem functioning within metacommunities (France &amp; Duffy, 2006). Results from our regional analysis complement these findings and suggest that habitat fragmentation in riverine ecosystems may negatively affect ecosystem functioning, via biodiversity loss. Clarifying the roles of spatial processes, such as </w:t>
      </w:r>
      <w:r w:rsidRPr="00B22C13">
        <w:rPr>
          <w:rFonts w:ascii="Times New Roman" w:hAnsi="Times New Roman" w:cs="Times New Roman"/>
        </w:rPr>
        <w:lastRenderedPageBreak/>
        <w:t xml:space="preserve">dispersal, in mediating BEF should be of particular importance to understand impacts of habitat fragmentation in natural systems (Gonzalez et al., 2009). </w:t>
      </w:r>
    </w:p>
    <w:p w14:paraId="343F18DC" w14:textId="77777777" w:rsidR="00B22C13" w:rsidRPr="00B22C13" w:rsidRDefault="00B22C13" w:rsidP="00363503">
      <w:pPr>
        <w:ind w:firstLine="720"/>
        <w:jc w:val="both"/>
        <w:rPr>
          <w:rFonts w:ascii="Times New Roman" w:hAnsi="Times New Roman" w:cs="Times New Roman"/>
        </w:rPr>
      </w:pPr>
      <w:r w:rsidRPr="00B22C13">
        <w:rPr>
          <w:rFonts w:ascii="Times New Roman" w:hAnsi="Times New Roman" w:cs="Times New Roman"/>
        </w:rPr>
        <w:t xml:space="preserve">We found that effects of native species richness on community biomass and functional diversity far exceeded those of non-native species richness. The weaker effects of non-native species richness on functional diversity and biomass may reflect the increase in resource overlap following the introduction of omnivorous non-native species (Córdova-Tapia et al., 2014; Sagouis et al., 2015; Comte et al., 2016). Thereby the contributional increase in functional diversity and subsequent biomass provided by non-native species may be lower than that of native species due to higher functional redundancy in communities characterized by higher non-native species richness. </w:t>
      </w:r>
    </w:p>
    <w:p w14:paraId="67E4F859" w14:textId="77777777" w:rsidR="00B22C13" w:rsidRDefault="00B22C13" w:rsidP="00363503">
      <w:pPr>
        <w:ind w:firstLine="720"/>
        <w:jc w:val="both"/>
        <w:rPr>
          <w:rFonts w:ascii="Times New Roman" w:hAnsi="Times New Roman" w:cs="Times New Roman"/>
        </w:rPr>
      </w:pPr>
      <w:r w:rsidRPr="00B22C13">
        <w:rPr>
          <w:rFonts w:ascii="Times New Roman" w:hAnsi="Times New Roman" w:cs="Times New Roman"/>
        </w:rPr>
        <w:t>Increasing anthropogenic impact positively affected non-native species richness but not native species richness. Anthropogenic environments characterized by homogenized habitats may alter community assembly processes and select for limited subsets of traits capable of success in human-modified conditions (e.g., broad environmental tolerances), thus favoring non-native species establishment and success (MacDougall &amp; Turkington, 2005). Although such anthropogenic impacts may generate short-term gains in ecosystem functioning via species richness, they may potentially alter or deteriorate BEF over longer temporal scales (Mori et al., 2018). With ongoing abiotic and biotic homogenization, it will be important to understand how changes in community structure from species introductions impact ecosystem functions (Olden et al., 2016, 2018), including potential alteration of BEF.</w:t>
      </w:r>
    </w:p>
    <w:p w14:paraId="6A327614" w14:textId="77777777" w:rsidR="00B22C13" w:rsidRDefault="00B22C13" w:rsidP="00363503">
      <w:pPr>
        <w:ind w:firstLine="720"/>
        <w:jc w:val="both"/>
        <w:rPr>
          <w:rFonts w:ascii="Times New Roman" w:hAnsi="Times New Roman" w:cs="Times New Roman"/>
        </w:rPr>
      </w:pPr>
      <w:r w:rsidRPr="00B22C13">
        <w:rPr>
          <w:rFonts w:ascii="Times New Roman" w:hAnsi="Times New Roman" w:cs="Times New Roman"/>
        </w:rPr>
        <w:t>Our analyses are subject to a number of potential caveats. First, we likely omitted several variables that may affect stream DBR. For example, instream physiochemical conditions may better quantify anthropogenic pressures on stream fish than our terrestrial metric and hydrologic indices may better characterize streamflow regimes compared to precipitation. Second, the DBR and its underlying mechanisms may vary through time (van Ruijven &amp; Berendse, 2005). Therefore, a temporal analysis of this relationship at sites with repeated sampling events could provide additional understanding of DBR in this system. Third, although we addressed DBR at local (i.e., stream reach) scales, niche partitioning effects in stream communities may be stronger at even finer scales (e.g., subreach microhabitats; Taylor, 1996; Holomuzki et al., 2010). Finally, studies suggest that phylogenetic diversity (Cadotte et al., 2009) or stable isotope data (Comte et al., 2016) may be informative predictors of niche complementarity or resource partitioning, therefore incorporating other biodiversity variables, in addition to functional and taxonomic diversity, could provide further insight on niche partitioning effects on biomass.</w:t>
      </w:r>
    </w:p>
    <w:p w14:paraId="3B93CE14" w14:textId="4A3C8305" w:rsidR="004C2071" w:rsidRPr="00DF7C87" w:rsidRDefault="00B22C13" w:rsidP="00363503">
      <w:pPr>
        <w:ind w:firstLine="720"/>
        <w:jc w:val="both"/>
        <w:rPr>
          <w:rFonts w:ascii="Times New Roman" w:hAnsi="Times New Roman" w:cs="Times New Roman"/>
        </w:rPr>
      </w:pPr>
      <w:r w:rsidRPr="00B22C13">
        <w:rPr>
          <w:rFonts w:ascii="Times New Roman" w:hAnsi="Times New Roman" w:cs="Times New Roman"/>
        </w:rPr>
        <w:t xml:space="preserve">In summary, our study indicates biodiversity is the primary driver of community biomass in stream fish communities, compared to abiotic variables; and suggests that native species richness is the primary driver of the biodiversity effect. Direct and indirect effects of environmental variables on fish biomass highlight that ongoing and future environmental change may potentially alter ecosystem functioning. Our results advance the vast BEF literature by documenting a positive relationship between biodiversity and ecosystem functioning in stream fish communities, a group for which the BEF has not been investigated. Future work should continue to clarify the impacts of multiple stressors on </w:t>
      </w:r>
      <w:r w:rsidRPr="00B22C13">
        <w:rPr>
          <w:rFonts w:ascii="Times New Roman" w:hAnsi="Times New Roman" w:cs="Times New Roman"/>
        </w:rPr>
        <w:lastRenderedPageBreak/>
        <w:t>biodiversity and ecosystem functioning, especially in aquatic systems that provide many ecosystem services to humans.</w:t>
      </w:r>
    </w:p>
    <w:p w14:paraId="30559C26" w14:textId="52E6B223" w:rsidR="004C2071" w:rsidRPr="00DF7C87" w:rsidRDefault="00F710F9" w:rsidP="00D677AA">
      <w:pPr>
        <w:pStyle w:val="Heading2"/>
        <w:rPr>
          <w:rFonts w:ascii="Times New Roman" w:hAnsi="Times New Roman" w:cs="Times New Roman"/>
        </w:rPr>
      </w:pPr>
      <w:r w:rsidRPr="00DF7C87">
        <w:rPr>
          <w:rFonts w:ascii="Times New Roman" w:hAnsi="Times New Roman" w:cs="Times New Roman"/>
          <w:sz w:val="24"/>
          <w:szCs w:val="24"/>
        </w:rPr>
        <w:br w:type="page"/>
      </w:r>
      <w:bookmarkStart w:id="55" w:name="_Toc289175842"/>
      <w:bookmarkStart w:id="56" w:name="_Toc100607899"/>
      <w:r w:rsidR="004C2071" w:rsidRPr="00DF7C87">
        <w:rPr>
          <w:rFonts w:ascii="Times New Roman" w:hAnsi="Times New Roman" w:cs="Times New Roman"/>
        </w:rPr>
        <w:lastRenderedPageBreak/>
        <w:t>R</w:t>
      </w:r>
      <w:bookmarkEnd w:id="55"/>
      <w:r w:rsidR="00DF6E72">
        <w:rPr>
          <w:rFonts w:ascii="Times New Roman" w:hAnsi="Times New Roman" w:cs="Times New Roman"/>
        </w:rPr>
        <w:t>eferences</w:t>
      </w:r>
      <w:bookmarkEnd w:id="56"/>
    </w:p>
    <w:p w14:paraId="7FD81F7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Allan, E., Manning, P., Alt, F., Binkenstein, J., Blaser, S., Blüthgen, … Fischer, M. (2015) Land use intensification alters ecosystem multifunctionality via loss of biodiversity and changes to functional composition. Ecology Letters, 18, 834–843.</w:t>
      </w:r>
    </w:p>
    <w:p w14:paraId="213B59A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Alroy, J. (2017) Effects of habitat disturbance on tropical forest biodiversity. Proceedings of the National Academy of Sciences, 114, 6056–6061.</w:t>
      </w:r>
    </w:p>
    <w:p w14:paraId="7CEBB555"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Ammer, C. (2019) Diversity and forest productivity in a changing climate. New Phytologist, 221, 50–66.</w:t>
      </w:r>
    </w:p>
    <w:p w14:paraId="7998714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Auerbach, D.A., Deisenroth, D.B., McShane, R.R., McCluney, K.E. &amp; LeRoy Poff, N. (2014) Beyond the concrete: Accounting for ecosystem services from free-flowing rivers. Ecosystem Services, 10, 1–5.</w:t>
      </w:r>
    </w:p>
    <w:p w14:paraId="683E336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Balian, E. V., Lévèque, C., Segers, H. &amp; Martens, K. (2008) The freshwater animal diversity assessment: an overview of the results. Hydrobiologia, 595, 627–663.</w:t>
      </w:r>
    </w:p>
    <w:p w14:paraId="3547512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Barton, K. (2018) MuMIn: Multi-Model Inference.</w:t>
      </w:r>
    </w:p>
    <w:p w14:paraId="0C00673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Bates, D., Maechler, M., Bolker, B. &amp; Walker, S. (2015) Fitting linear mixed-effects models using lme4. Journal of Statistical Software, 67, 1–48.</w:t>
      </w:r>
    </w:p>
    <w:p w14:paraId="06843EA3" w14:textId="77777777" w:rsidR="00D76330" w:rsidRPr="00D76330" w:rsidRDefault="00D76330" w:rsidP="00363503">
      <w:pPr>
        <w:ind w:left="360" w:hanging="360"/>
        <w:jc w:val="both"/>
        <w:rPr>
          <w:rFonts w:ascii="Times New Roman" w:hAnsi="Times New Roman" w:cs="Times New Roman"/>
        </w:rPr>
      </w:pPr>
      <w:r w:rsidRPr="0069153B">
        <w:rPr>
          <w:rFonts w:ascii="Times New Roman" w:hAnsi="Times New Roman" w:cs="Times New Roman"/>
        </w:rPr>
        <w:t xml:space="preserve">Baudoin, J., Burgun, V., Chanseau, M., Larinier, M., Ovidio, M., Sremski, W., … </w:t>
      </w:r>
      <w:r w:rsidRPr="00D76330">
        <w:rPr>
          <w:rFonts w:ascii="Times New Roman" w:hAnsi="Times New Roman" w:cs="Times New Roman"/>
        </w:rPr>
        <w:t>Voegtle, B. (2014). Assessing the passage of obstacles by fish. Concepts, design and application. Onema.</w:t>
      </w:r>
    </w:p>
    <w:p w14:paraId="1A63B9A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Belote, R.T., Prisley, S., Jones, R.H., Fitzpatrick, M. &amp; de Beurs, K. (2011) Forest productivity and tree diversity relationships depend on ecological context within mid-Atlantic and Appalachian forests (USA). Forest Ecology and Management, 261, 1315–1324.</w:t>
      </w:r>
    </w:p>
    <w:p w14:paraId="7ED5E54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Blanchet, S., Leprieur, F., Beauchard, O., Staes, J., Oberdorff, T. &amp; Brosse, S. (2009) Broad-scale determinants of non-native fish species richness are context-dependent. Proceedings of the Royal Society B: Biological Sciences, 276, 2385–2394.</w:t>
      </w:r>
    </w:p>
    <w:p w14:paraId="6EC8C12F"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Blanchet, S., Grenouillet, G., Beauchard, O., Tedesco, P.A., Leprieur, F., Dürr, H.H., … Brosse, S. (2010) Non-native species disrupt the worldwide patterns of freshwater fish body size: Implications for Bergmann’s rule. Ecology Letters, 13, 421–431.</w:t>
      </w:r>
    </w:p>
    <w:p w14:paraId="26A8088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Bohling, J., Haffray, P. &amp; Berrebi, P. (2016) Genetic diversity and population structure of domestic brown trout (Salmo trutta) in France. Aquaculture, 462, 1–9.</w:t>
      </w:r>
    </w:p>
    <w:p w14:paraId="175B346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Botta-Dukát, Z. (2005) Rao’s quadratic entropy as a measure of functional diversity based on multiple traits. Journal of Vegetation Science, 16, 533–540.</w:t>
      </w:r>
    </w:p>
    <w:p w14:paraId="20F515D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Brown, R.L., &amp; Peet, R.K. (2003). Diversity and invasibility of Southern Appalachian plant communities. Ecology, 84, 32–39. </w:t>
      </w:r>
    </w:p>
    <w:p w14:paraId="755410E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Bunn, S.E. &amp; Arthington, A.H. (2002) Basic principles and ecological consequences of altered flow regimes for aquatic biodiversity. Environmental Management, 30, 492–507.</w:t>
      </w:r>
    </w:p>
    <w:p w14:paraId="35195D6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Burrell, T.K., O’Brien, J.M., Graham, S.E., Simon, K.S., Harding, J.S. &amp; McIntosh, A.R. (2014) Riparian shading mitigates stream eutrophication in agricultural catchments. Freshwater Science, 33, 73–84.</w:t>
      </w:r>
    </w:p>
    <w:p w14:paraId="292169C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Cadotte, M.W., Cavender-Bares, J., Tilman, D. &amp; Oakley, T.H. (2009) Using phylogenetic, functional and trait diversity to understand patterns of plant community productivity. PLoS ONE, 4, 1–9.</w:t>
      </w:r>
    </w:p>
    <w:p w14:paraId="01E3A89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Cadotte, M.W., Carscadden, K. &amp; Mirotchnick, N. (2011) Beyond species: functional diversity and the maintenance of ecological processes and services. Journal of Applied Ecology, 48, 1079–1087.</w:t>
      </w:r>
    </w:p>
    <w:p w14:paraId="15C7BCF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Cadotte, M.W. (2017) Functional traits explain ecosystem function through opposing mechanisms. Ecology Letters, 20, 989–996.</w:t>
      </w:r>
    </w:p>
    <w:p w14:paraId="2AAA13B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Cardinale, B.J., Nelson, K. &amp; Palmer, M.A. (2000) Linking species diversity to the functioning of ecosystems: on the importance of environmental context. Oikos, 91, 175–183.</w:t>
      </w:r>
    </w:p>
    <w:p w14:paraId="59C37A9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Cardinale, B.J., Wright, J.P., Cadotte, M.W., Carroll, I.T., Hector, A., Srivastava, D.S., … Weis, J.J. (2007) Impacts of plant diversity on biomass production increase through time because of species complementarity. Proceedings of the National Academy of Sciences, 104, 18123–18128.</w:t>
      </w:r>
    </w:p>
    <w:p w14:paraId="3B420F2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Cardinale, B.J. (2011) Biodiversity improves water quality through niche partitioning. Nature, 472, 86–91.</w:t>
      </w:r>
    </w:p>
    <w:p w14:paraId="704B218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Cardinale, B.J., Duffy, J.E., Gonzalez, A., Hooper, D.U., Perrings, C., Venail, P., … Naeem, S. (2012) Biodiversity loss and its impact on humanity. Nature, 486, 59–67.</w:t>
      </w:r>
    </w:p>
    <w:p w14:paraId="0D522F4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Chadwick, M.A. &amp; Huryn, A.D. (2007) Role of habitat in determining macroinvertebrate production in an intermittent-stream system. Freshwater Biology, 52, 240–251.</w:t>
      </w:r>
    </w:p>
    <w:p w14:paraId="24EBAA2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Chapin III, F.S., Zavaleta, E.S., Eviner, V.T., Naylor, R.L., Vitousek, P.M., Reynolds, H.L… Diaz, S. (2000) Consequences of changing biodiverstiy. Nature, 405, 234–242.</w:t>
      </w:r>
    </w:p>
    <w:p w14:paraId="7FEB765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Chu, C., Lutz, J.A., Kamil, K., Vrska, T., Yin, X., Myers, J.A., … He, F. (2018) Direct and indirect effects of climate on richness drive the latitudinal diversity gradient in forest trees. Ecology Letters, 22, 245–255.</w:t>
      </w:r>
    </w:p>
    <w:p w14:paraId="07275E65"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Ciais, P., Reichstein, M., Viovy, N., Granier, A., Ogée, J., Allard, V., … Valentini, R. (2005) Europe-wide reduction in primary productivity caused by the heat and drought in 2003. Nature, 437, 529–533.</w:t>
      </w:r>
    </w:p>
    <w:p w14:paraId="0C5CEF2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Clarke, A. &amp; Gaston, K.J. (2006) Climate, energy and diversity. Proceedings of the Royal Society B: Biological Sciences, 273, 2257–2266.</w:t>
      </w:r>
    </w:p>
    <w:p w14:paraId="644EA5C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Comte, L., Cucherousset, J., Boulêtreau, S. &amp; Olden, J.D. (2016) Resource partitioning and functional diversity of worldwide freshwater fish communities. Ecosphere, 7, e01356.</w:t>
      </w:r>
    </w:p>
    <w:p w14:paraId="383B50A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Córdova-Tapia, F., Contreras, M. &amp; Zambrano, L. (2014) Trophic niche overlap between native and non-native fishes. Hydrobiologia, 746, 291–301.</w:t>
      </w:r>
    </w:p>
    <w:p w14:paraId="56923D2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Craven, D., Eisenhauer, N., Pearse, W. D., Hautier, Y., Isbell, F., Roscher, C., … Manning, P. (2018) Multiple facets of biodiversity drive the diversity-stability relationship. Nature Ecology and Evolution, 2, 1579–1587.</w:t>
      </w:r>
    </w:p>
    <w:p w14:paraId="4341189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Dodds, W.K., Perkin, J.S. &amp; Gerken, J.E. (2013) Human impact on freshwater ecosystem services: a global perspective. Environmental Science and Technology, 47, 9061–9068.</w:t>
      </w:r>
    </w:p>
    <w:p w14:paraId="3359831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Dodson, S.I., Arnott, S.E. &amp; Cottingham, K.L. (2000) The relationship in lake communities between primary productivity and species richness. Ecology, 81, 2662–2679.</w:t>
      </w:r>
    </w:p>
    <w:p w14:paraId="0C06FD9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Dudgeon, D. (2010) Prospects for sustaining freshwater biodiversity in the 21st century: Linking ecosystem structure and function. Current Opinion in Environmental Sustainability, 2, 422–430.</w:t>
      </w:r>
    </w:p>
    <w:p w14:paraId="033A995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Duffy, J.E. (2009) Why biodiversity is important to the functioning of real-world ecosystems. Frontiers in Ecology and the Environment, 7, 437–444.</w:t>
      </w:r>
    </w:p>
    <w:p w14:paraId="7A1872A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Duffy, J.E., Lefcheck, J.S., Stuart-Smith, R.D., Navarrete, S.A. &amp; Edgar, G.J. (2016) Biodiversity enhances reef fish biomass and resistance to climate change. Proceedings of the National Academy of Sciences, 113, 6230–6235.</w:t>
      </w:r>
    </w:p>
    <w:p w14:paraId="16F302F5"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Duffy, J.E., Godwin, C.M. &amp; Cardinale, B.J. (2017) Biodiversity effects in the wild are common and as strong as key drivers of productivity. Nature, 549, 261–264.</w:t>
      </w:r>
    </w:p>
    <w:p w14:paraId="03C5217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European Environment Agency (EEA) (2012) Catchment and Rivers Network System (ECRINS) v1.1. EEA Technical Report, 111.</w:t>
      </w:r>
    </w:p>
    <w:p w14:paraId="3CA2598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Field, R., Hawkins, B.A., Cornell, H. V., Currie, D.J., Diniz-Filho, J.A.F., Guégan, J.F., … Turner, J.R.G. (2009) Spatial species-richness gradients across scales: a meta-analysis. Journal of Biogeography, 36, 132–147.</w:t>
      </w:r>
    </w:p>
    <w:p w14:paraId="3B5174D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Flynn, D.F.B., Gogol-Prokurat, M., Nogeire, T., Molinari, N., Richers, B.T., Lin, B.B., … DeClerck, F. (2009) Loss of functional diversity under land use intensification across multiple taxa. Ecology Letters, 12, 22–33.</w:t>
      </w:r>
    </w:p>
    <w:p w14:paraId="3EFB81E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Flynn, D.F.B., Mirotchnick, N., Jain, M., Palmer, M.I., &amp; Naeem, S. (2011) Functional and phylogenetic diversity as predictors of biodiversity-ecosystem function relationship. Ecology, 92, 1573–1581. </w:t>
      </w:r>
    </w:p>
    <w:p w14:paraId="51B2ED5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Food and Agriculture Organization (FAO) of the United Nations (2005) Database on introductions of aquatic species (DIAS). FAO Fisheries and Aquaculture Department [online].</w:t>
      </w:r>
    </w:p>
    <w:p w14:paraId="58489A9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Forman, R.T. (1995) Land Mosaics: The Ecology of Landscapes and Regions, Cambridge University Press.</w:t>
      </w:r>
    </w:p>
    <w:p w14:paraId="7460821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Fornara, D. &amp; Tilman, D. (2009) Ecological mechanisms associated with the positive diversity-productivity relationship in an N-limited grassland. Ecology, 90, 408–418.</w:t>
      </w:r>
    </w:p>
    <w:p w14:paraId="356B1B9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Forrester, D.I. &amp; Bauhus, J. (2016) A review of processes behind diversity-productivity relationships in forests. Current Forestry Reports, 2, 45–61.</w:t>
      </w:r>
    </w:p>
    <w:p w14:paraId="690D95D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France, K.E., &amp; Duffy, J.E. (2006) Diversity and dispersal interactively affect predictability of ecosystem function. Nature, 441, 1139–1143. </w:t>
      </w:r>
    </w:p>
    <w:p w14:paraId="493B39B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Fridley, J., Stachowicz, J.J., Naeem, S., Sax, D.F., Seabloom, E.W., Smith, M., … Von Holle, B. (2007) The invasion paradox: reconciling pattern and process in species invasions. Ecology, 88, 3–17.</w:t>
      </w:r>
    </w:p>
    <w:p w14:paraId="00221A0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Froese, R. &amp; Pauly, D. (2018) FishBase. www.fishbase.org.</w:t>
      </w:r>
    </w:p>
    <w:p w14:paraId="374DD57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Gagic, V., Bartomeus, I., Jonsson, T., Taylor, A., Winqvist, C., Fischer, C., … Bommarco, R. (2015) Functional identity and diversity of animals predict ecosystem functioning better than species-based indices. Proceedings of the Royal Society B: Biological Sciences, 282, 1–7.</w:t>
      </w:r>
    </w:p>
    <w:p w14:paraId="4002016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García, F. C., Bestiona, E., Warfielda, R., &amp; Yvon-Durochera, G. (2018) Changes in temperature alter the relationship between biodiversity and ecosystem functioning. Proceedings of the National Academy of Sciences of the United States of America, 115, 10989–10994.</w:t>
      </w:r>
    </w:p>
    <w:p w14:paraId="27FDB5B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Giam, X. &amp; Olden, J.D. (2016) Environment and predation govern fish community assembly in temperate streams. Global Ecology and Biogeography, 25, 1194–1205.</w:t>
      </w:r>
    </w:p>
    <w:p w14:paraId="4B314F1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Giam, X. (2017) Global biodiversity loss from tropical deforestation. Proceedings of the National Academy of Sciences, 114, 5775–5777.</w:t>
      </w:r>
    </w:p>
    <w:p w14:paraId="3DB46A9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Giam, X. &amp; Olden, J.D. (2018) Drivers and interrelationships among multiple dimensions of rarity for freshwater fishes. Ecography, 41, 331–344.</w:t>
      </w:r>
    </w:p>
    <w:p w14:paraId="4D69198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Gonzalez, A., Mouquet, N., &amp; Loreau, M. (2009) Biodiversity as spatial insurance: The effects of habitat fragmentation and dispersal on ecosystem functioning. Biodiversity, Ecosystem Functioning, and Human Wellbeing: An Ecological and Economic Perspective, pp. 134–146. </w:t>
      </w:r>
    </w:p>
    <w:p w14:paraId="5404927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Gotelli, N.J. &amp; Colwell, R.K. (2001) Quantifying biodiversity: procedures and pitfalls in the measurement and comparison of species richness. Ecology Letters, 4, 379–391.</w:t>
      </w:r>
    </w:p>
    <w:p w14:paraId="4E733A2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Gower, J. (1971) A general coefficient of similarity and some of its properties. Biometrics, 27, 857–871.</w:t>
      </w:r>
    </w:p>
    <w:p w14:paraId="358A544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Grimm, N.B. &amp; Fisher, S.G. (2006) Stability of periphyton and macroinvertebrates to disturbance by flash floods in a desert stream. Journal of the North American Benthological Society, 8, 293–307.</w:t>
      </w:r>
    </w:p>
    <w:p w14:paraId="16D0733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Grubaugh, J.W., Wallace, J.B. &amp; Houston, E.S. (1996) Longitudinal changes of macroinvertebrate communities along an Appalachian stream continuum. Canadian Journal of Fisheries and Aquatic Sciences, 53, 896–909.</w:t>
      </w:r>
    </w:p>
    <w:p w14:paraId="55E1317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Guillerault, N., Delmotte, S., Boulêtreau, S., Lauzeral, C., Poulet, N., &amp; Santoul, F. (2015) Does the non‐native European catfish Silurus glanis threaten French river fish populations? Freshwater biology, 60, 922-928.</w:t>
      </w:r>
    </w:p>
    <w:p w14:paraId="3B33815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Hamann, A., Wang, T., Spittlehouse, D.L. &amp; Murdock, T.Q. (2013) A comprehensive, high-resolution database of historical and projected climate surfaces for Western North America. Bulletin of the American Meteorological Society, 94, 1307–1309.</w:t>
      </w:r>
    </w:p>
    <w:p w14:paraId="41F4C72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Harrison, I., Abell, R., Darwall, W., Thieme, M.L., Tickner, D. &amp; Timboe, I. (2018) The freshwater biodiversity crisis. Science, 362, 1369.</w:t>
      </w:r>
    </w:p>
    <w:p w14:paraId="6689355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Hawkins, B.A., Field, R., Cornell, H. V., Currie, D.J., Guegan, J.-F., Kaufman, D.M., … Turner, J.R. (2003) Energy, water, and broad-scale geographic patterns of species richness. Ecology, 84, 3105–3117.</w:t>
      </w:r>
    </w:p>
    <w:p w14:paraId="38D0A625"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Hector, A. (1998) The effect of diversity on productivity: detecting the role of species complementarity. Oikos, 82, 597–599.</w:t>
      </w:r>
    </w:p>
    <w:p w14:paraId="3782BB3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Hodgson, D.J., Rainey, P.B. &amp; Buckling, A. (2002) Mechanisms linking diversity, productivity and invasibility in experimental bacterial communities. Proceedings of the Royal Society B: Biological Sciences, 269, 2277–2283.</w:t>
      </w:r>
    </w:p>
    <w:p w14:paraId="2D55551F"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Hogg, E.H., Brandt, J.P. &amp; Michaelian, M. (2008) Impacts of a regional drought on the productivity, dieback, and biomass of western Canadian aspen forests. Canadian Journal of Forest Research, 38, 1373–1384.</w:t>
      </w:r>
    </w:p>
    <w:p w14:paraId="3DAF50D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Holmlund, C.M. &amp; Hammer, M. (1999) Ecosystem services generated by fish populations Cecilia. Ecological Economics, 29, 253–268.</w:t>
      </w:r>
    </w:p>
    <w:p w14:paraId="09BC318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Holomuzki, J.R., Feminella, J.W. &amp; Power, M.E. (2010) Biotic interactions in freshwater benthic habitats. Journal of the North American Benthological Society, 29, 220–244.</w:t>
      </w:r>
    </w:p>
    <w:p w14:paraId="13C3D19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Homeier, J., Breckle, S.-W., Günter, S., Rollenbeck, R.T. &amp; Leuschner, C. (2009) Tree diversity, forest structure and productivity along altitudinal and topographical gradients in a species-rich Ecuadorian montane rain forest. Biotropica, 42, 140–148.</w:t>
      </w:r>
    </w:p>
    <w:p w14:paraId="5A4C82B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Hooper, D.U., Chapin III, F.S., Ewel, J., Hector, A., Inchausti, P., Lavorel, S., … Wardle, D. (2005) Effects of biodiversity on ecoystem functioning: a consensus of current knowledge. Ecological Monographs, 75, 3–35.</w:t>
      </w:r>
    </w:p>
    <w:p w14:paraId="44409AA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Hooper, D.U., Adair, E.C., Cardinale, B.J., Byrnes, J.E.K., Hungate, B.A., Matulich, K.L., … Connor, M.I. (2012) A global synthesis reveals biodiversity loss as a major driver of ecosystem change. Nature, 486, 105–108.</w:t>
      </w:r>
    </w:p>
    <w:p w14:paraId="7D79B42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Isbell, F., Calcagno, V., Hector, A., Connolly, J., Harpole, W.S., Reich, P.B., … Loreau, M. (2011) High plant diversity is needed to maintain ecosystem services. Nature, 477, 199–202.</w:t>
      </w:r>
    </w:p>
    <w:p w14:paraId="41016B4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Isbell, F., Craven, D., Connolly, J., Loreau, M., Schmid, B., Beierkuhlein, C., … Eisenhauer, N. (2015) Biodiversity increases the resistance of ecosystem productivity to climate extremes. Nature, 526, 574.</w:t>
      </w:r>
    </w:p>
    <w:p w14:paraId="6E7D494C"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Isbell, F., Cowles, J., Dee, L. E., Loreau, M., Reich, P. B., Gonzalez, A., … Schmid, B. (2018) Quantifying effects of biodiversity on ecosystem functioning across times and places. Ecology Letters, 21, 763–778. </w:t>
      </w:r>
    </w:p>
    <w:p w14:paraId="5771E5E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Jactel, H., Gritti, E.S., Drossler, L., Forrester, D.I., Mason, W.L., Morin, X., … Castagneyrol, B. (2018) Positive biodiversity-productivity relationships in forests: climate matters. Biology letters, 14, 12–15.</w:t>
      </w:r>
    </w:p>
    <w:p w14:paraId="478D2A4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Januchowski-Hartley, S.R., Jézéquel, C. &amp; Tedesco, P.A. (2019) Modelling built infrastructure heights to evaluate common assumptions in aquatic conservation. Journal of Environmental Management, 232, 131–137.</w:t>
      </w:r>
    </w:p>
    <w:p w14:paraId="0D9BC67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Jiang, L., Wan, S. &amp; Li, L. (2009) Species diversity and productivity: why do results of diversity- manipulation experiments differ from natural patterns. Journal of Ecology, 97, 603–608.</w:t>
      </w:r>
    </w:p>
    <w:p w14:paraId="2C190FC2"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Jucker, T., Bouriaud, O., Avacaritei, D., Dǎnilǎ, I., Duduman, G., Valladares, F. &amp; Coomes, D.A. (2014) Competition for light and water play contrasting roles in driving diversity-productivity relationships in Iberian forests. Journal of Ecology, 102, 1202–1213.</w:t>
      </w:r>
    </w:p>
    <w:p w14:paraId="587E411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Kaiser, J. (2000) Rift over biodiversity divides ecologists. Science, 289, 1282–1283.</w:t>
      </w:r>
    </w:p>
    <w:p w14:paraId="7E950C3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Kuznetsova, A., Brockhoff, P. &amp; Christensen, R. (2017) lmerTest package: tests in linear mixed effects models. Journal of Statistical Software, 82, 1–26.</w:t>
      </w:r>
    </w:p>
    <w:p w14:paraId="37027E8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Laliberte, E. &amp; Legendre, P. (2010) A distance-based framework for measuring functional diversity from multiple traits. Ecology, 91, 299–305.</w:t>
      </w:r>
    </w:p>
    <w:p w14:paraId="75BD1E9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Laliberte, E., Legendre, P. &amp; Shipley, B. (2014) Measuring functional diversity (FD) from multiple traits, and other tools for functional ecology.</w:t>
      </w:r>
    </w:p>
    <w:p w14:paraId="734C6CDC"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Lambers, J.H.R., Harpole, W.S., Tilman, D., Knops, J. &amp; Reich, P.B. (2004) Mechanisms responsible for the positive diversity-productivity relationship in Minnesota grasslands. Ecology Letters, 7, 661–668.</w:t>
      </w:r>
    </w:p>
    <w:p w14:paraId="55F92FA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Lavers, C. &amp; Field, R. (2006) A resource-based conceptual model of plant diversity that reassesses causality in the productivity-diversity relationship. Global Ecology and Biogeography, 15, 213–224.</w:t>
      </w:r>
    </w:p>
    <w:p w14:paraId="53A5092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Le Bagousse-Pinguet, Y., Soliveres, S., Gross, N., Torices, R., Berdugo, M. &amp; Maestre, F.T. (2019) Phylogenetic, functional, and taxonomic richness have both positive and </w:t>
      </w:r>
      <w:r w:rsidRPr="00D76330">
        <w:rPr>
          <w:rFonts w:ascii="Times New Roman" w:hAnsi="Times New Roman" w:cs="Times New Roman"/>
        </w:rPr>
        <w:lastRenderedPageBreak/>
        <w:t>negative effects on ecosystem multifunctionality. Proceedings of the National Academy of Sciences, 116, 8419–8424.</w:t>
      </w:r>
    </w:p>
    <w:p w14:paraId="7D5C286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Ledger, M.E., Edwards, F.K., Brown, L.E., Milner, A.M. &amp; Woodward, G. (2011) Impact of simulated drought on ecosystem biomass production: an experimental test in stream mesocosms. Global Change Biology, 17, 2288–2297.</w:t>
      </w:r>
    </w:p>
    <w:p w14:paraId="5387DDF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Lefcheck, J.S. &amp; Duffy, J.E. (2015) Multitrophic functional diversity predicts ecosystem functioning in experimental assemblages of estuarine consumers. Ecology, 96, 2973–2983.</w:t>
      </w:r>
    </w:p>
    <w:p w14:paraId="1E5A92F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Lefcheck, J.S. (2016) Piecewise structural equation modeling in R for ecology, evolution, and systematics. Methods in Ecology and Evolution, 7, 573–579.</w:t>
      </w:r>
    </w:p>
    <w:p w14:paraId="13C4BF7C"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Leprieur, F., Beauchard, O., Blanchet, S., Oberdorff, T. &amp; Brosse, S. (2008) Fish invasions in the world’s river systems: when natural processes are blurred by human activities. PLoS Biology, 6, 0404–0410.</w:t>
      </w:r>
    </w:p>
    <w:p w14:paraId="7DF2C2E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Lepš, J. (2004) What do the biodiversity experiments tell us about consequences of plant species loss in the real world? Basic and Applied Ecology, 5, 529–534.</w:t>
      </w:r>
    </w:p>
    <w:p w14:paraId="652BDD0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Liang, J., Crowther, T.W., Picard, N., Wiser, S., Zhou, M., Alberti, G., … Reich, P.B. (2016) Positive biodiversity-productivity relationship predominant in global forests. Science, 354, aaf8957.</w:t>
      </w:r>
    </w:p>
    <w:p w14:paraId="5ECA351F"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Loreau, M. (2000) Biodiversity and ecosystem functioning: recent theoretical advances. Oikos, 91, 3–17.</w:t>
      </w:r>
    </w:p>
    <w:p w14:paraId="0E64C43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Loreau, M. &amp; Hector, A. (2001) Partitioning selection and complementarity in biodiversity experiments. Nature, 412, 72–76.</w:t>
      </w:r>
    </w:p>
    <w:p w14:paraId="4AC8900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Loreau, M., Naeem, S., Inchausti, P., Bengtsson, J., Grime, J.P., Hector, A., … Wardle, D. (2001) Biodiversity and ecosystem functioning: current knowledge and future challenges. Science, 294, 804–808.</w:t>
      </w:r>
    </w:p>
    <w:p w14:paraId="0B49534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Loreau, M., Mouquet, N., &amp; Gonzalez, A. (2003) Biodiversity as spatial insurance in heterogeneous landscapes. Proceedings of the National Academy of Sciences of the United States of America, 100, 12765–12770. </w:t>
      </w:r>
    </w:p>
    <w:p w14:paraId="170C874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Lytle, D. &amp; Poff, N. (2004) Adaptation to natural flow regimes. Trends in Ecology and Evolution, 19, 94–100.</w:t>
      </w:r>
    </w:p>
    <w:p w14:paraId="56ADDF3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Ma, W., He, J.S., Yang, Y., Wang, X., Liang, C., Anwar, M., …Schmid, B. (2010) Environmental factors covary with plant diversity-productivity relationships among Chinese grassland sites. Global Ecology and Biogeography, 19, 233–243.</w:t>
      </w:r>
    </w:p>
    <w:p w14:paraId="675944E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MacDougall, A.S. &amp; Turkington, R. (2005) Are invasive species the drivers or passengers of change in degraded ecosystems? Ecology, 86, 42–55.</w:t>
      </w:r>
    </w:p>
    <w:p w14:paraId="66B63347"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Macdougall, A.S., McCann, K.S., Gellner, G. &amp; Turkington, R. (2013) Diversity loss with persistent human disturbance increases vulnerability to ecosystem collapse. Nature, 494, 86–89.</w:t>
      </w:r>
    </w:p>
    <w:p w14:paraId="76DA1C4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Mayfield, M.M., Bonser, S.P., Morgan, J.W., Aubin, I., McNamara, S. &amp; Vesk, P.A. (2010) What does species richness tell us about functional trait diversity? Predictions and evidence for responses of species and functional trait diversity to land-use change. Global Ecology and Biogeography, 19, 423–431.</w:t>
      </w:r>
    </w:p>
    <w:p w14:paraId="287CE3A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McTammany, M.E., Webster, J.R., Benfield, E.F. &amp; Neatrour, M.A. (2003) Longitudinal patterns of metabolism in a southern Appalachian river. Journal of the North American Benthological Society, 22, 359–370.</w:t>
      </w:r>
    </w:p>
    <w:p w14:paraId="5A367FA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Mims, M.C. &amp; Olden, J.D. (2012) Life history theory predicts fish assemblage response to hydrologic regimes. Ecology, 93, 35–45.</w:t>
      </w:r>
    </w:p>
    <w:p w14:paraId="77CCA294"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Mims, M.C. &amp; Olden, J.D. (2013) Fish assemblages respond to altered flow regimes via ecological filtering of life history strategies. Freshwater Biology, 58, 50–62.</w:t>
      </w:r>
    </w:p>
    <w:p w14:paraId="0085F15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Mokany, K., Ash, J. &amp; Roxburgh, S. (2008) Functional identity is more important than diversity in influencing ecosystem processes in a temperate native grassland. Journal of Ecology, 96, 884–893.</w:t>
      </w:r>
    </w:p>
    <w:p w14:paraId="2D886DE6"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Mora, C., Aburto-Oropeza, O., Ayala-Bocos, A., Ayotte, P.M., Banks, S., Bauman, A.G., … Zapata, F.A. (2011) Global human footprint on the linkage between biodiversity and ecosystem functioning in reef fishes. PLoS Biology, 9, e1000606.</w:t>
      </w:r>
    </w:p>
    <w:p w14:paraId="65ECDB7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 xml:space="preserve">Mori, A. S., Isbell, F., &amp; Seidl, R. (2018). β-Diversity, community assembly, and ecosystem functioning. Trends in Ecology and Evolution, 33, 549–564. </w:t>
      </w:r>
    </w:p>
    <w:p w14:paraId="4AACFB9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Myers, B.J.E., Dolloff, C.A., Webster, J.R., Nislow, K.H., Fair, B. &amp; Rypel, A.L. (2018) Fish assemblage production estimates in Appalachian streams across a latitudinal and temperature gradient. Ecology of Freshwater Fish, 27, 363–377.</w:t>
      </w:r>
    </w:p>
    <w:p w14:paraId="693D131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Naeem, S., Thompson, L., Lawler, S., Lawton, J. &amp; Woodfin, R. (1994) Declining biodiversity can alter the performance of ecosystems. Nature, 368, 561–563.</w:t>
      </w:r>
    </w:p>
    <w:p w14:paraId="67134D5F"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Naeem, S. (2002) Disentangling the impacts of diversity on ecosystem functioning in combinatorial experiments. Ecology, 83, 2925–2935.</w:t>
      </w:r>
    </w:p>
    <w:p w14:paraId="6A8C2FC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Navratil, O., Breil, P., Schmitt, L., Grosprêtre, L. &amp; Albert, M.B. (2013) Hydrogeomorphic adjustments of stream channels disturbed by urban runoff (Yzeron River basin, France). Journal of Hydrology, 485, 24–36.</w:t>
      </w:r>
    </w:p>
    <w:p w14:paraId="1F12695F"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Oberdorff, T., Hugueny, B., Compin, A., &amp; Belkessam, D. (1998) Non-interactive fish communities in the coastal streams of North-western France. Journal of Animal Ecology, 67, 472–484.</w:t>
      </w:r>
    </w:p>
    <w:p w14:paraId="2061273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Olden, J.D., Comte, L. &amp; Giam, X. (2016) Biotic homogenisation. eLS, 1–8.</w:t>
      </w:r>
    </w:p>
    <w:p w14:paraId="4A29802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Olden, J.D., Comte, L. &amp; Giam, X. (2018) The homogocene: a research prospectus for the study of biotic homogenisation. NeoBiota, 37, 23–36.</w:t>
      </w:r>
    </w:p>
    <w:p w14:paraId="352653F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Paquette, A. &amp; Messier, C. (2011) The effect of biodiversity on tree productivity: from temperate to boreal forests. Global Ecology and Biogeography, 20, 170–180.</w:t>
      </w:r>
    </w:p>
    <w:p w14:paraId="1A6F6DD1"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Peres-Neto, P.R. (2004) Patterns in the co-occurrence of fish species in streams: the role of site suitability, morphology and phylogeny versus species interactions. Oecologia, 140, 352–360.</w:t>
      </w:r>
    </w:p>
    <w:p w14:paraId="3FD4AAE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Patrick, C.J., McGarvey, D.J., Larson, J.H., Cross, W.F., Allen, D.C., Benke, A.C., … Woodward, G. (2019) Precipitation and temperature drive continental-scale patterns in stream invertebrate production. Science Advances, 5, eaav2348.</w:t>
      </w:r>
    </w:p>
    <w:p w14:paraId="5CADB17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Petchey, O.L. &amp; Gaston, K.J. (2006) Functional diversity: back to basics and looking forward. Ecology Letters, 9, 741–758.</w:t>
      </w:r>
    </w:p>
    <w:p w14:paraId="0E7F0A7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 Development Core Team (2018) R: A language and environment for statistical computing.</w:t>
      </w:r>
    </w:p>
    <w:p w14:paraId="3AC21D7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Rahel, F. J., Bierwagen, B., &amp; Taniguchi, Y. (2008) Managing aquatic species of conservation concern in the face of climate change and invasive species. Conservation Biology, 22, 551-561.</w:t>
      </w:r>
    </w:p>
    <w:p w14:paraId="43F1906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Rahel, F. J., &amp; McLaughlin, R. L. (2018). Selective fragmentation and the management of fish movement across anthropogenic barriers. Ecological applications, 28, 2066-2081.</w:t>
      </w:r>
    </w:p>
    <w:p w14:paraId="253DE3B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Redding, D.W., Pigot, A.L., Dyer, E.E., Şekercioğlu, Ç.H., Kark, S. &amp; Blackburn, T.M. (2019) Location-level processes drive the establishment of alien bird populations worldwide. Nature, 571, 103-106.</w:t>
      </w:r>
    </w:p>
    <w:p w14:paraId="52568A1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Reid, P.C., Hari, R.E., Beaugrand, G., Livingstone, D.M., Marty, C., Straile, D., … Zhu, Z. (2016) Global impacts of the 1980s regime shift. Global Change Biology, 22, 682–703.</w:t>
      </w:r>
    </w:p>
    <w:p w14:paraId="5CFCC30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Reyjol, Y., Hugueny, B., Pont, D., Bianco, P.G., Beier, U., Caiola, N., … Virbickas, T. (2006) Patterns in species richness and endemism of European freshwater fish. Global Ecology and Biogeography, 16, 65–75.</w:t>
      </w:r>
    </w:p>
    <w:p w14:paraId="67D2337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Roscher, C., Schumacher, J., Gubsch, M., Lipowsky, A., Weigelt, A., Buchmann, N., … Schulze, E.D. (2012) Using plant functional traits to explain diversity-productivity relationships. PLoS ONE, 7, e36760.</w:t>
      </w:r>
    </w:p>
    <w:p w14:paraId="060C385E" w14:textId="77777777" w:rsidR="00D76330" w:rsidRPr="00D76330" w:rsidRDefault="00D76330" w:rsidP="00363503">
      <w:pPr>
        <w:ind w:left="360" w:hanging="360"/>
        <w:jc w:val="both"/>
        <w:rPr>
          <w:rFonts w:ascii="Times New Roman" w:hAnsi="Times New Roman" w:cs="Times New Roman"/>
          <w:lang w:val="fr-FR"/>
        </w:rPr>
      </w:pPr>
      <w:r w:rsidRPr="00D76330">
        <w:rPr>
          <w:rFonts w:ascii="Times New Roman" w:hAnsi="Times New Roman" w:cs="Times New Roman"/>
        </w:rPr>
        <w:t xml:space="preserve">Sagouis, A., Cucherousset, J., Villéger, S., Santoul, F. &amp; Boulêtreau, S. (2015) Non-native species modify the isotopic structure of freshwater fish communities across the globe. </w:t>
      </w:r>
      <w:r w:rsidRPr="00D76330">
        <w:rPr>
          <w:rFonts w:ascii="Times New Roman" w:hAnsi="Times New Roman" w:cs="Times New Roman"/>
          <w:lang w:val="fr-FR"/>
        </w:rPr>
        <w:t>Ecography, 38, 979–985.</w:t>
      </w:r>
    </w:p>
    <w:p w14:paraId="1DDB181C" w14:textId="77777777" w:rsidR="00D76330" w:rsidRPr="00D76330" w:rsidRDefault="00D76330" w:rsidP="00363503">
      <w:pPr>
        <w:ind w:left="360" w:hanging="360"/>
        <w:jc w:val="both"/>
        <w:rPr>
          <w:rFonts w:ascii="Times New Roman" w:hAnsi="Times New Roman" w:cs="Times New Roman"/>
          <w:lang w:val="fr-FR"/>
        </w:rPr>
      </w:pPr>
      <w:r w:rsidRPr="00D76330">
        <w:rPr>
          <w:rFonts w:ascii="Times New Roman" w:hAnsi="Times New Roman" w:cs="Times New Roman"/>
          <w:lang w:val="fr-FR"/>
        </w:rPr>
        <w:t>Sandre Portail national d’accès aux référentiels sur l’eau (2018) Available at: www.sandre.eaufrance.fr</w:t>
      </w:r>
    </w:p>
    <w:p w14:paraId="7938B93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Santos, A.M.C., Carneiro, F.M. &amp; Cianciaruso, M. V. (2015) Predicting productivity in tropical reservoirs: the roles of phytoplankton taxonomic and functional diversity. Ecological Indicators, 48, 428–435.</w:t>
      </w:r>
    </w:p>
    <w:p w14:paraId="10268B6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Schmidt-Kloiber, A. &amp; Hering, D. (2015) www.freshwaterecology.info - an online tool that unifies, standardises and codifies more than 20,000 European freshwater organisms and their ecological preferences. Ecological Indicators, 53, 271–282.</w:t>
      </w:r>
    </w:p>
    <w:p w14:paraId="31BE1A20"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Shipley, B. (2009) Confirmatory path analysis in a generalized multilevel context. Ecology, 90, 363–368.</w:t>
      </w:r>
    </w:p>
    <w:p w14:paraId="64FD0A3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Shipley, B. (2016) Cause and correlation in biology: a user’s guide to path analysis, structural equations and causal inference with R. Cambridge University Press.</w:t>
      </w:r>
    </w:p>
    <w:p w14:paraId="5A7D38C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Srivastava, D.S. &amp; Vellend, M. (2005) Biodiversity-ecosystem function research: is it relevant to conservation? Annual Review of Ecology, Evolution, and Systematics, 36, 267–294.</w:t>
      </w:r>
    </w:p>
    <w:p w14:paraId="10F89DA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Swenson, N.G., Enquist, B.J., Pither, J., Kerkhoff, A.J., Boyle, B., Weiser, M.D., … Nolting, K.M. (2012) The biogeography and filtering of woody plant functional diversity in North and South America. Global Ecology and Biogeography, 21, 798–808.</w:t>
      </w:r>
    </w:p>
    <w:p w14:paraId="2CC53509"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Taylor, C.M. (1996) Abundance and distribution within a guild of benthic stream fishes: local processes and regional patterns. Freshwater Biology, 36, 385–396.</w:t>
      </w:r>
    </w:p>
    <w:p w14:paraId="24906F8A"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Tedesco, P.A., Beauchard, O., Bigorne, R., Blanchet, S., Buisson, L., Conti, L., … Oberdorff, T. (2017) A global database on freshwater fish species occurrence in drainage basins. Scientific Data, 4, 170141.</w:t>
      </w:r>
    </w:p>
    <w:p w14:paraId="5413CFBB"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lastRenderedPageBreak/>
        <w:t>Tilman, D., Lehman, C.L. &amp; Thomson, K.T. (1997) Plant diversity and ecosystem productivity: theoretical considerations. Proceedings of the National Academy of Sciences, 94, 1857–1861.</w:t>
      </w:r>
    </w:p>
    <w:p w14:paraId="1715278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Tilman, D., Isbell, F. &amp; Cowles, J. (2014) Biodiversity and ecosystem function. Annual Review of Ecology Evolution and Systematics, 45, 471–493.</w:t>
      </w:r>
    </w:p>
    <w:p w14:paraId="219A43C8"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van Ruijven, J. &amp; Berendse, F. (2005) Diversity-productivity relationships: initial effects, long-term patterns, and underlying mechanisms. Proceedings of the National Academy of Sciences, 102, 695–700.</w:t>
      </w:r>
    </w:p>
    <w:p w14:paraId="36270C0D"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Vannote, R.L., Minshall, G.W., Cummins, K.W., Sedell, J.R. &amp; Cushing, C.E. (1980) The river continuum concept. Canadian Journal of Fisheries and Aquatic Sciences, 37, 130–137.</w:t>
      </w:r>
    </w:p>
    <w:p w14:paraId="130611A3"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Venter, O., Sanderson, E.W., Magrach, A., Allan, J.R., Beher, J., Jones, K.R., … Watson, J.E.M. (2016) Global terrestrial human footprint maps for 1993 and 2009. Scientific Data, 3, 1–10.</w:t>
      </w:r>
    </w:p>
    <w:p w14:paraId="6ADF558E" w14:textId="77777777" w:rsidR="00D76330" w:rsidRPr="00D76330" w:rsidRDefault="00D76330" w:rsidP="00363503">
      <w:pPr>
        <w:ind w:left="360" w:hanging="360"/>
        <w:jc w:val="both"/>
        <w:rPr>
          <w:rFonts w:ascii="Times New Roman" w:hAnsi="Times New Roman" w:cs="Times New Roman"/>
        </w:rPr>
      </w:pPr>
      <w:r w:rsidRPr="00D76330">
        <w:rPr>
          <w:rFonts w:ascii="Times New Roman" w:hAnsi="Times New Roman" w:cs="Times New Roman"/>
        </w:rPr>
        <w:t>Wilson, M.A. &amp; Carpenter, S.R. (1999) Economic valuation of freshwater ecosystem services in the United States: 1971-1997. Ecological Applications, 9, 772–783.</w:t>
      </w:r>
    </w:p>
    <w:p w14:paraId="0B7AB88E" w14:textId="77777777" w:rsidR="000314C4" w:rsidRPr="00DF7C87" w:rsidRDefault="00D76330" w:rsidP="00363503">
      <w:pPr>
        <w:ind w:left="360" w:hanging="360"/>
        <w:jc w:val="both"/>
        <w:rPr>
          <w:rFonts w:ascii="Times New Roman" w:hAnsi="Times New Roman" w:cs="Times New Roman"/>
        </w:rPr>
      </w:pPr>
      <w:r w:rsidRPr="00D76330">
        <w:rPr>
          <w:rFonts w:ascii="Times New Roman" w:hAnsi="Times New Roman" w:cs="Times New Roman"/>
        </w:rPr>
        <w:t>Zhao, M. &amp; Running, S.W. (2010) Drought-induced reduction in global terrestrial net primary production from 2000 through 2009. Nature, 329, 940–943</w:t>
      </w:r>
      <w:r w:rsidR="000314C4" w:rsidRPr="00834D4D">
        <w:rPr>
          <w:rFonts w:ascii="Times New Roman" w:hAnsi="Times New Roman" w:cs="Times New Roman"/>
        </w:rPr>
        <w:t>0.</w:t>
      </w:r>
    </w:p>
    <w:p w14:paraId="7E06D4EE" w14:textId="73506247" w:rsidR="000314C4" w:rsidRDefault="000314C4" w:rsidP="000314C4">
      <w:pPr>
        <w:pStyle w:val="Heading2"/>
        <w:rPr>
          <w:rFonts w:ascii="Times New Roman" w:hAnsi="Times New Roman" w:cs="Times New Roman"/>
        </w:rPr>
      </w:pPr>
      <w:r w:rsidRPr="00DF7C87">
        <w:rPr>
          <w:rFonts w:ascii="Times New Roman" w:hAnsi="Times New Roman" w:cs="Times New Roman"/>
          <w:sz w:val="24"/>
          <w:szCs w:val="24"/>
        </w:rPr>
        <w:br w:type="page"/>
      </w:r>
      <w:bookmarkStart w:id="57" w:name="_Toc100607900"/>
      <w:r w:rsidRPr="00DF7C87">
        <w:rPr>
          <w:rFonts w:ascii="Times New Roman" w:hAnsi="Times New Roman" w:cs="Times New Roman"/>
        </w:rPr>
        <w:lastRenderedPageBreak/>
        <w:t>A</w:t>
      </w:r>
      <w:r w:rsidR="00DF6E72">
        <w:rPr>
          <w:rFonts w:ascii="Times New Roman" w:hAnsi="Times New Roman" w:cs="Times New Roman"/>
        </w:rPr>
        <w:t>ppendix</w:t>
      </w:r>
      <w:bookmarkEnd w:id="57"/>
    </w:p>
    <w:p w14:paraId="3C862DC8" w14:textId="77777777" w:rsidR="005F6380" w:rsidRDefault="005F6380" w:rsidP="0067634F">
      <w:pPr>
        <w:rPr>
          <w:rFonts w:ascii="Times New Roman" w:hAnsi="Times New Roman" w:cs="Times New Roman"/>
          <w:b/>
          <w:bCs/>
        </w:rPr>
      </w:pPr>
    </w:p>
    <w:p w14:paraId="74834140" w14:textId="604E725C" w:rsidR="0067634F" w:rsidRPr="00CE64C6" w:rsidRDefault="002A6963" w:rsidP="0067634F">
      <w:pPr>
        <w:rPr>
          <w:rFonts w:ascii="Times New Roman" w:hAnsi="Times New Roman" w:cs="Times New Roman"/>
          <w:b/>
          <w:bCs/>
        </w:rPr>
      </w:pPr>
      <w:r w:rsidRPr="00F827EB">
        <w:rPr>
          <w:rFonts w:ascii="Times New Roman" w:hAnsi="Times New Roman" w:cs="Times New Roman"/>
          <w:b/>
          <w:bCs/>
        </w:rPr>
        <w:t xml:space="preserve">Sensitivity analysis of the effects of alternative survey selection criteria. </w:t>
      </w:r>
    </w:p>
    <w:p w14:paraId="34CD18DE" w14:textId="2CA296E3" w:rsidR="002A6963" w:rsidRPr="00F73108" w:rsidRDefault="002A6963" w:rsidP="007F5ABE">
      <w:pPr>
        <w:ind w:firstLine="720"/>
        <w:jc w:val="both"/>
        <w:rPr>
          <w:rFonts w:ascii="Times New Roman" w:hAnsi="Times New Roman" w:cs="Times New Roman"/>
        </w:rPr>
      </w:pPr>
      <w:r w:rsidRPr="00F73108">
        <w:rPr>
          <w:rFonts w:ascii="Times New Roman" w:hAnsi="Times New Roman" w:cs="Times New Roman"/>
        </w:rPr>
        <w:t>Results presented in the main text are based upon a dataset with selection of the most recent fish survey event at each site between 1992–2012. To assess the sensitivity of our results to this criterion, we explored the effects of alternative scenarios for selection of survey events. For each alternative scenario (discussed below), we used the global model for biomass modeled with a linear mixed-effects model with random species richness slopes and watershed intercepts. We examined whether fixed effects of biodiversity, abiotic variables, and sampling effort on biomass production differed in magnitude of effect (beta coefficient) from the model presented in the main text.</w:t>
      </w:r>
    </w:p>
    <w:p w14:paraId="3B3FC900" w14:textId="31201E0D" w:rsidR="002A6963" w:rsidRPr="00F73108" w:rsidRDefault="002A6963" w:rsidP="007F5ABE">
      <w:pPr>
        <w:jc w:val="both"/>
        <w:rPr>
          <w:rFonts w:ascii="Times New Roman" w:hAnsi="Times New Roman" w:cs="Times New Roman"/>
        </w:rPr>
      </w:pPr>
      <w:r w:rsidRPr="00F73108">
        <w:rPr>
          <w:rFonts w:ascii="Times New Roman" w:hAnsi="Times New Roman" w:cs="Times New Roman"/>
        </w:rPr>
        <w:tab/>
        <w:t xml:space="preserve">First, we examined the sensitivity of our results to a regional drought that affected France in the year 2003 (Trigo et al., 2005), and we omitted surveys from 2003 in the global model (Table </w:t>
      </w:r>
      <w:r w:rsidR="007F5ABE">
        <w:rPr>
          <w:rFonts w:ascii="Times New Roman" w:hAnsi="Times New Roman" w:cs="Times New Roman"/>
        </w:rPr>
        <w:t>6</w:t>
      </w:r>
      <w:r w:rsidRPr="00F73108">
        <w:rPr>
          <w:rFonts w:ascii="Times New Roman" w:hAnsi="Times New Roman" w:cs="Times New Roman"/>
        </w:rPr>
        <w:t xml:space="preserve">a). We also assessed whether results in the main text were robust to our decision to remove surveys where brown trout was the only species recorded. To do so, we reran the global model and included all surveys inclusive of brown trout singletons (Table </w:t>
      </w:r>
      <w:r w:rsidR="007F5ABE">
        <w:rPr>
          <w:rFonts w:ascii="Times New Roman" w:hAnsi="Times New Roman" w:cs="Times New Roman"/>
        </w:rPr>
        <w:t>6</w:t>
      </w:r>
      <w:r w:rsidRPr="00F73108">
        <w:rPr>
          <w:rFonts w:ascii="Times New Roman" w:hAnsi="Times New Roman" w:cs="Times New Roman"/>
        </w:rPr>
        <w:t xml:space="preserve">b), as well as on a subset of surveys with at least two species recorded (Table </w:t>
      </w:r>
      <w:r w:rsidR="007F5ABE">
        <w:rPr>
          <w:rFonts w:ascii="Times New Roman" w:hAnsi="Times New Roman" w:cs="Times New Roman"/>
        </w:rPr>
        <w:t>6</w:t>
      </w:r>
      <w:r w:rsidRPr="00F73108">
        <w:rPr>
          <w:rFonts w:ascii="Times New Roman" w:hAnsi="Times New Roman" w:cs="Times New Roman"/>
        </w:rPr>
        <w:t xml:space="preserve">c). We also examined the robustness of our results to the restriction of surveys to abundance ≥ 100 and sites per watershed ≥ 5 and reran global models using a selection of surveys where: abundance ≥ 150 and sites per watershed ≥ 5 (Table </w:t>
      </w:r>
      <w:r w:rsidR="007F5ABE">
        <w:rPr>
          <w:rFonts w:ascii="Times New Roman" w:hAnsi="Times New Roman" w:cs="Times New Roman"/>
        </w:rPr>
        <w:t>6</w:t>
      </w:r>
      <w:r w:rsidRPr="00F73108">
        <w:rPr>
          <w:rFonts w:ascii="Times New Roman" w:hAnsi="Times New Roman" w:cs="Times New Roman"/>
        </w:rPr>
        <w:t xml:space="preserve">d), abundance ≥ 50 and sites per watershed ≥ 5 (Table </w:t>
      </w:r>
      <w:r w:rsidR="007F5ABE">
        <w:rPr>
          <w:rFonts w:ascii="Times New Roman" w:hAnsi="Times New Roman" w:cs="Times New Roman"/>
        </w:rPr>
        <w:t>6</w:t>
      </w:r>
      <w:r w:rsidRPr="00F73108">
        <w:rPr>
          <w:rFonts w:ascii="Times New Roman" w:hAnsi="Times New Roman" w:cs="Times New Roman"/>
        </w:rPr>
        <w:t xml:space="preserve">e); and abundance ≥ 100 and sites per watershed ≥ 10 (Table </w:t>
      </w:r>
      <w:r w:rsidR="007F5ABE">
        <w:rPr>
          <w:rFonts w:ascii="Times New Roman" w:hAnsi="Times New Roman" w:cs="Times New Roman"/>
        </w:rPr>
        <w:t>6</w:t>
      </w:r>
      <w:r w:rsidRPr="00F73108">
        <w:rPr>
          <w:rFonts w:ascii="Times New Roman" w:hAnsi="Times New Roman" w:cs="Times New Roman"/>
        </w:rPr>
        <w:t xml:space="preserve">f). </w:t>
      </w:r>
    </w:p>
    <w:p w14:paraId="29DA8FDB" w14:textId="4925B2A5" w:rsidR="000314C4" w:rsidRPr="00F73108" w:rsidRDefault="002A6963" w:rsidP="007F5ABE">
      <w:pPr>
        <w:jc w:val="both"/>
        <w:rPr>
          <w:rFonts w:ascii="Times New Roman" w:hAnsi="Times New Roman" w:cs="Times New Roman"/>
        </w:rPr>
      </w:pPr>
      <w:r w:rsidRPr="00F73108">
        <w:rPr>
          <w:rFonts w:ascii="Times New Roman" w:hAnsi="Times New Roman" w:cs="Times New Roman"/>
        </w:rPr>
        <w:tab/>
        <w:t>Results based on the alternate selection scenarios were qualitatively similar to the main text analysis (judged by magnitude and direction of beta); therefore, we retained the initial survey selection criteria.</w:t>
      </w:r>
    </w:p>
    <w:p w14:paraId="5F543133" w14:textId="0B373545" w:rsidR="00D677AA" w:rsidRDefault="00D677AA" w:rsidP="00EA50C9">
      <w:pPr>
        <w:rPr>
          <w:rFonts w:ascii="Times New Roman" w:hAnsi="Times New Roman" w:cs="Times New Roman"/>
        </w:rPr>
      </w:pPr>
    </w:p>
    <w:p w14:paraId="021AA8A3" w14:textId="77777777" w:rsidR="00EA50C9" w:rsidRDefault="00EA50C9">
      <w:pPr>
        <w:rPr>
          <w:rFonts w:ascii="Times New Roman" w:hAnsi="Times New Roman" w:cs="Times New Roman"/>
          <w:b/>
          <w:bCs/>
        </w:rPr>
      </w:pPr>
      <w:r>
        <w:rPr>
          <w:rFonts w:ascii="Times New Roman" w:hAnsi="Times New Roman" w:cs="Times New Roman"/>
        </w:rPr>
        <w:br w:type="page"/>
      </w:r>
    </w:p>
    <w:p w14:paraId="1F0DE00D" w14:textId="26040922" w:rsidR="00F73108" w:rsidRPr="00DF7C87" w:rsidRDefault="000B2B3A" w:rsidP="00C11408">
      <w:pPr>
        <w:pStyle w:val="Caption"/>
        <w:jc w:val="both"/>
        <w:rPr>
          <w:rFonts w:ascii="Times New Roman" w:hAnsi="Times New Roman" w:cs="Times New Roman"/>
        </w:rPr>
      </w:pPr>
      <w:bookmarkStart w:id="58" w:name="_Toc93411177"/>
      <w:r w:rsidRPr="00DF7C87">
        <w:rPr>
          <w:rFonts w:ascii="Times New Roman" w:hAnsi="Times New Roman" w:cs="Times New Roman"/>
        </w:rPr>
        <w:lastRenderedPageBreak/>
        <w:t xml:space="preserve">Table </w:t>
      </w:r>
      <w:r w:rsidRPr="00DF7C87">
        <w:rPr>
          <w:rFonts w:ascii="Times New Roman" w:hAnsi="Times New Roman" w:cs="Times New Roman"/>
        </w:rPr>
        <w:fldChar w:fldCharType="begin"/>
      </w:r>
      <w:r w:rsidRPr="00DF7C87">
        <w:rPr>
          <w:rFonts w:ascii="Times New Roman" w:hAnsi="Times New Roman" w:cs="Times New Roman"/>
        </w:rPr>
        <w:instrText xml:space="preserve"> SEQ Table \* ARABIC </w:instrText>
      </w:r>
      <w:r w:rsidRPr="00DF7C87">
        <w:rPr>
          <w:rFonts w:ascii="Times New Roman" w:hAnsi="Times New Roman" w:cs="Times New Roman"/>
        </w:rPr>
        <w:fldChar w:fldCharType="separate"/>
      </w:r>
      <w:r>
        <w:rPr>
          <w:rFonts w:ascii="Times New Roman" w:hAnsi="Times New Roman" w:cs="Times New Roman"/>
          <w:noProof/>
        </w:rPr>
        <w:t>6</w:t>
      </w:r>
      <w:r w:rsidRPr="00DF7C87">
        <w:rPr>
          <w:rFonts w:ascii="Times New Roman" w:hAnsi="Times New Roman" w:cs="Times New Roman"/>
        </w:rPr>
        <w:fldChar w:fldCharType="end"/>
      </w:r>
      <w:r w:rsidRPr="00DF7C87">
        <w:rPr>
          <w:rFonts w:ascii="Times New Roman" w:hAnsi="Times New Roman" w:cs="Times New Roman"/>
        </w:rPr>
        <w:t xml:space="preserve">. </w:t>
      </w:r>
      <w:r w:rsidR="00A458F6" w:rsidRPr="00A458F6">
        <w:rPr>
          <w:rFonts w:ascii="Times New Roman" w:hAnsi="Times New Roman" w:cs="Times New Roman"/>
        </w:rPr>
        <w:t xml:space="preserve">Results of the sensitivity analysis of beta coefficient estimates on alternative survey selection criteria. </w:t>
      </w:r>
      <w:r w:rsidR="00A458F6" w:rsidRPr="00A458F6">
        <w:rPr>
          <w:rFonts w:ascii="Times New Roman" w:hAnsi="Times New Roman" w:cs="Times New Roman"/>
          <w:b w:val="0"/>
          <w:bCs w:val="0"/>
        </w:rPr>
        <w:t xml:space="preserve">Values in the table are partial regression coefficients from the full biomass model described in the main text. Column labels indicate the subsets of surveys used for the global biomass model: (a) surveys from 2003 omitted, (b) brown trout singletons included in surveys, (c) all surveys where species richness ≥ 2, (d) surveys where abundance ≥ 150 and sites per watershed ≥ 5, (e) abundance ≥ 50 and sites per watershed ≥ 5; and (f) abundance ≥ 100 and sites per watershed ≥ 10. </w:t>
      </w:r>
      <w:bookmarkEnd w:id="5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716"/>
        <w:gridCol w:w="716"/>
        <w:gridCol w:w="716"/>
        <w:gridCol w:w="716"/>
        <w:gridCol w:w="716"/>
        <w:gridCol w:w="716"/>
      </w:tblGrid>
      <w:tr w:rsidR="00A458F6" w14:paraId="16D8A4D3" w14:textId="77777777" w:rsidTr="00C11408">
        <w:trPr>
          <w:jc w:val="center"/>
        </w:trPr>
        <w:tc>
          <w:tcPr>
            <w:tcW w:w="0" w:type="auto"/>
            <w:tcBorders>
              <w:top w:val="single" w:sz="4" w:space="0" w:color="auto"/>
              <w:bottom w:val="single" w:sz="4" w:space="0" w:color="auto"/>
            </w:tcBorders>
          </w:tcPr>
          <w:p w14:paraId="1D76E6E7" w14:textId="0AFDB73C" w:rsidR="00A458F6" w:rsidRPr="002D1207" w:rsidRDefault="002D1207" w:rsidP="00A458F6">
            <w:pPr>
              <w:rPr>
                <w:rFonts w:ascii="Times New Roman" w:hAnsi="Times New Roman" w:cs="Times New Roman"/>
                <w:b/>
                <w:bCs/>
              </w:rPr>
            </w:pPr>
            <w:r>
              <w:rPr>
                <w:rFonts w:ascii="Times New Roman" w:hAnsi="Times New Roman" w:cs="Times New Roman"/>
                <w:b/>
                <w:bCs/>
              </w:rPr>
              <w:t>Variable</w:t>
            </w:r>
          </w:p>
        </w:tc>
        <w:tc>
          <w:tcPr>
            <w:tcW w:w="0" w:type="auto"/>
            <w:tcBorders>
              <w:top w:val="single" w:sz="4" w:space="0" w:color="auto"/>
              <w:bottom w:val="single" w:sz="4" w:space="0" w:color="auto"/>
            </w:tcBorders>
          </w:tcPr>
          <w:p w14:paraId="7584E5AF" w14:textId="51CA0A4F"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a</w:t>
            </w:r>
          </w:p>
        </w:tc>
        <w:tc>
          <w:tcPr>
            <w:tcW w:w="0" w:type="auto"/>
            <w:tcBorders>
              <w:top w:val="single" w:sz="4" w:space="0" w:color="auto"/>
              <w:bottom w:val="single" w:sz="4" w:space="0" w:color="auto"/>
            </w:tcBorders>
          </w:tcPr>
          <w:p w14:paraId="066C6C81" w14:textId="4EFA6BDD"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b</w:t>
            </w:r>
          </w:p>
        </w:tc>
        <w:tc>
          <w:tcPr>
            <w:tcW w:w="0" w:type="auto"/>
            <w:tcBorders>
              <w:top w:val="single" w:sz="4" w:space="0" w:color="auto"/>
              <w:bottom w:val="single" w:sz="4" w:space="0" w:color="auto"/>
            </w:tcBorders>
          </w:tcPr>
          <w:p w14:paraId="088B4325" w14:textId="7808DE17"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c</w:t>
            </w:r>
          </w:p>
        </w:tc>
        <w:tc>
          <w:tcPr>
            <w:tcW w:w="0" w:type="auto"/>
            <w:tcBorders>
              <w:top w:val="single" w:sz="4" w:space="0" w:color="auto"/>
              <w:bottom w:val="single" w:sz="4" w:space="0" w:color="auto"/>
            </w:tcBorders>
          </w:tcPr>
          <w:p w14:paraId="619B9158" w14:textId="073D0C46"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d</w:t>
            </w:r>
          </w:p>
        </w:tc>
        <w:tc>
          <w:tcPr>
            <w:tcW w:w="0" w:type="auto"/>
            <w:tcBorders>
              <w:top w:val="single" w:sz="4" w:space="0" w:color="auto"/>
              <w:bottom w:val="single" w:sz="4" w:space="0" w:color="auto"/>
            </w:tcBorders>
          </w:tcPr>
          <w:p w14:paraId="2823D1EF" w14:textId="4C0C8CE8"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e</w:t>
            </w:r>
          </w:p>
        </w:tc>
        <w:tc>
          <w:tcPr>
            <w:tcW w:w="0" w:type="auto"/>
            <w:tcBorders>
              <w:top w:val="single" w:sz="4" w:space="0" w:color="auto"/>
              <w:bottom w:val="single" w:sz="4" w:space="0" w:color="auto"/>
            </w:tcBorders>
          </w:tcPr>
          <w:p w14:paraId="0139860F" w14:textId="188671F5" w:rsidR="00A458F6" w:rsidRPr="002D1207" w:rsidRDefault="00A458F6" w:rsidP="00A458F6">
            <w:pPr>
              <w:jc w:val="right"/>
              <w:rPr>
                <w:rFonts w:ascii="Times New Roman" w:hAnsi="Times New Roman" w:cs="Times New Roman"/>
                <w:b/>
                <w:bCs/>
              </w:rPr>
            </w:pPr>
            <w:r w:rsidRPr="002D1207">
              <w:rPr>
                <w:rFonts w:ascii="Times New Roman" w:hAnsi="Times New Roman" w:cs="Times New Roman"/>
                <w:b/>
                <w:bCs/>
              </w:rPr>
              <w:t>f</w:t>
            </w:r>
          </w:p>
        </w:tc>
      </w:tr>
      <w:tr w:rsidR="00A458F6" w14:paraId="75F46AFC" w14:textId="77777777" w:rsidTr="00C11408">
        <w:trPr>
          <w:jc w:val="center"/>
        </w:trPr>
        <w:tc>
          <w:tcPr>
            <w:tcW w:w="0" w:type="auto"/>
            <w:tcBorders>
              <w:top w:val="single" w:sz="4" w:space="0" w:color="auto"/>
            </w:tcBorders>
          </w:tcPr>
          <w:p w14:paraId="1037EF0D" w14:textId="78CE7707" w:rsidR="00A458F6" w:rsidRPr="00A458F6" w:rsidRDefault="00A458F6" w:rsidP="00A458F6">
            <w:pPr>
              <w:rPr>
                <w:rFonts w:ascii="Times New Roman" w:hAnsi="Times New Roman" w:cs="Times New Roman"/>
              </w:rPr>
            </w:pPr>
            <w:r w:rsidRPr="00A458F6">
              <w:rPr>
                <w:rFonts w:ascii="Times New Roman" w:hAnsi="Times New Roman" w:cs="Times New Roman"/>
              </w:rPr>
              <w:t>Species richness</w:t>
            </w:r>
          </w:p>
        </w:tc>
        <w:tc>
          <w:tcPr>
            <w:tcW w:w="0" w:type="auto"/>
            <w:tcBorders>
              <w:top w:val="single" w:sz="4" w:space="0" w:color="auto"/>
            </w:tcBorders>
          </w:tcPr>
          <w:p w14:paraId="4CDA6DC5" w14:textId="23B93C22"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0.34</w:t>
            </w:r>
          </w:p>
        </w:tc>
        <w:tc>
          <w:tcPr>
            <w:tcW w:w="0" w:type="auto"/>
            <w:tcBorders>
              <w:top w:val="single" w:sz="4" w:space="0" w:color="auto"/>
            </w:tcBorders>
          </w:tcPr>
          <w:p w14:paraId="72B20EEB" w14:textId="1444B01B"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0.33</w:t>
            </w:r>
          </w:p>
        </w:tc>
        <w:tc>
          <w:tcPr>
            <w:tcW w:w="0" w:type="auto"/>
            <w:tcBorders>
              <w:top w:val="single" w:sz="4" w:space="0" w:color="auto"/>
            </w:tcBorders>
          </w:tcPr>
          <w:p w14:paraId="33F3488E" w14:textId="2A24C7C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0.34</w:t>
            </w:r>
          </w:p>
        </w:tc>
        <w:tc>
          <w:tcPr>
            <w:tcW w:w="0" w:type="auto"/>
            <w:tcBorders>
              <w:top w:val="single" w:sz="4" w:space="0" w:color="auto"/>
            </w:tcBorders>
          </w:tcPr>
          <w:p w14:paraId="17333ABE" w14:textId="60114AE6"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0.32</w:t>
            </w:r>
          </w:p>
        </w:tc>
        <w:tc>
          <w:tcPr>
            <w:tcW w:w="0" w:type="auto"/>
            <w:tcBorders>
              <w:top w:val="single" w:sz="4" w:space="0" w:color="auto"/>
            </w:tcBorders>
          </w:tcPr>
          <w:p w14:paraId="2361459F" w14:textId="12735471"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0.37</w:t>
            </w:r>
          </w:p>
        </w:tc>
        <w:tc>
          <w:tcPr>
            <w:tcW w:w="0" w:type="auto"/>
            <w:tcBorders>
              <w:top w:val="single" w:sz="4" w:space="0" w:color="auto"/>
            </w:tcBorders>
          </w:tcPr>
          <w:p w14:paraId="65B899E2" w14:textId="6D7B2254" w:rsidR="00A458F6" w:rsidRPr="00A458F6" w:rsidRDefault="00A458F6" w:rsidP="00A458F6">
            <w:pPr>
              <w:jc w:val="right"/>
              <w:rPr>
                <w:rFonts w:ascii="Times New Roman" w:hAnsi="Times New Roman" w:cs="Times New Roman"/>
              </w:rPr>
            </w:pPr>
            <w:r w:rsidRPr="00A458F6">
              <w:rPr>
                <w:rFonts w:ascii="Times New Roman" w:hAnsi="Times New Roman" w:cs="Times New Roman"/>
              </w:rPr>
              <w:t>0.33</w:t>
            </w:r>
          </w:p>
        </w:tc>
      </w:tr>
      <w:tr w:rsidR="00A458F6" w14:paraId="50FC3513" w14:textId="77777777" w:rsidTr="00C11408">
        <w:trPr>
          <w:jc w:val="center"/>
        </w:trPr>
        <w:tc>
          <w:tcPr>
            <w:tcW w:w="0" w:type="auto"/>
          </w:tcPr>
          <w:p w14:paraId="3CB9375D" w14:textId="27E0E1F5" w:rsidR="00A458F6" w:rsidRPr="00A458F6" w:rsidRDefault="00A458F6" w:rsidP="00A458F6">
            <w:pPr>
              <w:rPr>
                <w:rFonts w:ascii="Times New Roman" w:hAnsi="Times New Roman" w:cs="Times New Roman"/>
              </w:rPr>
            </w:pPr>
            <w:r w:rsidRPr="00A458F6">
              <w:rPr>
                <w:rFonts w:ascii="Times New Roman" w:hAnsi="Times New Roman" w:cs="Times New Roman"/>
              </w:rPr>
              <w:t>Sampled area</w:t>
            </w:r>
          </w:p>
        </w:tc>
        <w:tc>
          <w:tcPr>
            <w:tcW w:w="0" w:type="auto"/>
          </w:tcPr>
          <w:p w14:paraId="288DC154" w14:textId="79494E24"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0.54</w:t>
            </w:r>
          </w:p>
        </w:tc>
        <w:tc>
          <w:tcPr>
            <w:tcW w:w="0" w:type="auto"/>
          </w:tcPr>
          <w:p w14:paraId="613E857C" w14:textId="0C47A8A0"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0.55</w:t>
            </w:r>
          </w:p>
        </w:tc>
        <w:tc>
          <w:tcPr>
            <w:tcW w:w="0" w:type="auto"/>
          </w:tcPr>
          <w:p w14:paraId="3693DB50" w14:textId="341CCB2E"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0.54</w:t>
            </w:r>
          </w:p>
        </w:tc>
        <w:tc>
          <w:tcPr>
            <w:tcW w:w="0" w:type="auto"/>
          </w:tcPr>
          <w:p w14:paraId="615149CD" w14:textId="4FAB815F"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0.51</w:t>
            </w:r>
          </w:p>
        </w:tc>
        <w:tc>
          <w:tcPr>
            <w:tcW w:w="0" w:type="auto"/>
          </w:tcPr>
          <w:p w14:paraId="06893117" w14:textId="018EF54E"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0.53</w:t>
            </w:r>
          </w:p>
        </w:tc>
        <w:tc>
          <w:tcPr>
            <w:tcW w:w="0" w:type="auto"/>
          </w:tcPr>
          <w:p w14:paraId="582CFD3F" w14:textId="64655201" w:rsidR="00A458F6" w:rsidRPr="00A458F6" w:rsidRDefault="00A458F6" w:rsidP="00A458F6">
            <w:pPr>
              <w:jc w:val="right"/>
              <w:rPr>
                <w:rFonts w:ascii="Times New Roman" w:hAnsi="Times New Roman" w:cs="Times New Roman"/>
              </w:rPr>
            </w:pPr>
            <w:r w:rsidRPr="00A458F6">
              <w:rPr>
                <w:rFonts w:ascii="Times New Roman" w:hAnsi="Times New Roman" w:cs="Times New Roman"/>
              </w:rPr>
              <w:t>0.53</w:t>
            </w:r>
          </w:p>
        </w:tc>
      </w:tr>
      <w:tr w:rsidR="00A458F6" w14:paraId="172DF16F" w14:textId="77777777" w:rsidTr="00C11408">
        <w:trPr>
          <w:jc w:val="center"/>
        </w:trPr>
        <w:tc>
          <w:tcPr>
            <w:tcW w:w="0" w:type="auto"/>
          </w:tcPr>
          <w:p w14:paraId="768CF5E9" w14:textId="1E07D1B3" w:rsidR="00A458F6" w:rsidRPr="00A458F6" w:rsidRDefault="00A458F6" w:rsidP="00A458F6">
            <w:pPr>
              <w:rPr>
                <w:rFonts w:ascii="Times New Roman" w:hAnsi="Times New Roman" w:cs="Times New Roman"/>
              </w:rPr>
            </w:pPr>
            <w:r w:rsidRPr="00A458F6">
              <w:rPr>
                <w:rFonts w:ascii="Times New Roman" w:hAnsi="Times New Roman" w:cs="Times New Roman"/>
              </w:rPr>
              <w:t>Temperature</w:t>
            </w:r>
          </w:p>
        </w:tc>
        <w:tc>
          <w:tcPr>
            <w:tcW w:w="0" w:type="auto"/>
          </w:tcPr>
          <w:p w14:paraId="18C2EDF3" w14:textId="2D047D18"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-0.07</w:t>
            </w:r>
          </w:p>
        </w:tc>
        <w:tc>
          <w:tcPr>
            <w:tcW w:w="0" w:type="auto"/>
          </w:tcPr>
          <w:p w14:paraId="092F31F6" w14:textId="203FDCFC"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-0.06</w:t>
            </w:r>
          </w:p>
        </w:tc>
        <w:tc>
          <w:tcPr>
            <w:tcW w:w="0" w:type="auto"/>
          </w:tcPr>
          <w:p w14:paraId="729C640F" w14:textId="4D0D6C2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-0.09</w:t>
            </w:r>
          </w:p>
        </w:tc>
        <w:tc>
          <w:tcPr>
            <w:tcW w:w="0" w:type="auto"/>
          </w:tcPr>
          <w:p w14:paraId="74B78E67" w14:textId="16FB5F14"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-0.07</w:t>
            </w:r>
          </w:p>
        </w:tc>
        <w:tc>
          <w:tcPr>
            <w:tcW w:w="0" w:type="auto"/>
          </w:tcPr>
          <w:p w14:paraId="40DF0878" w14:textId="447B313F"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-0.07</w:t>
            </w:r>
          </w:p>
        </w:tc>
        <w:tc>
          <w:tcPr>
            <w:tcW w:w="0" w:type="auto"/>
          </w:tcPr>
          <w:p w14:paraId="4754B198" w14:textId="451D1374"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-0.08</w:t>
            </w:r>
          </w:p>
        </w:tc>
      </w:tr>
      <w:tr w:rsidR="00A458F6" w14:paraId="1F5588C3" w14:textId="77777777" w:rsidTr="00C11408">
        <w:trPr>
          <w:jc w:val="center"/>
        </w:trPr>
        <w:tc>
          <w:tcPr>
            <w:tcW w:w="0" w:type="auto"/>
          </w:tcPr>
          <w:p w14:paraId="5893E14D" w14:textId="0780339E" w:rsidR="00A458F6" w:rsidRPr="00A458F6" w:rsidRDefault="00A458F6" w:rsidP="00A458F6">
            <w:pPr>
              <w:rPr>
                <w:rFonts w:ascii="Times New Roman" w:hAnsi="Times New Roman" w:cs="Times New Roman"/>
              </w:rPr>
            </w:pPr>
            <w:r w:rsidRPr="00A458F6">
              <w:rPr>
                <w:rFonts w:ascii="Times New Roman" w:hAnsi="Times New Roman" w:cs="Times New Roman"/>
              </w:rPr>
              <w:t>Precipitation</w:t>
            </w:r>
          </w:p>
        </w:tc>
        <w:tc>
          <w:tcPr>
            <w:tcW w:w="0" w:type="auto"/>
          </w:tcPr>
          <w:p w14:paraId="3C3726BB" w14:textId="5C48EC25"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0.12</w:t>
            </w:r>
          </w:p>
        </w:tc>
        <w:tc>
          <w:tcPr>
            <w:tcW w:w="0" w:type="auto"/>
          </w:tcPr>
          <w:p w14:paraId="2AD5B305" w14:textId="749826AC"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0.11</w:t>
            </w:r>
          </w:p>
        </w:tc>
        <w:tc>
          <w:tcPr>
            <w:tcW w:w="0" w:type="auto"/>
          </w:tcPr>
          <w:p w14:paraId="63418D8C" w14:textId="0C108F85"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0.11</w:t>
            </w:r>
          </w:p>
        </w:tc>
        <w:tc>
          <w:tcPr>
            <w:tcW w:w="0" w:type="auto"/>
          </w:tcPr>
          <w:p w14:paraId="64E01FAE" w14:textId="725E9EAE"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0.10</w:t>
            </w:r>
          </w:p>
        </w:tc>
        <w:tc>
          <w:tcPr>
            <w:tcW w:w="0" w:type="auto"/>
          </w:tcPr>
          <w:p w14:paraId="052C3EAA" w14:textId="32FA705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0.10</w:t>
            </w:r>
          </w:p>
        </w:tc>
        <w:tc>
          <w:tcPr>
            <w:tcW w:w="0" w:type="auto"/>
          </w:tcPr>
          <w:p w14:paraId="0D6CBB2E" w14:textId="4CB4D8F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0.13</w:t>
            </w:r>
          </w:p>
        </w:tc>
      </w:tr>
      <w:tr w:rsidR="00A458F6" w14:paraId="22D4FABD" w14:textId="77777777" w:rsidTr="00C11408">
        <w:trPr>
          <w:jc w:val="center"/>
        </w:trPr>
        <w:tc>
          <w:tcPr>
            <w:tcW w:w="0" w:type="auto"/>
          </w:tcPr>
          <w:p w14:paraId="2F6C6B65" w14:textId="50F4D612" w:rsidR="00A458F6" w:rsidRPr="00A458F6" w:rsidRDefault="00A458F6" w:rsidP="00A458F6">
            <w:pPr>
              <w:rPr>
                <w:rFonts w:ascii="Times New Roman" w:hAnsi="Times New Roman" w:cs="Times New Roman"/>
              </w:rPr>
            </w:pPr>
            <w:r w:rsidRPr="00A458F6">
              <w:rPr>
                <w:rFonts w:ascii="Times New Roman" w:hAnsi="Times New Roman" w:cs="Times New Roman"/>
              </w:rPr>
              <w:t>Functional diversity</w:t>
            </w:r>
          </w:p>
        </w:tc>
        <w:tc>
          <w:tcPr>
            <w:tcW w:w="0" w:type="auto"/>
          </w:tcPr>
          <w:p w14:paraId="6D60D143" w14:textId="5BC555E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0.10</w:t>
            </w:r>
          </w:p>
        </w:tc>
        <w:tc>
          <w:tcPr>
            <w:tcW w:w="0" w:type="auto"/>
          </w:tcPr>
          <w:p w14:paraId="3648F3CC" w14:textId="3C7DE8FF"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0.10</w:t>
            </w:r>
          </w:p>
        </w:tc>
        <w:tc>
          <w:tcPr>
            <w:tcW w:w="0" w:type="auto"/>
          </w:tcPr>
          <w:p w14:paraId="27BDA7B6" w14:textId="45604332"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0.10</w:t>
            </w:r>
          </w:p>
        </w:tc>
        <w:tc>
          <w:tcPr>
            <w:tcW w:w="0" w:type="auto"/>
          </w:tcPr>
          <w:p w14:paraId="31D7B959" w14:textId="18FEB6B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0.12</w:t>
            </w:r>
          </w:p>
        </w:tc>
        <w:tc>
          <w:tcPr>
            <w:tcW w:w="0" w:type="auto"/>
          </w:tcPr>
          <w:p w14:paraId="3BEE6911" w14:textId="7EB49DB6"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0.06</w:t>
            </w:r>
          </w:p>
        </w:tc>
        <w:tc>
          <w:tcPr>
            <w:tcW w:w="0" w:type="auto"/>
          </w:tcPr>
          <w:p w14:paraId="444193EE" w14:textId="72134C65"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0.09</w:t>
            </w:r>
          </w:p>
        </w:tc>
      </w:tr>
      <w:tr w:rsidR="00A458F6" w14:paraId="3801A234" w14:textId="77777777" w:rsidTr="00C11408">
        <w:trPr>
          <w:jc w:val="center"/>
        </w:trPr>
        <w:tc>
          <w:tcPr>
            <w:tcW w:w="0" w:type="auto"/>
          </w:tcPr>
          <w:p w14:paraId="5FA3E000" w14:textId="6966B381" w:rsidR="00A458F6" w:rsidRPr="00A458F6" w:rsidRDefault="00A458F6" w:rsidP="00A458F6">
            <w:pPr>
              <w:rPr>
                <w:rFonts w:ascii="Times New Roman" w:hAnsi="Times New Roman" w:cs="Times New Roman"/>
              </w:rPr>
            </w:pPr>
            <w:r w:rsidRPr="00A458F6">
              <w:rPr>
                <w:rFonts w:ascii="Times New Roman" w:hAnsi="Times New Roman" w:cs="Times New Roman"/>
              </w:rPr>
              <w:t>Human impact</w:t>
            </w:r>
          </w:p>
        </w:tc>
        <w:tc>
          <w:tcPr>
            <w:tcW w:w="0" w:type="auto"/>
          </w:tcPr>
          <w:p w14:paraId="2CD55ACF" w14:textId="24013C9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0.05</w:t>
            </w:r>
          </w:p>
        </w:tc>
        <w:tc>
          <w:tcPr>
            <w:tcW w:w="0" w:type="auto"/>
          </w:tcPr>
          <w:p w14:paraId="100985E1" w14:textId="5E7E802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0.06</w:t>
            </w:r>
          </w:p>
        </w:tc>
        <w:tc>
          <w:tcPr>
            <w:tcW w:w="0" w:type="auto"/>
          </w:tcPr>
          <w:p w14:paraId="5861B193" w14:textId="3607A925"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0.06</w:t>
            </w:r>
          </w:p>
        </w:tc>
        <w:tc>
          <w:tcPr>
            <w:tcW w:w="0" w:type="auto"/>
          </w:tcPr>
          <w:p w14:paraId="36E62E04" w14:textId="5EF0BAC5"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0.07</w:t>
            </w:r>
          </w:p>
        </w:tc>
        <w:tc>
          <w:tcPr>
            <w:tcW w:w="0" w:type="auto"/>
          </w:tcPr>
          <w:p w14:paraId="37803296" w14:textId="5439F89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0.05</w:t>
            </w:r>
          </w:p>
        </w:tc>
        <w:tc>
          <w:tcPr>
            <w:tcW w:w="0" w:type="auto"/>
          </w:tcPr>
          <w:p w14:paraId="4C2163E2" w14:textId="4F02E80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0.05</w:t>
            </w:r>
          </w:p>
        </w:tc>
      </w:tr>
      <w:tr w:rsidR="00A458F6" w14:paraId="65D0683A" w14:textId="77777777" w:rsidTr="00C11408">
        <w:trPr>
          <w:jc w:val="center"/>
        </w:trPr>
        <w:tc>
          <w:tcPr>
            <w:tcW w:w="0" w:type="auto"/>
          </w:tcPr>
          <w:p w14:paraId="31B87B36" w14:textId="3D8C9509" w:rsidR="00A458F6" w:rsidRPr="00A458F6" w:rsidRDefault="00A458F6" w:rsidP="00A458F6">
            <w:pPr>
              <w:rPr>
                <w:rFonts w:ascii="Times New Roman" w:hAnsi="Times New Roman" w:cs="Times New Roman"/>
              </w:rPr>
            </w:pPr>
            <w:r w:rsidRPr="00A458F6">
              <w:rPr>
                <w:rFonts w:ascii="Times New Roman" w:hAnsi="Times New Roman" w:cs="Times New Roman"/>
              </w:rPr>
              <w:t>Catchment area</w:t>
            </w:r>
          </w:p>
        </w:tc>
        <w:tc>
          <w:tcPr>
            <w:tcW w:w="0" w:type="auto"/>
          </w:tcPr>
          <w:p w14:paraId="0D5B83B0" w14:textId="553E461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-0.01</w:t>
            </w:r>
          </w:p>
        </w:tc>
        <w:tc>
          <w:tcPr>
            <w:tcW w:w="0" w:type="auto"/>
          </w:tcPr>
          <w:p w14:paraId="0AD7ABD7" w14:textId="51140007"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Pr>
          <w:p w14:paraId="0EE813BA" w14:textId="0751E94F"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0.00</w:t>
            </w:r>
          </w:p>
        </w:tc>
        <w:tc>
          <w:tcPr>
            <w:tcW w:w="0" w:type="auto"/>
          </w:tcPr>
          <w:p w14:paraId="78497805" w14:textId="6C702A3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0.03</w:t>
            </w:r>
          </w:p>
        </w:tc>
        <w:tc>
          <w:tcPr>
            <w:tcW w:w="0" w:type="auto"/>
          </w:tcPr>
          <w:p w14:paraId="358E5386" w14:textId="2610EB8F"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0.00</w:t>
            </w:r>
          </w:p>
        </w:tc>
        <w:tc>
          <w:tcPr>
            <w:tcW w:w="0" w:type="auto"/>
          </w:tcPr>
          <w:p w14:paraId="30271153" w14:textId="7229836B"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r>
      <w:tr w:rsidR="00A458F6" w14:paraId="3B5D13FF" w14:textId="77777777" w:rsidTr="00C11408">
        <w:trPr>
          <w:jc w:val="center"/>
        </w:trPr>
        <w:tc>
          <w:tcPr>
            <w:tcW w:w="0" w:type="auto"/>
          </w:tcPr>
          <w:p w14:paraId="073B796D" w14:textId="3DA3A219" w:rsidR="00A458F6" w:rsidRPr="00A458F6" w:rsidRDefault="00A458F6" w:rsidP="00A458F6">
            <w:pPr>
              <w:rPr>
                <w:rFonts w:ascii="Times New Roman" w:hAnsi="Times New Roman" w:cs="Times New Roman"/>
              </w:rPr>
            </w:pPr>
            <w:r w:rsidRPr="00A458F6">
              <w:rPr>
                <w:rFonts w:ascii="Times New Roman" w:hAnsi="Times New Roman" w:cs="Times New Roman"/>
              </w:rPr>
              <w:t>Slope</w:t>
            </w:r>
          </w:p>
        </w:tc>
        <w:tc>
          <w:tcPr>
            <w:tcW w:w="0" w:type="auto"/>
          </w:tcPr>
          <w:p w14:paraId="0FAE03D9" w14:textId="498E673B"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Pr>
          <w:p w14:paraId="21D6469E" w14:textId="771B2D94"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Pr>
          <w:p w14:paraId="345FEA60" w14:textId="68B07D3A"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Pr>
          <w:p w14:paraId="5EAF2995" w14:textId="55C0FAA7"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Pr>
          <w:p w14:paraId="00DB28A0" w14:textId="675CB7AD"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-0.01</w:t>
            </w:r>
          </w:p>
        </w:tc>
        <w:tc>
          <w:tcPr>
            <w:tcW w:w="0" w:type="auto"/>
          </w:tcPr>
          <w:p w14:paraId="72B24063" w14:textId="6AFF4DF9"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-0.01</w:t>
            </w:r>
          </w:p>
        </w:tc>
      </w:tr>
      <w:tr w:rsidR="00A458F6" w14:paraId="348A21B5" w14:textId="77777777" w:rsidTr="00C11408">
        <w:trPr>
          <w:jc w:val="center"/>
        </w:trPr>
        <w:tc>
          <w:tcPr>
            <w:tcW w:w="0" w:type="auto"/>
            <w:tcBorders>
              <w:bottom w:val="single" w:sz="4" w:space="0" w:color="auto"/>
            </w:tcBorders>
          </w:tcPr>
          <w:p w14:paraId="7CD4F094" w14:textId="5F5F3966" w:rsidR="00A458F6" w:rsidRPr="00A458F6" w:rsidRDefault="00A458F6" w:rsidP="00A458F6">
            <w:pPr>
              <w:rPr>
                <w:rFonts w:ascii="Times New Roman" w:hAnsi="Times New Roman" w:cs="Times New Roman"/>
              </w:rPr>
            </w:pPr>
            <w:r w:rsidRPr="00A458F6">
              <w:rPr>
                <w:rFonts w:ascii="Times New Roman" w:hAnsi="Times New Roman" w:cs="Times New Roman"/>
              </w:rPr>
              <w:t>Free-flowing area</w:t>
            </w:r>
          </w:p>
        </w:tc>
        <w:tc>
          <w:tcPr>
            <w:tcW w:w="0" w:type="auto"/>
            <w:tcBorders>
              <w:bottom w:val="single" w:sz="4" w:space="0" w:color="auto"/>
            </w:tcBorders>
          </w:tcPr>
          <w:p w14:paraId="101E60E5" w14:textId="6329E647"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-0.03</w:t>
            </w:r>
          </w:p>
        </w:tc>
        <w:tc>
          <w:tcPr>
            <w:tcW w:w="0" w:type="auto"/>
            <w:tcBorders>
              <w:bottom w:val="single" w:sz="4" w:space="0" w:color="auto"/>
            </w:tcBorders>
          </w:tcPr>
          <w:p w14:paraId="7877DFDE" w14:textId="59742508"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Borders>
              <w:bottom w:val="single" w:sz="4" w:space="0" w:color="auto"/>
            </w:tcBorders>
          </w:tcPr>
          <w:p w14:paraId="29D44E12" w14:textId="57BD8BAE"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Borders>
              <w:bottom w:val="single" w:sz="4" w:space="0" w:color="auto"/>
            </w:tcBorders>
          </w:tcPr>
          <w:p w14:paraId="50C3DD48" w14:textId="1DA48202"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-0.03</w:t>
            </w:r>
          </w:p>
        </w:tc>
        <w:tc>
          <w:tcPr>
            <w:tcW w:w="0" w:type="auto"/>
            <w:tcBorders>
              <w:bottom w:val="single" w:sz="4" w:space="0" w:color="auto"/>
            </w:tcBorders>
          </w:tcPr>
          <w:p w14:paraId="050CFDB5" w14:textId="4B1C3A80"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c>
          <w:tcPr>
            <w:tcW w:w="0" w:type="auto"/>
            <w:tcBorders>
              <w:bottom w:val="single" w:sz="4" w:space="0" w:color="auto"/>
            </w:tcBorders>
          </w:tcPr>
          <w:p w14:paraId="5E6DC778" w14:textId="14FD2E0C" w:rsidR="00A458F6" w:rsidRPr="00A458F6" w:rsidRDefault="00A458F6" w:rsidP="00A458F6">
            <w:pPr>
              <w:jc w:val="right"/>
              <w:rPr>
                <w:rFonts w:ascii="Times New Roman" w:hAnsi="Times New Roman" w:cs="Times New Roman"/>
              </w:rPr>
            </w:pPr>
            <w:r w:rsidRPr="00A458F6">
              <w:rPr>
                <w:rFonts w:ascii="Times New Roman" w:hAnsi="Times New Roman" w:cs="Times New Roman"/>
              </w:rPr>
              <w:t>-0.02</w:t>
            </w:r>
          </w:p>
        </w:tc>
      </w:tr>
    </w:tbl>
    <w:p w14:paraId="6003567B" w14:textId="6F0572B5" w:rsidR="00F73108" w:rsidRDefault="00F73108" w:rsidP="00D76330">
      <w:pPr>
        <w:ind w:left="360" w:hanging="360"/>
        <w:rPr>
          <w:rFonts w:ascii="Times New Roman" w:hAnsi="Times New Roman" w:cs="Times New Roman"/>
        </w:rPr>
      </w:pPr>
    </w:p>
    <w:p w14:paraId="7A591EDD" w14:textId="77777777" w:rsidR="00BD7CAD" w:rsidRDefault="00BD7CAD">
      <w:pPr>
        <w:rPr>
          <w:rFonts w:ascii="Times New Roman" w:hAnsi="Times New Roman" w:cs="Times New Roman"/>
          <w:b/>
          <w:bCs/>
        </w:rPr>
      </w:pPr>
      <w:r>
        <w:rPr>
          <w:rFonts w:ascii="Times New Roman" w:hAnsi="Times New Roman" w:cs="Times New Roman"/>
          <w:b/>
          <w:bCs/>
        </w:rPr>
        <w:br w:type="page"/>
      </w:r>
    </w:p>
    <w:p w14:paraId="1F136594" w14:textId="1B537754" w:rsidR="006C5512" w:rsidRDefault="000B2B3A" w:rsidP="00123540">
      <w:pPr>
        <w:jc w:val="both"/>
        <w:rPr>
          <w:rFonts w:ascii="Times New Roman" w:hAnsi="Times New Roman" w:cs="Times New Roman"/>
        </w:rPr>
      </w:pPr>
      <w:bookmarkStart w:id="59" w:name="_Toc93411178"/>
      <w:r w:rsidRPr="000B2B3A">
        <w:rPr>
          <w:rFonts w:ascii="Times New Roman" w:hAnsi="Times New Roman" w:cs="Times New Roman"/>
          <w:b/>
          <w:bCs/>
        </w:rPr>
        <w:lastRenderedPageBreak/>
        <w:t xml:space="preserve">Table </w:t>
      </w:r>
      <w:r w:rsidRPr="000B2B3A">
        <w:rPr>
          <w:rFonts w:ascii="Times New Roman" w:hAnsi="Times New Roman" w:cs="Times New Roman"/>
          <w:b/>
          <w:bCs/>
        </w:rPr>
        <w:fldChar w:fldCharType="begin"/>
      </w:r>
      <w:r w:rsidRPr="000B2B3A">
        <w:rPr>
          <w:rFonts w:ascii="Times New Roman" w:hAnsi="Times New Roman" w:cs="Times New Roman"/>
          <w:b/>
          <w:bCs/>
        </w:rPr>
        <w:instrText xml:space="preserve"> SEQ Table \* ARABIC </w:instrText>
      </w:r>
      <w:r w:rsidRPr="000B2B3A">
        <w:rPr>
          <w:rFonts w:ascii="Times New Roman" w:hAnsi="Times New Roman" w:cs="Times New Roman"/>
          <w:b/>
          <w:bCs/>
        </w:rPr>
        <w:fldChar w:fldCharType="separate"/>
      </w:r>
      <w:r w:rsidRPr="000B2B3A">
        <w:rPr>
          <w:rFonts w:ascii="Times New Roman" w:hAnsi="Times New Roman" w:cs="Times New Roman"/>
          <w:b/>
          <w:bCs/>
          <w:noProof/>
        </w:rPr>
        <w:t>7</w:t>
      </w:r>
      <w:r w:rsidRPr="000B2B3A">
        <w:rPr>
          <w:rFonts w:ascii="Times New Roman" w:hAnsi="Times New Roman" w:cs="Times New Roman"/>
          <w:b/>
          <w:bCs/>
        </w:rPr>
        <w:fldChar w:fldCharType="end"/>
      </w:r>
      <w:r w:rsidRPr="000B2B3A">
        <w:rPr>
          <w:rFonts w:ascii="Times New Roman" w:hAnsi="Times New Roman" w:cs="Times New Roman"/>
          <w:b/>
          <w:bCs/>
        </w:rPr>
        <w:t>.</w:t>
      </w:r>
      <w:r w:rsidRPr="00DF7C87">
        <w:rPr>
          <w:rFonts w:ascii="Times New Roman" w:hAnsi="Times New Roman" w:cs="Times New Roman"/>
        </w:rPr>
        <w:t xml:space="preserve"> </w:t>
      </w:r>
      <w:r w:rsidR="006C5512">
        <w:rPr>
          <w:rFonts w:ascii="Times New Roman" w:hAnsi="Times New Roman" w:cs="Times New Roman"/>
        </w:rPr>
        <w:t>Path coefficients</w:t>
      </w:r>
      <w:r w:rsidR="006C5512" w:rsidRPr="007D7201">
        <w:rPr>
          <w:rFonts w:ascii="Times New Roman" w:hAnsi="Times New Roman" w:cs="Times New Roman"/>
        </w:rPr>
        <w:t xml:space="preserve"> from </w:t>
      </w:r>
      <w:r w:rsidR="006C5512">
        <w:rPr>
          <w:rFonts w:ascii="Times New Roman" w:hAnsi="Times New Roman" w:cs="Times New Roman"/>
        </w:rPr>
        <w:t xml:space="preserve">the full (all predictor variables) endogenous models predicting biomass, species richness, and functional diversity as a function of environmental predictor variables, using HFI values from 1993 not presented in the main text. Shown are piecewise path coefficients, </w:t>
      </w:r>
      <w:r w:rsidR="006C5512" w:rsidRPr="002651C5">
        <w:rPr>
          <w:rFonts w:ascii="Times New Roman" w:hAnsi="Times New Roman" w:cs="Times New Roman"/>
          <w:i/>
        </w:rPr>
        <w:t>t</w:t>
      </w:r>
      <w:r w:rsidR="006C5512">
        <w:rPr>
          <w:rFonts w:ascii="Times New Roman" w:hAnsi="Times New Roman" w:cs="Times New Roman"/>
        </w:rPr>
        <w:t xml:space="preserve">-values, and </w:t>
      </w:r>
      <w:r w:rsidR="006C5512" w:rsidRPr="002651C5">
        <w:rPr>
          <w:rFonts w:ascii="Times New Roman" w:hAnsi="Times New Roman" w:cs="Times New Roman"/>
          <w:i/>
        </w:rPr>
        <w:t>p</w:t>
      </w:r>
      <w:r w:rsidR="006C5512">
        <w:rPr>
          <w:rFonts w:ascii="Times New Roman" w:hAnsi="Times New Roman" w:cs="Times New Roman"/>
        </w:rPr>
        <w:t>-values. All coefficients (estimates) are fixed effects from linear mixed models as described in the main text.</w:t>
      </w:r>
      <w:bookmarkEnd w:id="5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336"/>
        <w:gridCol w:w="1336"/>
        <w:gridCol w:w="756"/>
        <w:gridCol w:w="1003"/>
      </w:tblGrid>
      <w:tr w:rsidR="006C5512" w:rsidRPr="00F61428" w14:paraId="0FC29EA6" w14:textId="77777777" w:rsidTr="00123540">
        <w:trPr>
          <w:jc w:val="center"/>
        </w:trPr>
        <w:tc>
          <w:tcPr>
            <w:tcW w:w="0" w:type="auto"/>
            <w:tcBorders>
              <w:top w:val="single" w:sz="4" w:space="0" w:color="auto"/>
              <w:bottom w:val="single" w:sz="4" w:space="0" w:color="auto"/>
            </w:tcBorders>
          </w:tcPr>
          <w:p w14:paraId="73C4A8F1" w14:textId="77777777" w:rsidR="006C5512" w:rsidRPr="00F61428" w:rsidRDefault="006C5512" w:rsidP="006C5512">
            <w:pPr>
              <w:rPr>
                <w:rFonts w:ascii="Times New Roman" w:hAnsi="Times New Roman" w:cs="Times New Roman"/>
                <w:b/>
              </w:rPr>
            </w:pPr>
            <w:r w:rsidRPr="00F61428">
              <w:rPr>
                <w:rFonts w:ascii="Times New Roman" w:hAnsi="Times New Roman" w:cs="Times New Roman"/>
                <w:b/>
              </w:rPr>
              <w:t>Response</w:t>
            </w:r>
          </w:p>
        </w:tc>
        <w:tc>
          <w:tcPr>
            <w:tcW w:w="0" w:type="auto"/>
            <w:tcBorders>
              <w:top w:val="single" w:sz="4" w:space="0" w:color="auto"/>
              <w:bottom w:val="single" w:sz="4" w:space="0" w:color="auto"/>
            </w:tcBorders>
          </w:tcPr>
          <w:p w14:paraId="5A9212F2" w14:textId="77777777" w:rsidR="006C5512" w:rsidRPr="00F61428" w:rsidRDefault="006C5512" w:rsidP="006C5512">
            <w:pPr>
              <w:rPr>
                <w:rFonts w:ascii="Times New Roman" w:hAnsi="Times New Roman" w:cs="Times New Roman"/>
                <w:b/>
              </w:rPr>
            </w:pPr>
            <w:r w:rsidRPr="00F61428">
              <w:rPr>
                <w:rFonts w:ascii="Times New Roman" w:hAnsi="Times New Roman" w:cs="Times New Roman"/>
                <w:b/>
              </w:rPr>
              <w:t>Predictor</w:t>
            </w:r>
          </w:p>
        </w:tc>
        <w:tc>
          <w:tcPr>
            <w:tcW w:w="0" w:type="auto"/>
            <w:tcBorders>
              <w:top w:val="single" w:sz="4" w:space="0" w:color="auto"/>
              <w:bottom w:val="single" w:sz="4" w:space="0" w:color="auto"/>
            </w:tcBorders>
          </w:tcPr>
          <w:p w14:paraId="30EDAF3F" w14:textId="77777777" w:rsidR="006C5512" w:rsidRPr="00F61428" w:rsidRDefault="006C5512" w:rsidP="006C5512">
            <w:pPr>
              <w:jc w:val="center"/>
              <w:rPr>
                <w:rFonts w:ascii="Times New Roman" w:hAnsi="Times New Roman" w:cs="Times New Roman"/>
                <w:b/>
              </w:rPr>
            </w:pPr>
            <w:r w:rsidRPr="00F61428">
              <w:rPr>
                <w:rFonts w:ascii="Times New Roman" w:hAnsi="Times New Roman" w:cs="Times New Roman"/>
                <w:b/>
              </w:rPr>
              <w:t>Coefficient</w:t>
            </w:r>
          </w:p>
        </w:tc>
        <w:tc>
          <w:tcPr>
            <w:tcW w:w="0" w:type="auto"/>
            <w:tcBorders>
              <w:top w:val="single" w:sz="4" w:space="0" w:color="auto"/>
              <w:bottom w:val="single" w:sz="4" w:space="0" w:color="auto"/>
            </w:tcBorders>
          </w:tcPr>
          <w:p w14:paraId="2968DBDB" w14:textId="77777777" w:rsidR="006C5512" w:rsidRPr="00F61428" w:rsidRDefault="006C5512" w:rsidP="006C5512">
            <w:pPr>
              <w:jc w:val="center"/>
              <w:rPr>
                <w:rFonts w:ascii="Times New Roman" w:hAnsi="Times New Roman" w:cs="Times New Roman"/>
                <w:b/>
              </w:rPr>
            </w:pPr>
            <w:r w:rsidRPr="00F61428">
              <w:rPr>
                <w:rFonts w:ascii="Times New Roman" w:hAnsi="Times New Roman" w:cs="Times New Roman"/>
                <w:b/>
              </w:rPr>
              <w:t>|</w:t>
            </w:r>
            <w:r w:rsidRPr="00F61428">
              <w:rPr>
                <w:rFonts w:ascii="Times New Roman" w:hAnsi="Times New Roman" w:cs="Times New Roman"/>
                <w:b/>
                <w:i/>
              </w:rPr>
              <w:t>t</w:t>
            </w:r>
            <w:r w:rsidRPr="00F61428">
              <w:rPr>
                <w:rFonts w:ascii="Times New Roman" w:hAnsi="Times New Roman" w:cs="Times New Roman"/>
                <w:b/>
              </w:rPr>
              <w:t>|</w:t>
            </w:r>
          </w:p>
        </w:tc>
        <w:tc>
          <w:tcPr>
            <w:tcW w:w="0" w:type="auto"/>
            <w:tcBorders>
              <w:top w:val="single" w:sz="4" w:space="0" w:color="auto"/>
              <w:bottom w:val="single" w:sz="4" w:space="0" w:color="auto"/>
            </w:tcBorders>
          </w:tcPr>
          <w:p w14:paraId="36C71D7A" w14:textId="77777777" w:rsidR="006C5512" w:rsidRPr="00F61428" w:rsidRDefault="006C5512" w:rsidP="006C5512">
            <w:pPr>
              <w:jc w:val="center"/>
              <w:rPr>
                <w:rFonts w:ascii="Times New Roman" w:hAnsi="Times New Roman" w:cs="Times New Roman"/>
                <w:b/>
              </w:rPr>
            </w:pPr>
            <w:r w:rsidRPr="00F61428">
              <w:rPr>
                <w:rFonts w:ascii="Times New Roman" w:hAnsi="Times New Roman" w:cs="Times New Roman"/>
                <w:b/>
                <w:i/>
              </w:rPr>
              <w:t>p</w:t>
            </w:r>
            <w:r w:rsidRPr="00F61428">
              <w:rPr>
                <w:rFonts w:ascii="Times New Roman" w:hAnsi="Times New Roman" w:cs="Times New Roman"/>
                <w:b/>
              </w:rPr>
              <w:t>–value</w:t>
            </w:r>
          </w:p>
        </w:tc>
      </w:tr>
      <w:tr w:rsidR="006C5512" w:rsidRPr="00D073DB" w14:paraId="1CF11F59" w14:textId="77777777" w:rsidTr="00123540">
        <w:trPr>
          <w:jc w:val="center"/>
        </w:trPr>
        <w:tc>
          <w:tcPr>
            <w:tcW w:w="0" w:type="auto"/>
            <w:tcBorders>
              <w:top w:val="single" w:sz="4" w:space="0" w:color="auto"/>
            </w:tcBorders>
          </w:tcPr>
          <w:p w14:paraId="384D0B2A"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tcBorders>
              <w:top w:val="single" w:sz="4" w:space="0" w:color="auto"/>
            </w:tcBorders>
            <w:vAlign w:val="bottom"/>
          </w:tcPr>
          <w:p w14:paraId="7EB22152"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Species richness</w:t>
            </w:r>
          </w:p>
        </w:tc>
        <w:tc>
          <w:tcPr>
            <w:tcW w:w="0" w:type="auto"/>
            <w:tcBorders>
              <w:top w:val="single" w:sz="4" w:space="0" w:color="auto"/>
            </w:tcBorders>
            <w:vAlign w:val="bottom"/>
          </w:tcPr>
          <w:p w14:paraId="12B5498B"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0.34</w:t>
            </w:r>
          </w:p>
        </w:tc>
        <w:tc>
          <w:tcPr>
            <w:tcW w:w="0" w:type="auto"/>
            <w:tcBorders>
              <w:top w:val="single" w:sz="4" w:space="0" w:color="auto"/>
            </w:tcBorders>
            <w:vAlign w:val="bottom"/>
          </w:tcPr>
          <w:p w14:paraId="4FD30B9F"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9.67</w:t>
            </w:r>
          </w:p>
        </w:tc>
        <w:tc>
          <w:tcPr>
            <w:tcW w:w="0" w:type="auto"/>
            <w:tcBorders>
              <w:top w:val="single" w:sz="4" w:space="0" w:color="auto"/>
            </w:tcBorders>
            <w:vAlign w:val="bottom"/>
          </w:tcPr>
          <w:p w14:paraId="6E71C074" w14:textId="77777777" w:rsidR="006C5512" w:rsidRPr="00D073DB" w:rsidRDefault="006C5512" w:rsidP="006C5512">
            <w:pPr>
              <w:jc w:val="right"/>
              <w:rPr>
                <w:rFonts w:ascii="Times New Roman" w:hAnsi="Times New Roman" w:cs="Times New Roman"/>
                <w:b/>
              </w:rPr>
            </w:pPr>
            <w:r>
              <w:rPr>
                <w:rFonts w:ascii="Times New Roman" w:hAnsi="Times New Roman" w:cs="Times New Roman"/>
                <w:color w:val="000000"/>
              </w:rPr>
              <w:t xml:space="preserve">&lt; </w:t>
            </w:r>
            <w:r w:rsidRPr="00D073DB">
              <w:rPr>
                <w:rFonts w:ascii="Times New Roman" w:hAnsi="Times New Roman" w:cs="Times New Roman"/>
                <w:color w:val="000000"/>
              </w:rPr>
              <w:t>0</w:t>
            </w:r>
            <w:r>
              <w:rPr>
                <w:rFonts w:ascii="Times New Roman" w:hAnsi="Times New Roman" w:cs="Times New Roman"/>
                <w:color w:val="000000"/>
              </w:rPr>
              <w:t>.001</w:t>
            </w:r>
          </w:p>
        </w:tc>
      </w:tr>
      <w:tr w:rsidR="006C5512" w:rsidRPr="00D073DB" w14:paraId="70271FA4" w14:textId="77777777" w:rsidTr="00123540">
        <w:trPr>
          <w:jc w:val="center"/>
        </w:trPr>
        <w:tc>
          <w:tcPr>
            <w:tcW w:w="0" w:type="auto"/>
          </w:tcPr>
          <w:p w14:paraId="694C60E3"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vAlign w:val="bottom"/>
          </w:tcPr>
          <w:p w14:paraId="322DD037"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Functional diversity</w:t>
            </w:r>
          </w:p>
        </w:tc>
        <w:tc>
          <w:tcPr>
            <w:tcW w:w="0" w:type="auto"/>
            <w:vAlign w:val="bottom"/>
          </w:tcPr>
          <w:p w14:paraId="2299891A"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0.10</w:t>
            </w:r>
          </w:p>
        </w:tc>
        <w:tc>
          <w:tcPr>
            <w:tcW w:w="0" w:type="auto"/>
            <w:vAlign w:val="bottom"/>
          </w:tcPr>
          <w:p w14:paraId="772D69FB"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4.43</w:t>
            </w:r>
          </w:p>
        </w:tc>
        <w:tc>
          <w:tcPr>
            <w:tcW w:w="0" w:type="auto"/>
          </w:tcPr>
          <w:p w14:paraId="2447C396" w14:textId="77777777" w:rsidR="006C5512" w:rsidRPr="00D073DB" w:rsidRDefault="006C5512" w:rsidP="006C5512">
            <w:pPr>
              <w:jc w:val="right"/>
              <w:rPr>
                <w:rFonts w:ascii="Times New Roman" w:hAnsi="Times New Roman" w:cs="Times New Roman"/>
                <w:color w:val="000000"/>
              </w:rPr>
            </w:pPr>
            <w:r w:rsidRPr="00457928">
              <w:rPr>
                <w:rFonts w:ascii="Times New Roman" w:hAnsi="Times New Roman" w:cs="Times New Roman"/>
                <w:color w:val="000000"/>
              </w:rPr>
              <w:t>&lt; 0.001</w:t>
            </w:r>
          </w:p>
        </w:tc>
      </w:tr>
      <w:tr w:rsidR="006C5512" w:rsidRPr="00D073DB" w14:paraId="3EA0EA30" w14:textId="77777777" w:rsidTr="00123540">
        <w:trPr>
          <w:jc w:val="center"/>
        </w:trPr>
        <w:tc>
          <w:tcPr>
            <w:tcW w:w="0" w:type="auto"/>
          </w:tcPr>
          <w:p w14:paraId="27F5C1BA"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vAlign w:val="bottom"/>
          </w:tcPr>
          <w:p w14:paraId="1A15CCD2"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Sampled area</w:t>
            </w:r>
          </w:p>
        </w:tc>
        <w:tc>
          <w:tcPr>
            <w:tcW w:w="0" w:type="auto"/>
            <w:vAlign w:val="bottom"/>
          </w:tcPr>
          <w:p w14:paraId="515F5C5F"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0.53</w:t>
            </w:r>
          </w:p>
        </w:tc>
        <w:tc>
          <w:tcPr>
            <w:tcW w:w="0" w:type="auto"/>
            <w:vAlign w:val="bottom"/>
          </w:tcPr>
          <w:p w14:paraId="5267784F"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23.57</w:t>
            </w:r>
          </w:p>
        </w:tc>
        <w:tc>
          <w:tcPr>
            <w:tcW w:w="0" w:type="auto"/>
          </w:tcPr>
          <w:p w14:paraId="667F59B2" w14:textId="77777777" w:rsidR="006C5512" w:rsidRPr="00D073DB" w:rsidRDefault="006C5512" w:rsidP="006C5512">
            <w:pPr>
              <w:jc w:val="right"/>
              <w:rPr>
                <w:rFonts w:ascii="Times New Roman" w:hAnsi="Times New Roman" w:cs="Times New Roman"/>
                <w:color w:val="000000"/>
              </w:rPr>
            </w:pPr>
            <w:r w:rsidRPr="00457928">
              <w:rPr>
                <w:rFonts w:ascii="Times New Roman" w:hAnsi="Times New Roman" w:cs="Times New Roman"/>
                <w:color w:val="000000"/>
              </w:rPr>
              <w:t>&lt; 0.001</w:t>
            </w:r>
          </w:p>
        </w:tc>
      </w:tr>
      <w:tr w:rsidR="006C5512" w:rsidRPr="00D073DB" w14:paraId="0DC9661F" w14:textId="77777777" w:rsidTr="00123540">
        <w:trPr>
          <w:jc w:val="center"/>
        </w:trPr>
        <w:tc>
          <w:tcPr>
            <w:tcW w:w="0" w:type="auto"/>
          </w:tcPr>
          <w:p w14:paraId="3E451C30"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vAlign w:val="bottom"/>
          </w:tcPr>
          <w:p w14:paraId="7C5734BA"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Temperature</w:t>
            </w:r>
          </w:p>
        </w:tc>
        <w:tc>
          <w:tcPr>
            <w:tcW w:w="0" w:type="auto"/>
            <w:vAlign w:val="bottom"/>
          </w:tcPr>
          <w:p w14:paraId="388EB4DD"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-0.07</w:t>
            </w:r>
          </w:p>
        </w:tc>
        <w:tc>
          <w:tcPr>
            <w:tcW w:w="0" w:type="auto"/>
            <w:vAlign w:val="bottom"/>
          </w:tcPr>
          <w:p w14:paraId="55BD4E56"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2.83</w:t>
            </w:r>
          </w:p>
        </w:tc>
        <w:tc>
          <w:tcPr>
            <w:tcW w:w="0" w:type="auto"/>
            <w:vAlign w:val="bottom"/>
          </w:tcPr>
          <w:p w14:paraId="5A732117"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0.00</w:t>
            </w:r>
            <w:r>
              <w:rPr>
                <w:rFonts w:ascii="Times New Roman" w:hAnsi="Times New Roman" w:cs="Times New Roman"/>
                <w:color w:val="000000"/>
              </w:rPr>
              <w:t>5</w:t>
            </w:r>
          </w:p>
        </w:tc>
      </w:tr>
      <w:tr w:rsidR="006C5512" w:rsidRPr="00D073DB" w14:paraId="42A891A6" w14:textId="77777777" w:rsidTr="00123540">
        <w:trPr>
          <w:jc w:val="center"/>
        </w:trPr>
        <w:tc>
          <w:tcPr>
            <w:tcW w:w="0" w:type="auto"/>
          </w:tcPr>
          <w:p w14:paraId="025F62EC"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vAlign w:val="bottom"/>
          </w:tcPr>
          <w:p w14:paraId="206298EE"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Precipitation</w:t>
            </w:r>
          </w:p>
        </w:tc>
        <w:tc>
          <w:tcPr>
            <w:tcW w:w="0" w:type="auto"/>
            <w:vAlign w:val="bottom"/>
          </w:tcPr>
          <w:p w14:paraId="0191A7DA"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0.11</w:t>
            </w:r>
          </w:p>
        </w:tc>
        <w:tc>
          <w:tcPr>
            <w:tcW w:w="0" w:type="auto"/>
            <w:vAlign w:val="bottom"/>
          </w:tcPr>
          <w:p w14:paraId="4BE101F4"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4.10</w:t>
            </w:r>
          </w:p>
        </w:tc>
        <w:tc>
          <w:tcPr>
            <w:tcW w:w="0" w:type="auto"/>
            <w:vAlign w:val="bottom"/>
          </w:tcPr>
          <w:p w14:paraId="1214CA7B" w14:textId="77777777" w:rsidR="006C5512" w:rsidRPr="00D073DB" w:rsidRDefault="006C5512" w:rsidP="006C5512">
            <w:pPr>
              <w:jc w:val="right"/>
              <w:rPr>
                <w:rFonts w:ascii="Times New Roman" w:hAnsi="Times New Roman" w:cs="Times New Roman"/>
                <w:color w:val="000000"/>
              </w:rPr>
            </w:pPr>
            <w:r>
              <w:rPr>
                <w:rFonts w:ascii="Times New Roman" w:hAnsi="Times New Roman" w:cs="Times New Roman"/>
                <w:color w:val="000000"/>
              </w:rPr>
              <w:t xml:space="preserve">&lt; </w:t>
            </w:r>
            <w:r w:rsidRPr="00D073DB">
              <w:rPr>
                <w:rFonts w:ascii="Times New Roman" w:hAnsi="Times New Roman" w:cs="Times New Roman"/>
                <w:color w:val="000000"/>
              </w:rPr>
              <w:t>0</w:t>
            </w:r>
            <w:r>
              <w:rPr>
                <w:rFonts w:ascii="Times New Roman" w:hAnsi="Times New Roman" w:cs="Times New Roman"/>
                <w:color w:val="000000"/>
              </w:rPr>
              <w:t>.001</w:t>
            </w:r>
          </w:p>
        </w:tc>
      </w:tr>
      <w:tr w:rsidR="006C5512" w:rsidRPr="00D073DB" w14:paraId="79903BFF" w14:textId="77777777" w:rsidTr="00123540">
        <w:trPr>
          <w:jc w:val="center"/>
        </w:trPr>
        <w:tc>
          <w:tcPr>
            <w:tcW w:w="0" w:type="auto"/>
          </w:tcPr>
          <w:p w14:paraId="57E85349" w14:textId="77777777" w:rsidR="006C5512" w:rsidRPr="00D073DB" w:rsidRDefault="006C5512" w:rsidP="006C5512">
            <w:pPr>
              <w:rPr>
                <w:rFonts w:ascii="Times New Roman" w:hAnsi="Times New Roman" w:cs="Times New Roman"/>
              </w:rPr>
            </w:pPr>
            <w:r>
              <w:rPr>
                <w:rFonts w:ascii="Times New Roman" w:hAnsi="Times New Roman" w:cs="Times New Roman"/>
              </w:rPr>
              <w:t>B</w:t>
            </w:r>
            <w:r w:rsidRPr="00D073DB">
              <w:rPr>
                <w:rFonts w:ascii="Times New Roman" w:hAnsi="Times New Roman" w:cs="Times New Roman"/>
              </w:rPr>
              <w:t>iomass</w:t>
            </w:r>
          </w:p>
        </w:tc>
        <w:tc>
          <w:tcPr>
            <w:tcW w:w="0" w:type="auto"/>
            <w:vAlign w:val="bottom"/>
          </w:tcPr>
          <w:p w14:paraId="06D00A63" w14:textId="77777777" w:rsidR="006C5512" w:rsidRPr="00D073DB" w:rsidRDefault="006C5512" w:rsidP="006C5512">
            <w:pPr>
              <w:rPr>
                <w:rFonts w:ascii="Times New Roman" w:hAnsi="Times New Roman" w:cs="Times New Roman"/>
              </w:rPr>
            </w:pPr>
            <w:r w:rsidRPr="00D073DB">
              <w:rPr>
                <w:rFonts w:ascii="Times New Roman" w:hAnsi="Times New Roman" w:cs="Times New Roman"/>
                <w:color w:val="000000"/>
              </w:rPr>
              <w:t>H</w:t>
            </w:r>
            <w:r>
              <w:rPr>
                <w:rFonts w:ascii="Times New Roman" w:hAnsi="Times New Roman" w:cs="Times New Roman"/>
                <w:color w:val="000000"/>
              </w:rPr>
              <w:t>uman impact (1993)</w:t>
            </w:r>
          </w:p>
        </w:tc>
        <w:tc>
          <w:tcPr>
            <w:tcW w:w="0" w:type="auto"/>
            <w:vAlign w:val="bottom"/>
          </w:tcPr>
          <w:p w14:paraId="762B3CE5"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0.06</w:t>
            </w:r>
          </w:p>
        </w:tc>
        <w:tc>
          <w:tcPr>
            <w:tcW w:w="0" w:type="auto"/>
            <w:vAlign w:val="bottom"/>
          </w:tcPr>
          <w:p w14:paraId="73CC2196"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2.88</w:t>
            </w:r>
          </w:p>
        </w:tc>
        <w:tc>
          <w:tcPr>
            <w:tcW w:w="0" w:type="auto"/>
            <w:vAlign w:val="bottom"/>
          </w:tcPr>
          <w:p w14:paraId="79317631"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0.00</w:t>
            </w:r>
            <w:r>
              <w:rPr>
                <w:rFonts w:ascii="Times New Roman" w:hAnsi="Times New Roman" w:cs="Times New Roman"/>
                <w:color w:val="000000"/>
              </w:rPr>
              <w:t>4</w:t>
            </w:r>
          </w:p>
        </w:tc>
      </w:tr>
      <w:tr w:rsidR="006C5512" w:rsidRPr="00D073DB" w14:paraId="56D144F9" w14:textId="77777777" w:rsidTr="00123540">
        <w:trPr>
          <w:jc w:val="center"/>
        </w:trPr>
        <w:tc>
          <w:tcPr>
            <w:tcW w:w="0" w:type="auto"/>
          </w:tcPr>
          <w:p w14:paraId="2D5A8BC4" w14:textId="77777777" w:rsidR="006C5512" w:rsidRDefault="006C5512" w:rsidP="006C5512">
            <w:pPr>
              <w:rPr>
                <w:rFonts w:ascii="Times New Roman" w:hAnsi="Times New Roman" w:cs="Times New Roman"/>
              </w:rPr>
            </w:pPr>
            <w:r>
              <w:rPr>
                <w:rFonts w:ascii="Times New Roman" w:hAnsi="Times New Roman" w:cs="Times New Roman"/>
              </w:rPr>
              <w:t>Biomass</w:t>
            </w:r>
          </w:p>
        </w:tc>
        <w:tc>
          <w:tcPr>
            <w:tcW w:w="0" w:type="auto"/>
            <w:vAlign w:val="bottom"/>
          </w:tcPr>
          <w:p w14:paraId="05B0A7DD"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Catchment area</w:t>
            </w:r>
          </w:p>
        </w:tc>
        <w:tc>
          <w:tcPr>
            <w:tcW w:w="0" w:type="auto"/>
            <w:vAlign w:val="bottom"/>
          </w:tcPr>
          <w:p w14:paraId="65246B9A"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0.00</w:t>
            </w:r>
          </w:p>
        </w:tc>
        <w:tc>
          <w:tcPr>
            <w:tcW w:w="0" w:type="auto"/>
            <w:vAlign w:val="bottom"/>
          </w:tcPr>
          <w:p w14:paraId="4140D421"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0.02</w:t>
            </w:r>
          </w:p>
        </w:tc>
        <w:tc>
          <w:tcPr>
            <w:tcW w:w="0" w:type="auto"/>
            <w:vAlign w:val="bottom"/>
          </w:tcPr>
          <w:p w14:paraId="6F16C004" w14:textId="77777777" w:rsidR="006C5512" w:rsidRPr="009E2035" w:rsidRDefault="006C5512" w:rsidP="006C5512">
            <w:pPr>
              <w:jc w:val="right"/>
              <w:rPr>
                <w:rFonts w:ascii="Times New Roman" w:hAnsi="Times New Roman" w:cs="Times New Roman"/>
                <w:color w:val="000000"/>
              </w:rPr>
            </w:pPr>
            <w:r w:rsidRPr="009E2035">
              <w:rPr>
                <w:rFonts w:ascii="Times New Roman" w:hAnsi="Times New Roman" w:cs="Times New Roman"/>
                <w:color w:val="000000"/>
              </w:rPr>
              <w:t>0.982</w:t>
            </w:r>
          </w:p>
        </w:tc>
      </w:tr>
      <w:tr w:rsidR="006C5512" w:rsidRPr="00D073DB" w14:paraId="496C61EE" w14:textId="77777777" w:rsidTr="00123540">
        <w:trPr>
          <w:jc w:val="center"/>
        </w:trPr>
        <w:tc>
          <w:tcPr>
            <w:tcW w:w="0" w:type="auto"/>
          </w:tcPr>
          <w:p w14:paraId="354FF779" w14:textId="77777777" w:rsidR="006C5512" w:rsidRDefault="006C5512" w:rsidP="006C5512">
            <w:pPr>
              <w:rPr>
                <w:rFonts w:ascii="Times New Roman" w:hAnsi="Times New Roman" w:cs="Times New Roman"/>
              </w:rPr>
            </w:pPr>
            <w:r>
              <w:rPr>
                <w:rFonts w:ascii="Times New Roman" w:hAnsi="Times New Roman" w:cs="Times New Roman"/>
              </w:rPr>
              <w:t>Biomass</w:t>
            </w:r>
          </w:p>
        </w:tc>
        <w:tc>
          <w:tcPr>
            <w:tcW w:w="0" w:type="auto"/>
            <w:vAlign w:val="bottom"/>
          </w:tcPr>
          <w:p w14:paraId="57D5AFD4"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Slope</w:t>
            </w:r>
          </w:p>
        </w:tc>
        <w:tc>
          <w:tcPr>
            <w:tcW w:w="0" w:type="auto"/>
            <w:vAlign w:val="bottom"/>
          </w:tcPr>
          <w:p w14:paraId="3BC72DCF"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-0.02</w:t>
            </w:r>
          </w:p>
        </w:tc>
        <w:tc>
          <w:tcPr>
            <w:tcW w:w="0" w:type="auto"/>
            <w:vAlign w:val="bottom"/>
          </w:tcPr>
          <w:p w14:paraId="63353736"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0.82</w:t>
            </w:r>
          </w:p>
        </w:tc>
        <w:tc>
          <w:tcPr>
            <w:tcW w:w="0" w:type="auto"/>
            <w:vAlign w:val="bottom"/>
          </w:tcPr>
          <w:p w14:paraId="0B940ABB" w14:textId="77777777" w:rsidR="006C5512" w:rsidRPr="009E2035" w:rsidRDefault="006C5512" w:rsidP="006C5512">
            <w:pPr>
              <w:jc w:val="right"/>
              <w:rPr>
                <w:rFonts w:ascii="Times New Roman" w:hAnsi="Times New Roman" w:cs="Times New Roman"/>
                <w:color w:val="000000"/>
              </w:rPr>
            </w:pPr>
            <w:r w:rsidRPr="009E2035">
              <w:rPr>
                <w:rFonts w:ascii="Times New Roman" w:hAnsi="Times New Roman" w:cs="Times New Roman"/>
                <w:color w:val="000000"/>
              </w:rPr>
              <w:t>0.414</w:t>
            </w:r>
          </w:p>
        </w:tc>
      </w:tr>
      <w:tr w:rsidR="006C5512" w:rsidRPr="00D073DB" w14:paraId="5F4792F0" w14:textId="77777777" w:rsidTr="00123540">
        <w:trPr>
          <w:jc w:val="center"/>
        </w:trPr>
        <w:tc>
          <w:tcPr>
            <w:tcW w:w="0" w:type="auto"/>
          </w:tcPr>
          <w:p w14:paraId="5DF5B190" w14:textId="77777777" w:rsidR="006C5512" w:rsidRDefault="006C5512" w:rsidP="006C5512">
            <w:pPr>
              <w:rPr>
                <w:rFonts w:ascii="Times New Roman" w:hAnsi="Times New Roman" w:cs="Times New Roman"/>
              </w:rPr>
            </w:pPr>
            <w:r>
              <w:rPr>
                <w:rFonts w:ascii="Times New Roman" w:hAnsi="Times New Roman" w:cs="Times New Roman"/>
              </w:rPr>
              <w:t>Biomass</w:t>
            </w:r>
          </w:p>
        </w:tc>
        <w:tc>
          <w:tcPr>
            <w:tcW w:w="0" w:type="auto"/>
            <w:vAlign w:val="bottom"/>
          </w:tcPr>
          <w:p w14:paraId="35A9D3CE"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Free-flowing area</w:t>
            </w:r>
          </w:p>
        </w:tc>
        <w:tc>
          <w:tcPr>
            <w:tcW w:w="0" w:type="auto"/>
            <w:vAlign w:val="bottom"/>
          </w:tcPr>
          <w:p w14:paraId="4F2F4E4A"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-0.02</w:t>
            </w:r>
          </w:p>
        </w:tc>
        <w:tc>
          <w:tcPr>
            <w:tcW w:w="0" w:type="auto"/>
            <w:vAlign w:val="bottom"/>
          </w:tcPr>
          <w:p w14:paraId="64DB5F85"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1.02</w:t>
            </w:r>
          </w:p>
        </w:tc>
        <w:tc>
          <w:tcPr>
            <w:tcW w:w="0" w:type="auto"/>
            <w:vAlign w:val="bottom"/>
          </w:tcPr>
          <w:p w14:paraId="4EEC6E12" w14:textId="77777777" w:rsidR="006C5512" w:rsidRPr="009E2035" w:rsidRDefault="006C5512" w:rsidP="006C5512">
            <w:pPr>
              <w:jc w:val="right"/>
              <w:rPr>
                <w:rFonts w:ascii="Times New Roman" w:hAnsi="Times New Roman" w:cs="Times New Roman"/>
                <w:color w:val="000000"/>
              </w:rPr>
            </w:pPr>
            <w:r w:rsidRPr="009E2035">
              <w:rPr>
                <w:rFonts w:ascii="Times New Roman" w:hAnsi="Times New Roman" w:cs="Times New Roman"/>
                <w:color w:val="000000"/>
              </w:rPr>
              <w:t>0.309</w:t>
            </w:r>
          </w:p>
        </w:tc>
      </w:tr>
      <w:tr w:rsidR="006C5512" w:rsidRPr="00D073DB" w14:paraId="5D0C75ED" w14:textId="77777777" w:rsidTr="00123540">
        <w:trPr>
          <w:jc w:val="center"/>
        </w:trPr>
        <w:tc>
          <w:tcPr>
            <w:tcW w:w="0" w:type="auto"/>
          </w:tcPr>
          <w:p w14:paraId="57DCD854"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4E63F1DF"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Sampled area</w:t>
            </w:r>
          </w:p>
        </w:tc>
        <w:tc>
          <w:tcPr>
            <w:tcW w:w="0" w:type="auto"/>
            <w:vAlign w:val="bottom"/>
          </w:tcPr>
          <w:p w14:paraId="6B42CC4E"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0.28</w:t>
            </w:r>
          </w:p>
        </w:tc>
        <w:tc>
          <w:tcPr>
            <w:tcW w:w="0" w:type="auto"/>
            <w:vAlign w:val="bottom"/>
          </w:tcPr>
          <w:p w14:paraId="7CA4B36F"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11.08</w:t>
            </w:r>
          </w:p>
        </w:tc>
        <w:tc>
          <w:tcPr>
            <w:tcW w:w="0" w:type="auto"/>
          </w:tcPr>
          <w:p w14:paraId="5584A721" w14:textId="77777777" w:rsidR="006C5512" w:rsidRPr="00D073DB" w:rsidRDefault="006C5512" w:rsidP="006C5512">
            <w:pPr>
              <w:jc w:val="right"/>
              <w:rPr>
                <w:rFonts w:ascii="Times New Roman" w:hAnsi="Times New Roman" w:cs="Times New Roman"/>
                <w:color w:val="000000"/>
              </w:rPr>
            </w:pPr>
            <w:r w:rsidRPr="00D11466">
              <w:rPr>
                <w:rFonts w:ascii="Times New Roman" w:hAnsi="Times New Roman" w:cs="Times New Roman"/>
                <w:color w:val="000000"/>
              </w:rPr>
              <w:t>&lt; 0.001</w:t>
            </w:r>
          </w:p>
        </w:tc>
      </w:tr>
      <w:tr w:rsidR="006C5512" w:rsidRPr="00D073DB" w14:paraId="49C1E13F" w14:textId="77777777" w:rsidTr="00123540">
        <w:trPr>
          <w:jc w:val="center"/>
        </w:trPr>
        <w:tc>
          <w:tcPr>
            <w:tcW w:w="0" w:type="auto"/>
          </w:tcPr>
          <w:p w14:paraId="4214F63D"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393766A4"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Temperature</w:t>
            </w:r>
          </w:p>
        </w:tc>
        <w:tc>
          <w:tcPr>
            <w:tcW w:w="0" w:type="auto"/>
            <w:vAlign w:val="bottom"/>
          </w:tcPr>
          <w:p w14:paraId="1D696B4F"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0.32</w:t>
            </w:r>
          </w:p>
        </w:tc>
        <w:tc>
          <w:tcPr>
            <w:tcW w:w="0" w:type="auto"/>
            <w:vAlign w:val="bottom"/>
          </w:tcPr>
          <w:p w14:paraId="70468558"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8.83</w:t>
            </w:r>
          </w:p>
        </w:tc>
        <w:tc>
          <w:tcPr>
            <w:tcW w:w="0" w:type="auto"/>
          </w:tcPr>
          <w:p w14:paraId="5C768464" w14:textId="77777777" w:rsidR="006C5512" w:rsidRPr="00D073DB" w:rsidRDefault="006C5512" w:rsidP="006C5512">
            <w:pPr>
              <w:jc w:val="right"/>
              <w:rPr>
                <w:rFonts w:ascii="Times New Roman" w:hAnsi="Times New Roman" w:cs="Times New Roman"/>
                <w:color w:val="000000"/>
              </w:rPr>
            </w:pPr>
            <w:r w:rsidRPr="00D11466">
              <w:rPr>
                <w:rFonts w:ascii="Times New Roman" w:hAnsi="Times New Roman" w:cs="Times New Roman"/>
                <w:color w:val="000000"/>
              </w:rPr>
              <w:t>&lt; 0.001</w:t>
            </w:r>
          </w:p>
        </w:tc>
      </w:tr>
      <w:tr w:rsidR="006C5512" w:rsidRPr="00D073DB" w14:paraId="3550E605" w14:textId="77777777" w:rsidTr="00123540">
        <w:trPr>
          <w:jc w:val="center"/>
        </w:trPr>
        <w:tc>
          <w:tcPr>
            <w:tcW w:w="0" w:type="auto"/>
          </w:tcPr>
          <w:p w14:paraId="2DEAFD76"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2B0A6DF6"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Precipitation</w:t>
            </w:r>
          </w:p>
        </w:tc>
        <w:tc>
          <w:tcPr>
            <w:tcW w:w="0" w:type="auto"/>
            <w:vAlign w:val="bottom"/>
          </w:tcPr>
          <w:p w14:paraId="4A2944E4"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-0.14</w:t>
            </w:r>
          </w:p>
        </w:tc>
        <w:tc>
          <w:tcPr>
            <w:tcW w:w="0" w:type="auto"/>
            <w:vAlign w:val="bottom"/>
          </w:tcPr>
          <w:p w14:paraId="2C44C675"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3.69</w:t>
            </w:r>
          </w:p>
        </w:tc>
        <w:tc>
          <w:tcPr>
            <w:tcW w:w="0" w:type="auto"/>
          </w:tcPr>
          <w:p w14:paraId="657E31FF" w14:textId="77777777" w:rsidR="006C5512" w:rsidRPr="00D073DB" w:rsidRDefault="006C5512" w:rsidP="006C5512">
            <w:pPr>
              <w:jc w:val="right"/>
              <w:rPr>
                <w:rFonts w:ascii="Times New Roman" w:hAnsi="Times New Roman" w:cs="Times New Roman"/>
                <w:color w:val="000000"/>
              </w:rPr>
            </w:pPr>
            <w:r w:rsidRPr="00D11466">
              <w:rPr>
                <w:rFonts w:ascii="Times New Roman" w:hAnsi="Times New Roman" w:cs="Times New Roman"/>
                <w:color w:val="000000"/>
              </w:rPr>
              <w:t>&lt; 0.001</w:t>
            </w:r>
          </w:p>
        </w:tc>
      </w:tr>
      <w:tr w:rsidR="006C5512" w:rsidRPr="00D073DB" w14:paraId="2F97AAF9" w14:textId="77777777" w:rsidTr="00123540">
        <w:trPr>
          <w:jc w:val="center"/>
        </w:trPr>
        <w:tc>
          <w:tcPr>
            <w:tcW w:w="0" w:type="auto"/>
          </w:tcPr>
          <w:p w14:paraId="7B95143F"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2136AB33" w14:textId="77777777" w:rsidR="006C5512" w:rsidRPr="00D073DB" w:rsidRDefault="006C5512" w:rsidP="006C5512">
            <w:pPr>
              <w:rPr>
                <w:rFonts w:ascii="Times New Roman" w:hAnsi="Times New Roman" w:cs="Times New Roman"/>
              </w:rPr>
            </w:pPr>
            <w:r w:rsidRPr="00D073DB">
              <w:rPr>
                <w:rFonts w:ascii="Times New Roman" w:hAnsi="Times New Roman" w:cs="Times New Roman"/>
                <w:color w:val="000000"/>
              </w:rPr>
              <w:t>H</w:t>
            </w:r>
            <w:r>
              <w:rPr>
                <w:rFonts w:ascii="Times New Roman" w:hAnsi="Times New Roman" w:cs="Times New Roman"/>
                <w:color w:val="000000"/>
              </w:rPr>
              <w:t>uman impact (1993)</w:t>
            </w:r>
          </w:p>
        </w:tc>
        <w:tc>
          <w:tcPr>
            <w:tcW w:w="0" w:type="auto"/>
            <w:vAlign w:val="bottom"/>
          </w:tcPr>
          <w:p w14:paraId="4952962C"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0.07</w:t>
            </w:r>
          </w:p>
        </w:tc>
        <w:tc>
          <w:tcPr>
            <w:tcW w:w="0" w:type="auto"/>
            <w:vAlign w:val="bottom"/>
          </w:tcPr>
          <w:p w14:paraId="0057FD3D"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3.14</w:t>
            </w:r>
          </w:p>
        </w:tc>
        <w:tc>
          <w:tcPr>
            <w:tcW w:w="0" w:type="auto"/>
            <w:vAlign w:val="bottom"/>
          </w:tcPr>
          <w:p w14:paraId="4A9ACC2D"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0.00</w:t>
            </w:r>
            <w:r>
              <w:rPr>
                <w:rFonts w:ascii="Times New Roman" w:hAnsi="Times New Roman" w:cs="Times New Roman"/>
                <w:color w:val="000000"/>
              </w:rPr>
              <w:t>2</w:t>
            </w:r>
          </w:p>
        </w:tc>
      </w:tr>
      <w:tr w:rsidR="006C5512" w:rsidRPr="00D073DB" w14:paraId="1AB47C0D" w14:textId="77777777" w:rsidTr="00123540">
        <w:trPr>
          <w:jc w:val="center"/>
        </w:trPr>
        <w:tc>
          <w:tcPr>
            <w:tcW w:w="0" w:type="auto"/>
          </w:tcPr>
          <w:p w14:paraId="6886E567"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1A1B7D2F"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Catchment area</w:t>
            </w:r>
          </w:p>
        </w:tc>
        <w:tc>
          <w:tcPr>
            <w:tcW w:w="0" w:type="auto"/>
            <w:vAlign w:val="bottom"/>
          </w:tcPr>
          <w:p w14:paraId="2B9E229B"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0.09</w:t>
            </w:r>
          </w:p>
        </w:tc>
        <w:tc>
          <w:tcPr>
            <w:tcW w:w="0" w:type="auto"/>
            <w:vAlign w:val="bottom"/>
          </w:tcPr>
          <w:p w14:paraId="6CA2666D"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3.36</w:t>
            </w:r>
          </w:p>
        </w:tc>
        <w:tc>
          <w:tcPr>
            <w:tcW w:w="0" w:type="auto"/>
            <w:vAlign w:val="bottom"/>
          </w:tcPr>
          <w:p w14:paraId="2D4066CC"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0.001</w:t>
            </w:r>
          </w:p>
        </w:tc>
      </w:tr>
      <w:tr w:rsidR="006C5512" w:rsidRPr="00D073DB" w14:paraId="600C654D" w14:textId="77777777" w:rsidTr="00123540">
        <w:trPr>
          <w:jc w:val="center"/>
        </w:trPr>
        <w:tc>
          <w:tcPr>
            <w:tcW w:w="0" w:type="auto"/>
          </w:tcPr>
          <w:p w14:paraId="1907AD55"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5691489B"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S</w:t>
            </w:r>
            <w:r w:rsidRPr="00D073DB">
              <w:rPr>
                <w:rFonts w:ascii="Times New Roman" w:hAnsi="Times New Roman" w:cs="Times New Roman"/>
                <w:color w:val="000000"/>
              </w:rPr>
              <w:t>lope</w:t>
            </w:r>
          </w:p>
        </w:tc>
        <w:tc>
          <w:tcPr>
            <w:tcW w:w="0" w:type="auto"/>
            <w:vAlign w:val="bottom"/>
          </w:tcPr>
          <w:p w14:paraId="1E9B3B07"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-0.15</w:t>
            </w:r>
          </w:p>
        </w:tc>
        <w:tc>
          <w:tcPr>
            <w:tcW w:w="0" w:type="auto"/>
            <w:vAlign w:val="bottom"/>
          </w:tcPr>
          <w:p w14:paraId="4434316B"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6.18</w:t>
            </w:r>
          </w:p>
        </w:tc>
        <w:tc>
          <w:tcPr>
            <w:tcW w:w="0" w:type="auto"/>
          </w:tcPr>
          <w:p w14:paraId="2158A05A" w14:textId="77777777" w:rsidR="006C5512" w:rsidRPr="00D073DB" w:rsidRDefault="006C5512" w:rsidP="006C5512">
            <w:pPr>
              <w:jc w:val="right"/>
              <w:rPr>
                <w:rFonts w:ascii="Times New Roman" w:hAnsi="Times New Roman" w:cs="Times New Roman"/>
                <w:color w:val="000000"/>
              </w:rPr>
            </w:pPr>
            <w:r w:rsidRPr="006B30EF">
              <w:rPr>
                <w:rFonts w:ascii="Times New Roman" w:hAnsi="Times New Roman" w:cs="Times New Roman"/>
                <w:color w:val="000000"/>
              </w:rPr>
              <w:t>&lt; 0.001</w:t>
            </w:r>
          </w:p>
        </w:tc>
      </w:tr>
      <w:tr w:rsidR="006C5512" w:rsidRPr="00D073DB" w14:paraId="366F1BE2" w14:textId="77777777" w:rsidTr="00123540">
        <w:trPr>
          <w:jc w:val="center"/>
        </w:trPr>
        <w:tc>
          <w:tcPr>
            <w:tcW w:w="0" w:type="auto"/>
          </w:tcPr>
          <w:p w14:paraId="5697152F" w14:textId="77777777" w:rsidR="006C5512" w:rsidRPr="00D073DB" w:rsidRDefault="006C5512" w:rsidP="006C5512">
            <w:pPr>
              <w:rPr>
                <w:rFonts w:ascii="Times New Roman" w:hAnsi="Times New Roman" w:cs="Times New Roman"/>
              </w:rPr>
            </w:pPr>
            <w:r>
              <w:rPr>
                <w:rFonts w:ascii="Times New Roman" w:hAnsi="Times New Roman" w:cs="Times New Roman"/>
              </w:rPr>
              <w:t>Species richness</w:t>
            </w:r>
          </w:p>
        </w:tc>
        <w:tc>
          <w:tcPr>
            <w:tcW w:w="0" w:type="auto"/>
            <w:vAlign w:val="bottom"/>
          </w:tcPr>
          <w:p w14:paraId="7D14A096"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Free-flowing area</w:t>
            </w:r>
          </w:p>
        </w:tc>
        <w:tc>
          <w:tcPr>
            <w:tcW w:w="0" w:type="auto"/>
            <w:vAlign w:val="bottom"/>
          </w:tcPr>
          <w:p w14:paraId="1B6185A4"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0.09</w:t>
            </w:r>
          </w:p>
        </w:tc>
        <w:tc>
          <w:tcPr>
            <w:tcW w:w="0" w:type="auto"/>
            <w:vAlign w:val="bottom"/>
          </w:tcPr>
          <w:p w14:paraId="0750B4D5"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4.59</w:t>
            </w:r>
          </w:p>
        </w:tc>
        <w:tc>
          <w:tcPr>
            <w:tcW w:w="0" w:type="auto"/>
          </w:tcPr>
          <w:p w14:paraId="3E35F119" w14:textId="77777777" w:rsidR="006C5512" w:rsidRPr="00D073DB" w:rsidRDefault="006C5512" w:rsidP="006C5512">
            <w:pPr>
              <w:jc w:val="right"/>
              <w:rPr>
                <w:rFonts w:ascii="Times New Roman" w:hAnsi="Times New Roman" w:cs="Times New Roman"/>
                <w:color w:val="000000"/>
              </w:rPr>
            </w:pPr>
            <w:r w:rsidRPr="006B30EF">
              <w:rPr>
                <w:rFonts w:ascii="Times New Roman" w:hAnsi="Times New Roman" w:cs="Times New Roman"/>
                <w:color w:val="000000"/>
              </w:rPr>
              <w:t>&lt; 0.001</w:t>
            </w:r>
          </w:p>
        </w:tc>
      </w:tr>
      <w:tr w:rsidR="006C5512" w:rsidRPr="00D073DB" w14:paraId="223CE799" w14:textId="77777777" w:rsidTr="00123540">
        <w:trPr>
          <w:jc w:val="center"/>
        </w:trPr>
        <w:tc>
          <w:tcPr>
            <w:tcW w:w="0" w:type="auto"/>
          </w:tcPr>
          <w:p w14:paraId="5F8D71BC" w14:textId="77777777" w:rsidR="006C5512" w:rsidRPr="00D073DB"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505121D2"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Species richness</w:t>
            </w:r>
          </w:p>
        </w:tc>
        <w:tc>
          <w:tcPr>
            <w:tcW w:w="0" w:type="auto"/>
            <w:vAlign w:val="bottom"/>
          </w:tcPr>
          <w:p w14:paraId="538B5E0A"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0.64</w:t>
            </w:r>
          </w:p>
        </w:tc>
        <w:tc>
          <w:tcPr>
            <w:tcW w:w="0" w:type="auto"/>
            <w:vAlign w:val="bottom"/>
          </w:tcPr>
          <w:p w14:paraId="24A37CED"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23.43</w:t>
            </w:r>
          </w:p>
        </w:tc>
        <w:tc>
          <w:tcPr>
            <w:tcW w:w="0" w:type="auto"/>
          </w:tcPr>
          <w:p w14:paraId="2EFC5B07" w14:textId="77777777" w:rsidR="006C5512" w:rsidRPr="00D073DB" w:rsidRDefault="006C5512" w:rsidP="006C5512">
            <w:pPr>
              <w:jc w:val="right"/>
              <w:rPr>
                <w:rFonts w:ascii="Times New Roman" w:hAnsi="Times New Roman" w:cs="Times New Roman"/>
                <w:color w:val="000000"/>
              </w:rPr>
            </w:pPr>
            <w:r w:rsidRPr="006B30EF">
              <w:rPr>
                <w:rFonts w:ascii="Times New Roman" w:hAnsi="Times New Roman" w:cs="Times New Roman"/>
                <w:color w:val="000000"/>
              </w:rPr>
              <w:t>&lt; 0.001</w:t>
            </w:r>
          </w:p>
        </w:tc>
      </w:tr>
      <w:tr w:rsidR="006C5512" w:rsidRPr="00D073DB" w14:paraId="28268266" w14:textId="77777777" w:rsidTr="00123540">
        <w:trPr>
          <w:jc w:val="center"/>
        </w:trPr>
        <w:tc>
          <w:tcPr>
            <w:tcW w:w="0" w:type="auto"/>
          </w:tcPr>
          <w:p w14:paraId="158D9A13" w14:textId="77777777" w:rsidR="006C5512"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745C74EF"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Sampled area</w:t>
            </w:r>
          </w:p>
        </w:tc>
        <w:tc>
          <w:tcPr>
            <w:tcW w:w="0" w:type="auto"/>
            <w:vAlign w:val="bottom"/>
          </w:tcPr>
          <w:p w14:paraId="19FEF135"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-0.02</w:t>
            </w:r>
          </w:p>
        </w:tc>
        <w:tc>
          <w:tcPr>
            <w:tcW w:w="0" w:type="auto"/>
            <w:vAlign w:val="bottom"/>
          </w:tcPr>
          <w:p w14:paraId="647845CF"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0.79</w:t>
            </w:r>
          </w:p>
        </w:tc>
        <w:tc>
          <w:tcPr>
            <w:tcW w:w="0" w:type="auto"/>
          </w:tcPr>
          <w:p w14:paraId="751B01F1" w14:textId="77777777" w:rsidR="006C5512" w:rsidRPr="006B30EF" w:rsidRDefault="006C5512" w:rsidP="006C5512">
            <w:pPr>
              <w:jc w:val="right"/>
              <w:rPr>
                <w:rFonts w:ascii="Times New Roman" w:hAnsi="Times New Roman" w:cs="Times New Roman"/>
                <w:color w:val="000000"/>
              </w:rPr>
            </w:pPr>
            <w:r>
              <w:rPr>
                <w:rFonts w:ascii="Times New Roman" w:hAnsi="Times New Roman" w:cs="Times New Roman"/>
                <w:color w:val="000000"/>
              </w:rPr>
              <w:t>0.431</w:t>
            </w:r>
          </w:p>
        </w:tc>
      </w:tr>
      <w:tr w:rsidR="006C5512" w:rsidRPr="00D073DB" w14:paraId="4041A7C1" w14:textId="77777777" w:rsidTr="00123540">
        <w:trPr>
          <w:jc w:val="center"/>
        </w:trPr>
        <w:tc>
          <w:tcPr>
            <w:tcW w:w="0" w:type="auto"/>
          </w:tcPr>
          <w:p w14:paraId="686542AB" w14:textId="77777777" w:rsidR="006C5512" w:rsidRPr="00D073DB"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0FBB7C21"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Temperature</w:t>
            </w:r>
          </w:p>
        </w:tc>
        <w:tc>
          <w:tcPr>
            <w:tcW w:w="0" w:type="auto"/>
            <w:vAlign w:val="bottom"/>
          </w:tcPr>
          <w:p w14:paraId="2695C7F2"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0.11</w:t>
            </w:r>
          </w:p>
        </w:tc>
        <w:tc>
          <w:tcPr>
            <w:tcW w:w="0" w:type="auto"/>
            <w:vAlign w:val="bottom"/>
          </w:tcPr>
          <w:p w14:paraId="5B244D1A"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3.86</w:t>
            </w:r>
          </w:p>
        </w:tc>
        <w:tc>
          <w:tcPr>
            <w:tcW w:w="0" w:type="auto"/>
          </w:tcPr>
          <w:p w14:paraId="1AAED582" w14:textId="77777777" w:rsidR="006C5512" w:rsidRPr="00D073DB" w:rsidRDefault="006C5512" w:rsidP="006C5512">
            <w:pPr>
              <w:jc w:val="right"/>
              <w:rPr>
                <w:rFonts w:ascii="Times New Roman" w:hAnsi="Times New Roman" w:cs="Times New Roman"/>
                <w:color w:val="000000"/>
              </w:rPr>
            </w:pPr>
            <w:r w:rsidRPr="006B30EF">
              <w:rPr>
                <w:rFonts w:ascii="Times New Roman" w:hAnsi="Times New Roman" w:cs="Times New Roman"/>
                <w:color w:val="000000"/>
              </w:rPr>
              <w:t>&lt; 0.001</w:t>
            </w:r>
          </w:p>
        </w:tc>
      </w:tr>
      <w:tr w:rsidR="006C5512" w:rsidRPr="00D073DB" w14:paraId="2485427B" w14:textId="77777777" w:rsidTr="00123540">
        <w:trPr>
          <w:jc w:val="center"/>
        </w:trPr>
        <w:tc>
          <w:tcPr>
            <w:tcW w:w="0" w:type="auto"/>
          </w:tcPr>
          <w:p w14:paraId="31CD748D" w14:textId="77777777" w:rsidR="006C5512" w:rsidRPr="00D073DB"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31FD0C1B"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Precipitation</w:t>
            </w:r>
          </w:p>
        </w:tc>
        <w:tc>
          <w:tcPr>
            <w:tcW w:w="0" w:type="auto"/>
            <w:vAlign w:val="bottom"/>
          </w:tcPr>
          <w:p w14:paraId="53C63B34"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0.07</w:t>
            </w:r>
          </w:p>
        </w:tc>
        <w:tc>
          <w:tcPr>
            <w:tcW w:w="0" w:type="auto"/>
            <w:vAlign w:val="bottom"/>
          </w:tcPr>
          <w:p w14:paraId="76DA1A18"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2.25</w:t>
            </w:r>
          </w:p>
        </w:tc>
        <w:tc>
          <w:tcPr>
            <w:tcW w:w="0" w:type="auto"/>
            <w:vAlign w:val="bottom"/>
          </w:tcPr>
          <w:p w14:paraId="2828139D"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0.0</w:t>
            </w:r>
            <w:r>
              <w:rPr>
                <w:rFonts w:ascii="Times New Roman" w:hAnsi="Times New Roman" w:cs="Times New Roman"/>
                <w:color w:val="000000"/>
              </w:rPr>
              <w:t>26</w:t>
            </w:r>
          </w:p>
        </w:tc>
      </w:tr>
      <w:tr w:rsidR="006C5512" w:rsidRPr="00D073DB" w14:paraId="40C9E1DF" w14:textId="77777777" w:rsidTr="00123540">
        <w:trPr>
          <w:jc w:val="center"/>
        </w:trPr>
        <w:tc>
          <w:tcPr>
            <w:tcW w:w="0" w:type="auto"/>
          </w:tcPr>
          <w:p w14:paraId="2754375C" w14:textId="77777777" w:rsidR="006C5512"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64DC939F"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Human impact (1993)</w:t>
            </w:r>
          </w:p>
        </w:tc>
        <w:tc>
          <w:tcPr>
            <w:tcW w:w="0" w:type="auto"/>
            <w:vAlign w:val="bottom"/>
          </w:tcPr>
          <w:p w14:paraId="7D18145F"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0.01</w:t>
            </w:r>
          </w:p>
        </w:tc>
        <w:tc>
          <w:tcPr>
            <w:tcW w:w="0" w:type="auto"/>
            <w:vAlign w:val="bottom"/>
          </w:tcPr>
          <w:p w14:paraId="1FD28A02"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0.23</w:t>
            </w:r>
          </w:p>
        </w:tc>
        <w:tc>
          <w:tcPr>
            <w:tcW w:w="0" w:type="auto"/>
            <w:vAlign w:val="bottom"/>
          </w:tcPr>
          <w:p w14:paraId="6B052E30" w14:textId="77777777" w:rsidR="006C5512" w:rsidRPr="00D073DB" w:rsidRDefault="006C5512" w:rsidP="006C5512">
            <w:pPr>
              <w:jc w:val="right"/>
              <w:rPr>
                <w:rFonts w:ascii="Times New Roman" w:hAnsi="Times New Roman" w:cs="Times New Roman"/>
                <w:color w:val="000000"/>
              </w:rPr>
            </w:pPr>
            <w:r>
              <w:rPr>
                <w:rFonts w:ascii="Times New Roman" w:hAnsi="Times New Roman" w:cs="Times New Roman"/>
                <w:color w:val="000000"/>
              </w:rPr>
              <w:t>0.819</w:t>
            </w:r>
          </w:p>
        </w:tc>
      </w:tr>
      <w:tr w:rsidR="006C5512" w:rsidRPr="00D073DB" w14:paraId="1F82A142" w14:textId="77777777" w:rsidTr="00123540">
        <w:trPr>
          <w:jc w:val="center"/>
        </w:trPr>
        <w:tc>
          <w:tcPr>
            <w:tcW w:w="0" w:type="auto"/>
          </w:tcPr>
          <w:p w14:paraId="1BEAFA5C" w14:textId="77777777" w:rsidR="006C5512" w:rsidRPr="00D073DB"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209366CD" w14:textId="77777777" w:rsidR="006C5512" w:rsidRPr="00D073DB" w:rsidRDefault="006C5512" w:rsidP="006C5512">
            <w:pPr>
              <w:rPr>
                <w:rFonts w:ascii="Times New Roman" w:hAnsi="Times New Roman" w:cs="Times New Roman"/>
              </w:rPr>
            </w:pPr>
            <w:r>
              <w:rPr>
                <w:rFonts w:ascii="Times New Roman" w:hAnsi="Times New Roman" w:cs="Times New Roman"/>
                <w:color w:val="000000"/>
              </w:rPr>
              <w:t>Catchment area</w:t>
            </w:r>
          </w:p>
        </w:tc>
        <w:tc>
          <w:tcPr>
            <w:tcW w:w="0" w:type="auto"/>
            <w:vAlign w:val="bottom"/>
          </w:tcPr>
          <w:p w14:paraId="51DB95F9" w14:textId="77777777" w:rsidR="006C5512" w:rsidRPr="00AE6E64" w:rsidRDefault="006C5512" w:rsidP="006C5512">
            <w:pPr>
              <w:jc w:val="right"/>
              <w:rPr>
                <w:rFonts w:ascii="Times New Roman" w:hAnsi="Times New Roman" w:cs="Times New Roman"/>
              </w:rPr>
            </w:pPr>
            <w:r w:rsidRPr="00AE6E64">
              <w:rPr>
                <w:rFonts w:ascii="Times New Roman" w:hAnsi="Times New Roman" w:cs="Times New Roman"/>
                <w:color w:val="000000"/>
              </w:rPr>
              <w:t>-0.05</w:t>
            </w:r>
          </w:p>
        </w:tc>
        <w:tc>
          <w:tcPr>
            <w:tcW w:w="0" w:type="auto"/>
            <w:vAlign w:val="bottom"/>
          </w:tcPr>
          <w:p w14:paraId="70154094"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1.61</w:t>
            </w:r>
          </w:p>
        </w:tc>
        <w:tc>
          <w:tcPr>
            <w:tcW w:w="0" w:type="auto"/>
            <w:vAlign w:val="bottom"/>
          </w:tcPr>
          <w:p w14:paraId="7A5B66C6" w14:textId="77777777" w:rsidR="006C5512" w:rsidRPr="00D073DB" w:rsidRDefault="006C5512" w:rsidP="006C5512">
            <w:pPr>
              <w:jc w:val="right"/>
              <w:rPr>
                <w:rFonts w:ascii="Times New Roman" w:hAnsi="Times New Roman" w:cs="Times New Roman"/>
                <w:color w:val="000000"/>
              </w:rPr>
            </w:pPr>
            <w:r w:rsidRPr="00D073DB">
              <w:rPr>
                <w:rFonts w:ascii="Times New Roman" w:hAnsi="Times New Roman" w:cs="Times New Roman"/>
                <w:color w:val="000000"/>
              </w:rPr>
              <w:t>0.</w:t>
            </w:r>
            <w:r>
              <w:rPr>
                <w:rFonts w:ascii="Times New Roman" w:hAnsi="Times New Roman" w:cs="Times New Roman"/>
                <w:color w:val="000000"/>
              </w:rPr>
              <w:t>107</w:t>
            </w:r>
          </w:p>
        </w:tc>
      </w:tr>
      <w:tr w:rsidR="006C5512" w:rsidRPr="00D073DB" w14:paraId="72928598" w14:textId="77777777" w:rsidTr="00123540">
        <w:trPr>
          <w:jc w:val="center"/>
        </w:trPr>
        <w:tc>
          <w:tcPr>
            <w:tcW w:w="0" w:type="auto"/>
          </w:tcPr>
          <w:p w14:paraId="71712708" w14:textId="77777777" w:rsidR="006C5512" w:rsidRDefault="006C5512" w:rsidP="006C5512">
            <w:pPr>
              <w:rPr>
                <w:rFonts w:ascii="Times New Roman" w:hAnsi="Times New Roman" w:cs="Times New Roman"/>
              </w:rPr>
            </w:pPr>
            <w:r>
              <w:rPr>
                <w:rFonts w:ascii="Times New Roman" w:hAnsi="Times New Roman" w:cs="Times New Roman"/>
              </w:rPr>
              <w:t>Functional diversity</w:t>
            </w:r>
          </w:p>
        </w:tc>
        <w:tc>
          <w:tcPr>
            <w:tcW w:w="0" w:type="auto"/>
            <w:vAlign w:val="bottom"/>
          </w:tcPr>
          <w:p w14:paraId="1CF357BE"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Slope</w:t>
            </w:r>
          </w:p>
        </w:tc>
        <w:tc>
          <w:tcPr>
            <w:tcW w:w="0" w:type="auto"/>
            <w:vAlign w:val="bottom"/>
          </w:tcPr>
          <w:p w14:paraId="3E79D4FD"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0.00</w:t>
            </w:r>
          </w:p>
        </w:tc>
        <w:tc>
          <w:tcPr>
            <w:tcW w:w="0" w:type="auto"/>
            <w:vAlign w:val="bottom"/>
          </w:tcPr>
          <w:p w14:paraId="62ECB3E4"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0.08</w:t>
            </w:r>
          </w:p>
        </w:tc>
        <w:tc>
          <w:tcPr>
            <w:tcW w:w="0" w:type="auto"/>
            <w:vAlign w:val="bottom"/>
          </w:tcPr>
          <w:p w14:paraId="2DBE24B2" w14:textId="77777777" w:rsidR="006C5512" w:rsidRPr="00D073DB" w:rsidRDefault="006C5512" w:rsidP="006C5512">
            <w:pPr>
              <w:jc w:val="right"/>
              <w:rPr>
                <w:rFonts w:ascii="Times New Roman" w:hAnsi="Times New Roman" w:cs="Times New Roman"/>
                <w:color w:val="000000"/>
              </w:rPr>
            </w:pPr>
            <w:r>
              <w:rPr>
                <w:rFonts w:ascii="Times New Roman" w:hAnsi="Times New Roman" w:cs="Times New Roman"/>
                <w:color w:val="000000"/>
              </w:rPr>
              <w:t>0.936</w:t>
            </w:r>
          </w:p>
        </w:tc>
      </w:tr>
      <w:tr w:rsidR="006C5512" w:rsidRPr="00D073DB" w14:paraId="7101AB52" w14:textId="77777777" w:rsidTr="00123540">
        <w:trPr>
          <w:jc w:val="center"/>
        </w:trPr>
        <w:tc>
          <w:tcPr>
            <w:tcW w:w="0" w:type="auto"/>
            <w:tcBorders>
              <w:bottom w:val="single" w:sz="4" w:space="0" w:color="auto"/>
            </w:tcBorders>
          </w:tcPr>
          <w:p w14:paraId="7A1C1C9D" w14:textId="77777777" w:rsidR="006C5512" w:rsidRDefault="006C5512" w:rsidP="006C5512">
            <w:pPr>
              <w:rPr>
                <w:rFonts w:ascii="Times New Roman" w:hAnsi="Times New Roman" w:cs="Times New Roman"/>
              </w:rPr>
            </w:pPr>
            <w:r>
              <w:rPr>
                <w:rFonts w:ascii="Times New Roman" w:hAnsi="Times New Roman" w:cs="Times New Roman"/>
              </w:rPr>
              <w:t>Functional diversity</w:t>
            </w:r>
          </w:p>
        </w:tc>
        <w:tc>
          <w:tcPr>
            <w:tcW w:w="0" w:type="auto"/>
            <w:tcBorders>
              <w:bottom w:val="single" w:sz="4" w:space="0" w:color="auto"/>
            </w:tcBorders>
            <w:vAlign w:val="bottom"/>
          </w:tcPr>
          <w:p w14:paraId="2382B1BE" w14:textId="77777777" w:rsidR="006C5512" w:rsidRDefault="006C5512" w:rsidP="006C5512">
            <w:pPr>
              <w:rPr>
                <w:rFonts w:ascii="Times New Roman" w:hAnsi="Times New Roman" w:cs="Times New Roman"/>
                <w:color w:val="000000"/>
              </w:rPr>
            </w:pPr>
            <w:r>
              <w:rPr>
                <w:rFonts w:ascii="Times New Roman" w:hAnsi="Times New Roman" w:cs="Times New Roman"/>
                <w:color w:val="000000"/>
              </w:rPr>
              <w:t>Free-flowing area</w:t>
            </w:r>
          </w:p>
        </w:tc>
        <w:tc>
          <w:tcPr>
            <w:tcW w:w="0" w:type="auto"/>
            <w:tcBorders>
              <w:bottom w:val="single" w:sz="4" w:space="0" w:color="auto"/>
            </w:tcBorders>
            <w:vAlign w:val="bottom"/>
          </w:tcPr>
          <w:p w14:paraId="67E97F7E"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0.01</w:t>
            </w:r>
          </w:p>
        </w:tc>
        <w:tc>
          <w:tcPr>
            <w:tcW w:w="0" w:type="auto"/>
            <w:tcBorders>
              <w:bottom w:val="single" w:sz="4" w:space="0" w:color="auto"/>
            </w:tcBorders>
            <w:vAlign w:val="bottom"/>
          </w:tcPr>
          <w:p w14:paraId="03CCEAD4" w14:textId="77777777" w:rsidR="006C5512" w:rsidRPr="00AE6E64" w:rsidRDefault="006C5512" w:rsidP="006C5512">
            <w:pPr>
              <w:jc w:val="right"/>
              <w:rPr>
                <w:rFonts w:ascii="Times New Roman" w:hAnsi="Times New Roman" w:cs="Times New Roman"/>
                <w:color w:val="000000"/>
              </w:rPr>
            </w:pPr>
            <w:r w:rsidRPr="00AE6E64">
              <w:rPr>
                <w:rFonts w:ascii="Times New Roman" w:hAnsi="Times New Roman" w:cs="Times New Roman"/>
                <w:color w:val="000000"/>
              </w:rPr>
              <w:t>0.29</w:t>
            </w:r>
          </w:p>
        </w:tc>
        <w:tc>
          <w:tcPr>
            <w:tcW w:w="0" w:type="auto"/>
            <w:tcBorders>
              <w:bottom w:val="single" w:sz="4" w:space="0" w:color="auto"/>
            </w:tcBorders>
            <w:vAlign w:val="bottom"/>
          </w:tcPr>
          <w:p w14:paraId="675989A0" w14:textId="77777777" w:rsidR="006C5512" w:rsidRPr="00D073DB" w:rsidRDefault="006C5512" w:rsidP="006C5512">
            <w:pPr>
              <w:jc w:val="right"/>
              <w:rPr>
                <w:rFonts w:ascii="Times New Roman" w:hAnsi="Times New Roman" w:cs="Times New Roman"/>
                <w:color w:val="000000"/>
              </w:rPr>
            </w:pPr>
            <w:r>
              <w:rPr>
                <w:rFonts w:ascii="Times New Roman" w:hAnsi="Times New Roman" w:cs="Times New Roman"/>
                <w:color w:val="000000"/>
              </w:rPr>
              <w:t>0.770</w:t>
            </w:r>
          </w:p>
        </w:tc>
      </w:tr>
    </w:tbl>
    <w:p w14:paraId="115D9B21" w14:textId="413B5D7A" w:rsidR="00330927" w:rsidRDefault="00330927">
      <w:pPr>
        <w:rPr>
          <w:rFonts w:ascii="Times New Roman" w:hAnsi="Times New Roman" w:cs="Times New Roman"/>
        </w:rPr>
      </w:pPr>
      <w:r>
        <w:rPr>
          <w:rFonts w:ascii="Times New Roman" w:hAnsi="Times New Roman" w:cs="Times New Roman"/>
        </w:rPr>
        <w:br w:type="page"/>
      </w:r>
    </w:p>
    <w:p w14:paraId="1D7DDDAD" w14:textId="6C15A2A9" w:rsidR="006C5512" w:rsidRPr="00F20D42" w:rsidRDefault="000B2B3A" w:rsidP="00123540">
      <w:pPr>
        <w:jc w:val="both"/>
        <w:rPr>
          <w:rFonts w:ascii="Times New Roman" w:hAnsi="Times New Roman" w:cs="Times New Roman"/>
        </w:rPr>
      </w:pPr>
      <w:bookmarkStart w:id="60" w:name="_Toc93411179"/>
      <w:r w:rsidRPr="000B2B3A">
        <w:rPr>
          <w:rFonts w:ascii="Times New Roman" w:hAnsi="Times New Roman" w:cs="Times New Roman"/>
          <w:b/>
          <w:bCs/>
        </w:rPr>
        <w:lastRenderedPageBreak/>
        <w:t xml:space="preserve">Table </w:t>
      </w:r>
      <w:r w:rsidRPr="000B2B3A">
        <w:rPr>
          <w:rFonts w:ascii="Times New Roman" w:hAnsi="Times New Roman" w:cs="Times New Roman"/>
          <w:b/>
          <w:bCs/>
        </w:rPr>
        <w:fldChar w:fldCharType="begin"/>
      </w:r>
      <w:r w:rsidRPr="000B2B3A">
        <w:rPr>
          <w:rFonts w:ascii="Times New Roman" w:hAnsi="Times New Roman" w:cs="Times New Roman"/>
          <w:b/>
          <w:bCs/>
        </w:rPr>
        <w:instrText xml:space="preserve"> SEQ Table \* ARABIC </w:instrText>
      </w:r>
      <w:r w:rsidRPr="000B2B3A">
        <w:rPr>
          <w:rFonts w:ascii="Times New Roman" w:hAnsi="Times New Roman" w:cs="Times New Roman"/>
          <w:b/>
          <w:bCs/>
        </w:rPr>
        <w:fldChar w:fldCharType="separate"/>
      </w:r>
      <w:r w:rsidRPr="000B2B3A">
        <w:rPr>
          <w:rFonts w:ascii="Times New Roman" w:hAnsi="Times New Roman" w:cs="Times New Roman"/>
          <w:b/>
          <w:bCs/>
          <w:noProof/>
        </w:rPr>
        <w:t>8</w:t>
      </w:r>
      <w:r w:rsidRPr="000B2B3A">
        <w:rPr>
          <w:rFonts w:ascii="Times New Roman" w:hAnsi="Times New Roman" w:cs="Times New Roman"/>
          <w:b/>
          <w:bCs/>
        </w:rPr>
        <w:fldChar w:fldCharType="end"/>
      </w:r>
      <w:r w:rsidRPr="00DF7C87">
        <w:rPr>
          <w:rFonts w:ascii="Times New Roman" w:hAnsi="Times New Roman" w:cs="Times New Roman"/>
        </w:rPr>
        <w:t xml:space="preserve">. </w:t>
      </w:r>
      <w:r w:rsidR="00E04D9F" w:rsidRPr="00E04D9F">
        <w:rPr>
          <w:rFonts w:ascii="Times New Roman" w:hAnsi="Times New Roman" w:cs="Times New Roman"/>
          <w:b/>
          <w:bCs/>
        </w:rPr>
        <w:t>Path coefficients from the full (all predictor variables) model predicting biomass, species richness, and functional diversity as a function of environmental predictor variables, using sampling year as a covariate.</w:t>
      </w:r>
      <w:r w:rsidR="00E04D9F">
        <w:rPr>
          <w:rFonts w:ascii="Times New Roman" w:hAnsi="Times New Roman" w:cs="Times New Roman"/>
        </w:rPr>
        <w:t xml:space="preserve"> Shown are piecewise path coefficients, </w:t>
      </w:r>
      <w:r w:rsidR="00E04D9F" w:rsidRPr="002651C5">
        <w:rPr>
          <w:rFonts w:ascii="Times New Roman" w:hAnsi="Times New Roman" w:cs="Times New Roman"/>
          <w:i/>
        </w:rPr>
        <w:t>t</w:t>
      </w:r>
      <w:r w:rsidR="00E04D9F">
        <w:rPr>
          <w:rFonts w:ascii="Times New Roman" w:hAnsi="Times New Roman" w:cs="Times New Roman"/>
        </w:rPr>
        <w:t xml:space="preserve">-values, and </w:t>
      </w:r>
      <w:r w:rsidR="00E04D9F" w:rsidRPr="002651C5">
        <w:rPr>
          <w:rFonts w:ascii="Times New Roman" w:hAnsi="Times New Roman" w:cs="Times New Roman"/>
          <w:i/>
        </w:rPr>
        <w:t>p</w:t>
      </w:r>
      <w:r w:rsidR="00E04D9F">
        <w:rPr>
          <w:rFonts w:ascii="Times New Roman" w:hAnsi="Times New Roman" w:cs="Times New Roman"/>
        </w:rPr>
        <w:t>-values. All coefficients (estimates) are fixed effects from linear mixed models as described in the main text.</w:t>
      </w:r>
      <w:bookmarkEnd w:id="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1336"/>
        <w:gridCol w:w="756"/>
        <w:gridCol w:w="1003"/>
      </w:tblGrid>
      <w:tr w:rsidR="006C5512" w:rsidRPr="00F20D42" w14:paraId="0173CA0B" w14:textId="77777777" w:rsidTr="00123540">
        <w:trPr>
          <w:jc w:val="center"/>
        </w:trPr>
        <w:tc>
          <w:tcPr>
            <w:tcW w:w="0" w:type="auto"/>
            <w:tcBorders>
              <w:top w:val="single" w:sz="4" w:space="0" w:color="auto"/>
              <w:bottom w:val="single" w:sz="4" w:space="0" w:color="auto"/>
            </w:tcBorders>
          </w:tcPr>
          <w:p w14:paraId="2CDEC86A" w14:textId="77777777" w:rsidR="006C5512" w:rsidRPr="00F20D42" w:rsidRDefault="006C5512" w:rsidP="006C5512">
            <w:pPr>
              <w:rPr>
                <w:rFonts w:ascii="Times New Roman" w:hAnsi="Times New Roman" w:cs="Times New Roman"/>
                <w:b/>
                <w:bCs/>
                <w:color w:val="000000" w:themeColor="text1"/>
              </w:rPr>
            </w:pPr>
            <w:r w:rsidRPr="00F20D42">
              <w:rPr>
                <w:rFonts w:ascii="Times New Roman" w:hAnsi="Times New Roman" w:cs="Times New Roman"/>
                <w:b/>
                <w:bCs/>
                <w:color w:val="000000" w:themeColor="text1"/>
              </w:rPr>
              <w:t>Predictor</w:t>
            </w:r>
          </w:p>
        </w:tc>
        <w:tc>
          <w:tcPr>
            <w:tcW w:w="0" w:type="auto"/>
            <w:tcBorders>
              <w:top w:val="single" w:sz="4" w:space="0" w:color="auto"/>
              <w:bottom w:val="single" w:sz="4" w:space="0" w:color="auto"/>
            </w:tcBorders>
          </w:tcPr>
          <w:p w14:paraId="79BB52F6" w14:textId="77777777" w:rsidR="006C5512" w:rsidRPr="00F20D42" w:rsidRDefault="006C5512" w:rsidP="006C5512">
            <w:pPr>
              <w:jc w:val="center"/>
              <w:rPr>
                <w:rFonts w:ascii="Times New Roman" w:hAnsi="Times New Roman" w:cs="Times New Roman"/>
                <w:b/>
                <w:bCs/>
                <w:color w:val="000000" w:themeColor="text1"/>
              </w:rPr>
            </w:pPr>
            <w:r w:rsidRPr="00F20D42">
              <w:rPr>
                <w:rFonts w:ascii="Times New Roman" w:hAnsi="Times New Roman" w:cs="Times New Roman"/>
                <w:b/>
                <w:bCs/>
                <w:color w:val="000000" w:themeColor="text1"/>
              </w:rPr>
              <w:t>Coefficient</w:t>
            </w:r>
          </w:p>
        </w:tc>
        <w:tc>
          <w:tcPr>
            <w:tcW w:w="0" w:type="auto"/>
            <w:tcBorders>
              <w:top w:val="single" w:sz="4" w:space="0" w:color="auto"/>
              <w:bottom w:val="single" w:sz="4" w:space="0" w:color="auto"/>
            </w:tcBorders>
          </w:tcPr>
          <w:p w14:paraId="226A9A02" w14:textId="77777777" w:rsidR="006C5512" w:rsidRPr="00F20D42" w:rsidRDefault="006C5512" w:rsidP="006C5512">
            <w:pPr>
              <w:jc w:val="center"/>
              <w:rPr>
                <w:rFonts w:ascii="Times New Roman" w:hAnsi="Times New Roman" w:cs="Times New Roman"/>
                <w:b/>
                <w:bCs/>
                <w:color w:val="000000" w:themeColor="text1"/>
              </w:rPr>
            </w:pPr>
            <w:r w:rsidRPr="00F20D42">
              <w:rPr>
                <w:rFonts w:ascii="Times New Roman" w:hAnsi="Times New Roman" w:cs="Times New Roman"/>
                <w:b/>
                <w:bCs/>
                <w:color w:val="000000" w:themeColor="text1"/>
              </w:rPr>
              <w:t>|</w:t>
            </w:r>
            <w:r w:rsidRPr="007F5ABE">
              <w:rPr>
                <w:rFonts w:ascii="Times New Roman" w:hAnsi="Times New Roman" w:cs="Times New Roman"/>
                <w:b/>
                <w:bCs/>
                <w:i/>
                <w:iCs/>
                <w:color w:val="000000" w:themeColor="text1"/>
              </w:rPr>
              <w:t>t</w:t>
            </w:r>
            <w:r w:rsidRPr="00F20D42">
              <w:rPr>
                <w:rFonts w:ascii="Times New Roman" w:hAnsi="Times New Roman" w:cs="Times New Roman"/>
                <w:b/>
                <w:bCs/>
                <w:color w:val="000000" w:themeColor="text1"/>
              </w:rPr>
              <w:t>|</w:t>
            </w:r>
          </w:p>
        </w:tc>
        <w:tc>
          <w:tcPr>
            <w:tcW w:w="0" w:type="auto"/>
            <w:tcBorders>
              <w:top w:val="single" w:sz="4" w:space="0" w:color="auto"/>
              <w:bottom w:val="single" w:sz="4" w:space="0" w:color="auto"/>
            </w:tcBorders>
          </w:tcPr>
          <w:p w14:paraId="6EA31544" w14:textId="77777777" w:rsidR="006C5512" w:rsidRPr="00F20D42" w:rsidRDefault="006C5512" w:rsidP="006C5512">
            <w:pPr>
              <w:jc w:val="center"/>
              <w:rPr>
                <w:rFonts w:ascii="Times New Roman" w:hAnsi="Times New Roman" w:cs="Times New Roman"/>
                <w:b/>
                <w:bCs/>
                <w:color w:val="000000" w:themeColor="text1"/>
              </w:rPr>
            </w:pPr>
            <w:r w:rsidRPr="007F5ABE">
              <w:rPr>
                <w:rFonts w:ascii="Times New Roman" w:hAnsi="Times New Roman" w:cs="Times New Roman"/>
                <w:b/>
                <w:bCs/>
                <w:i/>
                <w:iCs/>
                <w:color w:val="000000" w:themeColor="text1"/>
              </w:rPr>
              <w:t>p</w:t>
            </w:r>
            <w:r w:rsidRPr="00F20D42">
              <w:rPr>
                <w:rFonts w:ascii="Times New Roman" w:hAnsi="Times New Roman" w:cs="Times New Roman"/>
                <w:b/>
                <w:bCs/>
                <w:color w:val="000000" w:themeColor="text1"/>
              </w:rPr>
              <w:t>–value</w:t>
            </w:r>
          </w:p>
        </w:tc>
      </w:tr>
      <w:tr w:rsidR="006C5512" w:rsidRPr="00F20D42" w14:paraId="1AD12F9F" w14:textId="77777777" w:rsidTr="00123540">
        <w:trPr>
          <w:jc w:val="center"/>
        </w:trPr>
        <w:tc>
          <w:tcPr>
            <w:tcW w:w="0" w:type="auto"/>
            <w:tcBorders>
              <w:top w:val="single" w:sz="4" w:space="0" w:color="auto"/>
            </w:tcBorders>
            <w:vAlign w:val="bottom"/>
          </w:tcPr>
          <w:p w14:paraId="521AB0AE"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Species richness</w:t>
            </w:r>
          </w:p>
        </w:tc>
        <w:tc>
          <w:tcPr>
            <w:tcW w:w="0" w:type="auto"/>
            <w:tcBorders>
              <w:top w:val="single" w:sz="4" w:space="0" w:color="auto"/>
            </w:tcBorders>
            <w:vAlign w:val="bottom"/>
          </w:tcPr>
          <w:p w14:paraId="64F8F540"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0.35</w:t>
            </w:r>
          </w:p>
        </w:tc>
        <w:tc>
          <w:tcPr>
            <w:tcW w:w="0" w:type="auto"/>
            <w:tcBorders>
              <w:top w:val="single" w:sz="4" w:space="0" w:color="auto"/>
            </w:tcBorders>
            <w:vAlign w:val="bottom"/>
          </w:tcPr>
          <w:p w14:paraId="3DE58F1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9.84</w:t>
            </w:r>
          </w:p>
        </w:tc>
        <w:tc>
          <w:tcPr>
            <w:tcW w:w="0" w:type="auto"/>
            <w:tcBorders>
              <w:top w:val="single" w:sz="4" w:space="0" w:color="auto"/>
            </w:tcBorders>
            <w:vAlign w:val="bottom"/>
          </w:tcPr>
          <w:p w14:paraId="2AAF1BF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&lt; 0.001</w:t>
            </w:r>
          </w:p>
        </w:tc>
      </w:tr>
      <w:tr w:rsidR="006C5512" w:rsidRPr="00F20D42" w14:paraId="6F2CEB7A" w14:textId="77777777" w:rsidTr="00123540">
        <w:trPr>
          <w:jc w:val="center"/>
        </w:trPr>
        <w:tc>
          <w:tcPr>
            <w:tcW w:w="0" w:type="auto"/>
            <w:vAlign w:val="bottom"/>
          </w:tcPr>
          <w:p w14:paraId="661CAC85"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Functional diversity</w:t>
            </w:r>
          </w:p>
        </w:tc>
        <w:tc>
          <w:tcPr>
            <w:tcW w:w="0" w:type="auto"/>
            <w:vAlign w:val="bottom"/>
          </w:tcPr>
          <w:p w14:paraId="7513484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0.09</w:t>
            </w:r>
          </w:p>
        </w:tc>
        <w:tc>
          <w:tcPr>
            <w:tcW w:w="0" w:type="auto"/>
            <w:vAlign w:val="bottom"/>
          </w:tcPr>
          <w:p w14:paraId="7FC89D1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4.08</w:t>
            </w:r>
          </w:p>
        </w:tc>
        <w:tc>
          <w:tcPr>
            <w:tcW w:w="0" w:type="auto"/>
          </w:tcPr>
          <w:p w14:paraId="4E3F585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&lt; 0.001</w:t>
            </w:r>
          </w:p>
        </w:tc>
      </w:tr>
      <w:tr w:rsidR="006C5512" w:rsidRPr="00F20D42" w14:paraId="5A02C385" w14:textId="77777777" w:rsidTr="00123540">
        <w:trPr>
          <w:jc w:val="center"/>
        </w:trPr>
        <w:tc>
          <w:tcPr>
            <w:tcW w:w="0" w:type="auto"/>
            <w:vAlign w:val="bottom"/>
          </w:tcPr>
          <w:p w14:paraId="29529A69"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Sampled area</w:t>
            </w:r>
          </w:p>
        </w:tc>
        <w:tc>
          <w:tcPr>
            <w:tcW w:w="0" w:type="auto"/>
            <w:vAlign w:val="bottom"/>
          </w:tcPr>
          <w:p w14:paraId="60FA87F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0.52</w:t>
            </w:r>
          </w:p>
        </w:tc>
        <w:tc>
          <w:tcPr>
            <w:tcW w:w="0" w:type="auto"/>
            <w:vAlign w:val="bottom"/>
          </w:tcPr>
          <w:p w14:paraId="063FA03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22.56</w:t>
            </w:r>
          </w:p>
        </w:tc>
        <w:tc>
          <w:tcPr>
            <w:tcW w:w="0" w:type="auto"/>
          </w:tcPr>
          <w:p w14:paraId="51F25DB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&lt; 0.001</w:t>
            </w:r>
          </w:p>
        </w:tc>
      </w:tr>
      <w:tr w:rsidR="006C5512" w:rsidRPr="00F20D42" w14:paraId="18F2E9E9" w14:textId="77777777" w:rsidTr="00123540">
        <w:trPr>
          <w:jc w:val="center"/>
        </w:trPr>
        <w:tc>
          <w:tcPr>
            <w:tcW w:w="0" w:type="auto"/>
            <w:vAlign w:val="bottom"/>
          </w:tcPr>
          <w:p w14:paraId="3713B76F"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Temperature</w:t>
            </w:r>
          </w:p>
        </w:tc>
        <w:tc>
          <w:tcPr>
            <w:tcW w:w="0" w:type="auto"/>
            <w:vAlign w:val="bottom"/>
          </w:tcPr>
          <w:p w14:paraId="0A70E94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-0.07</w:t>
            </w:r>
          </w:p>
        </w:tc>
        <w:tc>
          <w:tcPr>
            <w:tcW w:w="0" w:type="auto"/>
            <w:vAlign w:val="bottom"/>
          </w:tcPr>
          <w:p w14:paraId="28B30FD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2.65</w:t>
            </w:r>
          </w:p>
        </w:tc>
        <w:tc>
          <w:tcPr>
            <w:tcW w:w="0" w:type="auto"/>
            <w:vAlign w:val="bottom"/>
          </w:tcPr>
          <w:p w14:paraId="78741913"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0.009</w:t>
            </w:r>
          </w:p>
        </w:tc>
      </w:tr>
      <w:tr w:rsidR="006C5512" w:rsidRPr="00F20D42" w14:paraId="3EBA6C9C" w14:textId="77777777" w:rsidTr="00123540">
        <w:trPr>
          <w:jc w:val="center"/>
        </w:trPr>
        <w:tc>
          <w:tcPr>
            <w:tcW w:w="0" w:type="auto"/>
            <w:vAlign w:val="bottom"/>
          </w:tcPr>
          <w:p w14:paraId="3A045ACC"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Precipitation</w:t>
            </w:r>
          </w:p>
        </w:tc>
        <w:tc>
          <w:tcPr>
            <w:tcW w:w="0" w:type="auto"/>
            <w:vAlign w:val="bottom"/>
          </w:tcPr>
          <w:p w14:paraId="541C2511"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0.11</w:t>
            </w:r>
          </w:p>
        </w:tc>
        <w:tc>
          <w:tcPr>
            <w:tcW w:w="0" w:type="auto"/>
            <w:vAlign w:val="bottom"/>
          </w:tcPr>
          <w:p w14:paraId="56C6D8A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4.20</w:t>
            </w:r>
          </w:p>
        </w:tc>
        <w:tc>
          <w:tcPr>
            <w:tcW w:w="0" w:type="auto"/>
            <w:vAlign w:val="bottom"/>
          </w:tcPr>
          <w:p w14:paraId="2572C348"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&lt; 0.001</w:t>
            </w:r>
          </w:p>
        </w:tc>
      </w:tr>
      <w:tr w:rsidR="006C5512" w:rsidRPr="00F20D42" w14:paraId="6DF2E90A" w14:textId="77777777" w:rsidTr="00123540">
        <w:trPr>
          <w:jc w:val="center"/>
        </w:trPr>
        <w:tc>
          <w:tcPr>
            <w:tcW w:w="0" w:type="auto"/>
            <w:vAlign w:val="bottom"/>
          </w:tcPr>
          <w:p w14:paraId="10E57324"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Human impact</w:t>
            </w:r>
          </w:p>
        </w:tc>
        <w:tc>
          <w:tcPr>
            <w:tcW w:w="0" w:type="auto"/>
            <w:vAlign w:val="bottom"/>
          </w:tcPr>
          <w:p w14:paraId="4D7EF71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0.06</w:t>
            </w:r>
          </w:p>
        </w:tc>
        <w:tc>
          <w:tcPr>
            <w:tcW w:w="0" w:type="auto"/>
            <w:vAlign w:val="bottom"/>
          </w:tcPr>
          <w:p w14:paraId="1AD9B3A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3.23</w:t>
            </w:r>
          </w:p>
        </w:tc>
        <w:tc>
          <w:tcPr>
            <w:tcW w:w="0" w:type="auto"/>
            <w:vAlign w:val="bottom"/>
          </w:tcPr>
          <w:p w14:paraId="2CCDCB0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0.001</w:t>
            </w:r>
          </w:p>
        </w:tc>
      </w:tr>
      <w:tr w:rsidR="006C5512" w:rsidRPr="00F20D42" w14:paraId="07115974" w14:textId="77777777" w:rsidTr="00123540">
        <w:trPr>
          <w:jc w:val="center"/>
        </w:trPr>
        <w:tc>
          <w:tcPr>
            <w:tcW w:w="0" w:type="auto"/>
            <w:vAlign w:val="bottom"/>
          </w:tcPr>
          <w:p w14:paraId="1AE31D7F"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Catchment area</w:t>
            </w:r>
          </w:p>
        </w:tc>
        <w:tc>
          <w:tcPr>
            <w:tcW w:w="0" w:type="auto"/>
            <w:vAlign w:val="bottom"/>
          </w:tcPr>
          <w:p w14:paraId="15EF442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0.01</w:t>
            </w:r>
          </w:p>
        </w:tc>
        <w:tc>
          <w:tcPr>
            <w:tcW w:w="0" w:type="auto"/>
            <w:vAlign w:val="bottom"/>
          </w:tcPr>
          <w:p w14:paraId="1716CD7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0.24</w:t>
            </w:r>
          </w:p>
        </w:tc>
        <w:tc>
          <w:tcPr>
            <w:tcW w:w="0" w:type="auto"/>
            <w:vAlign w:val="bottom"/>
          </w:tcPr>
          <w:p w14:paraId="60D5D9C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0.813</w:t>
            </w:r>
          </w:p>
        </w:tc>
      </w:tr>
      <w:tr w:rsidR="006C5512" w:rsidRPr="00F20D42" w14:paraId="66D10060" w14:textId="77777777" w:rsidTr="00123540">
        <w:trPr>
          <w:jc w:val="center"/>
        </w:trPr>
        <w:tc>
          <w:tcPr>
            <w:tcW w:w="0" w:type="auto"/>
            <w:vAlign w:val="bottom"/>
          </w:tcPr>
          <w:p w14:paraId="3FA171A9"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Slope</w:t>
            </w:r>
          </w:p>
        </w:tc>
        <w:tc>
          <w:tcPr>
            <w:tcW w:w="0" w:type="auto"/>
            <w:vAlign w:val="bottom"/>
          </w:tcPr>
          <w:p w14:paraId="2F9234E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-0.02</w:t>
            </w:r>
          </w:p>
        </w:tc>
        <w:tc>
          <w:tcPr>
            <w:tcW w:w="0" w:type="auto"/>
            <w:vAlign w:val="bottom"/>
          </w:tcPr>
          <w:p w14:paraId="1704CAA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1.00</w:t>
            </w:r>
          </w:p>
        </w:tc>
        <w:tc>
          <w:tcPr>
            <w:tcW w:w="0" w:type="auto"/>
            <w:vAlign w:val="bottom"/>
          </w:tcPr>
          <w:p w14:paraId="2DDF33BF"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0.319</w:t>
            </w:r>
          </w:p>
        </w:tc>
      </w:tr>
      <w:tr w:rsidR="006C5512" w:rsidRPr="00F20D42" w14:paraId="6982B267" w14:textId="77777777" w:rsidTr="00123540">
        <w:trPr>
          <w:jc w:val="center"/>
        </w:trPr>
        <w:tc>
          <w:tcPr>
            <w:tcW w:w="0" w:type="auto"/>
            <w:vAlign w:val="bottom"/>
          </w:tcPr>
          <w:p w14:paraId="7B08427B"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Free-flowing area</w:t>
            </w:r>
          </w:p>
        </w:tc>
        <w:tc>
          <w:tcPr>
            <w:tcW w:w="0" w:type="auto"/>
            <w:vAlign w:val="bottom"/>
          </w:tcPr>
          <w:p w14:paraId="06EB6033"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-0.02</w:t>
            </w:r>
          </w:p>
        </w:tc>
        <w:tc>
          <w:tcPr>
            <w:tcW w:w="0" w:type="auto"/>
            <w:vAlign w:val="bottom"/>
          </w:tcPr>
          <w:p w14:paraId="0ED62D3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0.94</w:t>
            </w:r>
          </w:p>
        </w:tc>
        <w:tc>
          <w:tcPr>
            <w:tcW w:w="0" w:type="auto"/>
            <w:vAlign w:val="bottom"/>
          </w:tcPr>
          <w:p w14:paraId="499162A8"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0.346</w:t>
            </w:r>
          </w:p>
        </w:tc>
      </w:tr>
      <w:tr w:rsidR="006C5512" w:rsidRPr="00F20D42" w14:paraId="1D79CF91" w14:textId="77777777" w:rsidTr="00123540">
        <w:trPr>
          <w:jc w:val="center"/>
        </w:trPr>
        <w:tc>
          <w:tcPr>
            <w:tcW w:w="0" w:type="auto"/>
            <w:vAlign w:val="bottom"/>
          </w:tcPr>
          <w:p w14:paraId="5602FE6C"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year1993</w:t>
            </w:r>
          </w:p>
        </w:tc>
        <w:tc>
          <w:tcPr>
            <w:tcW w:w="0" w:type="auto"/>
            <w:vAlign w:val="bottom"/>
          </w:tcPr>
          <w:p w14:paraId="4BE74961"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0.01</w:t>
            </w:r>
          </w:p>
        </w:tc>
        <w:tc>
          <w:tcPr>
            <w:tcW w:w="0" w:type="auto"/>
            <w:vAlign w:val="bottom"/>
          </w:tcPr>
          <w:p w14:paraId="02F6E768"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0.08</w:t>
            </w:r>
          </w:p>
        </w:tc>
        <w:tc>
          <w:tcPr>
            <w:tcW w:w="0" w:type="auto"/>
            <w:vAlign w:val="bottom"/>
          </w:tcPr>
          <w:p w14:paraId="55183A1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0.939</w:t>
            </w:r>
          </w:p>
        </w:tc>
      </w:tr>
      <w:tr w:rsidR="006C5512" w:rsidRPr="00F20D42" w14:paraId="57249518" w14:textId="77777777" w:rsidTr="00123540">
        <w:trPr>
          <w:jc w:val="center"/>
        </w:trPr>
        <w:tc>
          <w:tcPr>
            <w:tcW w:w="0" w:type="auto"/>
            <w:vAlign w:val="bottom"/>
          </w:tcPr>
          <w:p w14:paraId="651CA92B"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year1994</w:t>
            </w:r>
          </w:p>
        </w:tc>
        <w:tc>
          <w:tcPr>
            <w:tcW w:w="0" w:type="auto"/>
            <w:vAlign w:val="bottom"/>
          </w:tcPr>
          <w:p w14:paraId="1792B901"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0.09</w:t>
            </w:r>
          </w:p>
        </w:tc>
        <w:tc>
          <w:tcPr>
            <w:tcW w:w="0" w:type="auto"/>
            <w:vAlign w:val="bottom"/>
          </w:tcPr>
          <w:p w14:paraId="72D021C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0.56</w:t>
            </w:r>
          </w:p>
        </w:tc>
        <w:tc>
          <w:tcPr>
            <w:tcW w:w="0" w:type="auto"/>
            <w:vAlign w:val="bottom"/>
          </w:tcPr>
          <w:p w14:paraId="35AD5F0F"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0.576</w:t>
            </w:r>
          </w:p>
        </w:tc>
      </w:tr>
      <w:tr w:rsidR="006C5512" w:rsidRPr="00F20D42" w14:paraId="4AF9E67E" w14:textId="77777777" w:rsidTr="00123540">
        <w:trPr>
          <w:jc w:val="center"/>
        </w:trPr>
        <w:tc>
          <w:tcPr>
            <w:tcW w:w="0" w:type="auto"/>
            <w:vAlign w:val="bottom"/>
          </w:tcPr>
          <w:p w14:paraId="3178A0F9"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year1995</w:t>
            </w:r>
          </w:p>
        </w:tc>
        <w:tc>
          <w:tcPr>
            <w:tcW w:w="0" w:type="auto"/>
            <w:vAlign w:val="bottom"/>
          </w:tcPr>
          <w:p w14:paraId="7BC42F78"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-0.05</w:t>
            </w:r>
          </w:p>
        </w:tc>
        <w:tc>
          <w:tcPr>
            <w:tcW w:w="0" w:type="auto"/>
            <w:vAlign w:val="bottom"/>
          </w:tcPr>
          <w:p w14:paraId="305E059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0.44</w:t>
            </w:r>
          </w:p>
        </w:tc>
        <w:tc>
          <w:tcPr>
            <w:tcW w:w="0" w:type="auto"/>
            <w:vAlign w:val="bottom"/>
          </w:tcPr>
          <w:p w14:paraId="2208E9B1"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0.662</w:t>
            </w:r>
          </w:p>
        </w:tc>
      </w:tr>
      <w:tr w:rsidR="006C5512" w:rsidRPr="00F20D42" w14:paraId="59B04299" w14:textId="77777777" w:rsidTr="00123540">
        <w:trPr>
          <w:jc w:val="center"/>
        </w:trPr>
        <w:tc>
          <w:tcPr>
            <w:tcW w:w="0" w:type="auto"/>
            <w:vAlign w:val="bottom"/>
          </w:tcPr>
          <w:p w14:paraId="700C5CA4"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year1996</w:t>
            </w:r>
          </w:p>
        </w:tc>
        <w:tc>
          <w:tcPr>
            <w:tcW w:w="0" w:type="auto"/>
            <w:vAlign w:val="bottom"/>
          </w:tcPr>
          <w:p w14:paraId="254AFCD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-0.09</w:t>
            </w:r>
          </w:p>
        </w:tc>
        <w:tc>
          <w:tcPr>
            <w:tcW w:w="0" w:type="auto"/>
            <w:vAlign w:val="bottom"/>
          </w:tcPr>
          <w:p w14:paraId="48D3525F"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0.73</w:t>
            </w:r>
          </w:p>
        </w:tc>
        <w:tc>
          <w:tcPr>
            <w:tcW w:w="0" w:type="auto"/>
            <w:vAlign w:val="bottom"/>
          </w:tcPr>
          <w:p w14:paraId="6E0BE72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0.464</w:t>
            </w:r>
          </w:p>
        </w:tc>
      </w:tr>
      <w:tr w:rsidR="006C5512" w:rsidRPr="00F20D42" w14:paraId="1F083676" w14:textId="77777777" w:rsidTr="00123540">
        <w:trPr>
          <w:jc w:val="center"/>
        </w:trPr>
        <w:tc>
          <w:tcPr>
            <w:tcW w:w="0" w:type="auto"/>
            <w:vAlign w:val="bottom"/>
          </w:tcPr>
          <w:p w14:paraId="59F7C9A9"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year1997</w:t>
            </w:r>
          </w:p>
        </w:tc>
        <w:tc>
          <w:tcPr>
            <w:tcW w:w="0" w:type="auto"/>
            <w:vAlign w:val="bottom"/>
          </w:tcPr>
          <w:p w14:paraId="12004FAF"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-0.02</w:t>
            </w:r>
          </w:p>
        </w:tc>
        <w:tc>
          <w:tcPr>
            <w:tcW w:w="0" w:type="auto"/>
            <w:vAlign w:val="bottom"/>
          </w:tcPr>
          <w:p w14:paraId="30FDA6A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0.17</w:t>
            </w:r>
          </w:p>
        </w:tc>
        <w:tc>
          <w:tcPr>
            <w:tcW w:w="0" w:type="auto"/>
            <w:vAlign w:val="bottom"/>
          </w:tcPr>
          <w:p w14:paraId="0DEED904"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0.866</w:t>
            </w:r>
          </w:p>
        </w:tc>
      </w:tr>
      <w:tr w:rsidR="006C5512" w:rsidRPr="00F20D42" w14:paraId="0C05C2C9" w14:textId="77777777" w:rsidTr="00123540">
        <w:trPr>
          <w:jc w:val="center"/>
        </w:trPr>
        <w:tc>
          <w:tcPr>
            <w:tcW w:w="0" w:type="auto"/>
            <w:vAlign w:val="bottom"/>
          </w:tcPr>
          <w:p w14:paraId="191E15B3"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year1998</w:t>
            </w:r>
          </w:p>
        </w:tc>
        <w:tc>
          <w:tcPr>
            <w:tcW w:w="0" w:type="auto"/>
            <w:vAlign w:val="bottom"/>
          </w:tcPr>
          <w:p w14:paraId="32333CC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0.04</w:t>
            </w:r>
          </w:p>
        </w:tc>
        <w:tc>
          <w:tcPr>
            <w:tcW w:w="0" w:type="auto"/>
            <w:vAlign w:val="bottom"/>
          </w:tcPr>
          <w:p w14:paraId="72AFACC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0.35</w:t>
            </w:r>
          </w:p>
        </w:tc>
        <w:tc>
          <w:tcPr>
            <w:tcW w:w="0" w:type="auto"/>
            <w:vAlign w:val="bottom"/>
          </w:tcPr>
          <w:p w14:paraId="5885471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0.726</w:t>
            </w:r>
          </w:p>
        </w:tc>
      </w:tr>
      <w:tr w:rsidR="006C5512" w:rsidRPr="00F20D42" w14:paraId="53D9A60B" w14:textId="77777777" w:rsidTr="00123540">
        <w:trPr>
          <w:jc w:val="center"/>
        </w:trPr>
        <w:tc>
          <w:tcPr>
            <w:tcW w:w="0" w:type="auto"/>
            <w:vAlign w:val="bottom"/>
          </w:tcPr>
          <w:p w14:paraId="540E42AE"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year1999</w:t>
            </w:r>
          </w:p>
        </w:tc>
        <w:tc>
          <w:tcPr>
            <w:tcW w:w="0" w:type="auto"/>
            <w:vAlign w:val="bottom"/>
          </w:tcPr>
          <w:p w14:paraId="4220E6C0"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-0.13</w:t>
            </w:r>
          </w:p>
        </w:tc>
        <w:tc>
          <w:tcPr>
            <w:tcW w:w="0" w:type="auto"/>
            <w:vAlign w:val="bottom"/>
          </w:tcPr>
          <w:p w14:paraId="03412FE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1.15</w:t>
            </w:r>
          </w:p>
        </w:tc>
        <w:tc>
          <w:tcPr>
            <w:tcW w:w="0" w:type="auto"/>
            <w:vAlign w:val="bottom"/>
          </w:tcPr>
          <w:p w14:paraId="76D7E784"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0.249</w:t>
            </w:r>
          </w:p>
        </w:tc>
      </w:tr>
      <w:tr w:rsidR="006C5512" w:rsidRPr="00F20D42" w14:paraId="464671EF" w14:textId="77777777" w:rsidTr="00123540">
        <w:trPr>
          <w:jc w:val="center"/>
        </w:trPr>
        <w:tc>
          <w:tcPr>
            <w:tcW w:w="0" w:type="auto"/>
            <w:vAlign w:val="bottom"/>
          </w:tcPr>
          <w:p w14:paraId="5FC3E4E9"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year2000</w:t>
            </w:r>
          </w:p>
        </w:tc>
        <w:tc>
          <w:tcPr>
            <w:tcW w:w="0" w:type="auto"/>
            <w:vAlign w:val="bottom"/>
          </w:tcPr>
          <w:p w14:paraId="7931B494"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-0.17</w:t>
            </w:r>
          </w:p>
        </w:tc>
        <w:tc>
          <w:tcPr>
            <w:tcW w:w="0" w:type="auto"/>
            <w:vAlign w:val="bottom"/>
          </w:tcPr>
          <w:p w14:paraId="02E98E3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1.43</w:t>
            </w:r>
          </w:p>
        </w:tc>
        <w:tc>
          <w:tcPr>
            <w:tcW w:w="0" w:type="auto"/>
            <w:vAlign w:val="bottom"/>
          </w:tcPr>
          <w:p w14:paraId="5501EF4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0.154</w:t>
            </w:r>
          </w:p>
        </w:tc>
      </w:tr>
      <w:tr w:rsidR="006C5512" w:rsidRPr="00F20D42" w14:paraId="240BEF08" w14:textId="77777777" w:rsidTr="00123540">
        <w:trPr>
          <w:jc w:val="center"/>
        </w:trPr>
        <w:tc>
          <w:tcPr>
            <w:tcW w:w="0" w:type="auto"/>
            <w:vAlign w:val="bottom"/>
          </w:tcPr>
          <w:p w14:paraId="178DAC34"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year2001</w:t>
            </w:r>
          </w:p>
        </w:tc>
        <w:tc>
          <w:tcPr>
            <w:tcW w:w="0" w:type="auto"/>
            <w:vAlign w:val="bottom"/>
          </w:tcPr>
          <w:p w14:paraId="3113FA38"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-0.16</w:t>
            </w:r>
          </w:p>
        </w:tc>
        <w:tc>
          <w:tcPr>
            <w:tcW w:w="0" w:type="auto"/>
            <w:vAlign w:val="bottom"/>
          </w:tcPr>
          <w:p w14:paraId="6672FA14"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1.32</w:t>
            </w:r>
          </w:p>
        </w:tc>
        <w:tc>
          <w:tcPr>
            <w:tcW w:w="0" w:type="auto"/>
            <w:vAlign w:val="bottom"/>
          </w:tcPr>
          <w:p w14:paraId="63F0B2E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0.187</w:t>
            </w:r>
          </w:p>
        </w:tc>
      </w:tr>
      <w:tr w:rsidR="006C5512" w:rsidRPr="00F20D42" w14:paraId="62D19DD1" w14:textId="77777777" w:rsidTr="00123540">
        <w:trPr>
          <w:jc w:val="center"/>
        </w:trPr>
        <w:tc>
          <w:tcPr>
            <w:tcW w:w="0" w:type="auto"/>
            <w:vAlign w:val="bottom"/>
          </w:tcPr>
          <w:p w14:paraId="78DDD8B3"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year2002</w:t>
            </w:r>
          </w:p>
        </w:tc>
        <w:tc>
          <w:tcPr>
            <w:tcW w:w="0" w:type="auto"/>
            <w:vAlign w:val="bottom"/>
          </w:tcPr>
          <w:p w14:paraId="71CF403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-0.09</w:t>
            </w:r>
          </w:p>
        </w:tc>
        <w:tc>
          <w:tcPr>
            <w:tcW w:w="0" w:type="auto"/>
            <w:vAlign w:val="bottom"/>
          </w:tcPr>
          <w:p w14:paraId="36DF5B1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0.83</w:t>
            </w:r>
          </w:p>
        </w:tc>
        <w:tc>
          <w:tcPr>
            <w:tcW w:w="0" w:type="auto"/>
            <w:vAlign w:val="bottom"/>
          </w:tcPr>
          <w:p w14:paraId="31B75F5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0.409</w:t>
            </w:r>
          </w:p>
        </w:tc>
      </w:tr>
      <w:tr w:rsidR="006C5512" w:rsidRPr="00F20D42" w14:paraId="3322BF68" w14:textId="77777777" w:rsidTr="00123540">
        <w:trPr>
          <w:jc w:val="center"/>
        </w:trPr>
        <w:tc>
          <w:tcPr>
            <w:tcW w:w="0" w:type="auto"/>
            <w:vAlign w:val="bottom"/>
          </w:tcPr>
          <w:p w14:paraId="1EA03584"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year2003</w:t>
            </w:r>
          </w:p>
        </w:tc>
        <w:tc>
          <w:tcPr>
            <w:tcW w:w="0" w:type="auto"/>
            <w:vAlign w:val="bottom"/>
          </w:tcPr>
          <w:p w14:paraId="0331D39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-0.18</w:t>
            </w:r>
          </w:p>
        </w:tc>
        <w:tc>
          <w:tcPr>
            <w:tcW w:w="0" w:type="auto"/>
            <w:vAlign w:val="bottom"/>
          </w:tcPr>
          <w:p w14:paraId="298ED1A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1.53</w:t>
            </w:r>
          </w:p>
        </w:tc>
        <w:tc>
          <w:tcPr>
            <w:tcW w:w="0" w:type="auto"/>
            <w:vAlign w:val="bottom"/>
          </w:tcPr>
          <w:p w14:paraId="670E857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0.127</w:t>
            </w:r>
          </w:p>
        </w:tc>
      </w:tr>
      <w:tr w:rsidR="006C5512" w:rsidRPr="00F20D42" w14:paraId="7653915A" w14:textId="77777777" w:rsidTr="00123540">
        <w:trPr>
          <w:jc w:val="center"/>
        </w:trPr>
        <w:tc>
          <w:tcPr>
            <w:tcW w:w="0" w:type="auto"/>
            <w:vAlign w:val="bottom"/>
          </w:tcPr>
          <w:p w14:paraId="5715D3D1"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year2004</w:t>
            </w:r>
          </w:p>
        </w:tc>
        <w:tc>
          <w:tcPr>
            <w:tcW w:w="0" w:type="auto"/>
            <w:vAlign w:val="bottom"/>
          </w:tcPr>
          <w:p w14:paraId="7B6BED5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-0.19</w:t>
            </w:r>
          </w:p>
        </w:tc>
        <w:tc>
          <w:tcPr>
            <w:tcW w:w="0" w:type="auto"/>
            <w:vAlign w:val="bottom"/>
          </w:tcPr>
          <w:p w14:paraId="767DECF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1.65</w:t>
            </w:r>
          </w:p>
        </w:tc>
        <w:tc>
          <w:tcPr>
            <w:tcW w:w="0" w:type="auto"/>
            <w:vAlign w:val="bottom"/>
          </w:tcPr>
          <w:p w14:paraId="57F8940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0.100</w:t>
            </w:r>
          </w:p>
        </w:tc>
      </w:tr>
      <w:tr w:rsidR="006C5512" w:rsidRPr="00F20D42" w14:paraId="0367C8E0" w14:textId="77777777" w:rsidTr="00123540">
        <w:trPr>
          <w:jc w:val="center"/>
        </w:trPr>
        <w:tc>
          <w:tcPr>
            <w:tcW w:w="0" w:type="auto"/>
            <w:vAlign w:val="bottom"/>
          </w:tcPr>
          <w:p w14:paraId="7EFC2E77"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year2005</w:t>
            </w:r>
          </w:p>
        </w:tc>
        <w:tc>
          <w:tcPr>
            <w:tcW w:w="0" w:type="auto"/>
            <w:vAlign w:val="bottom"/>
          </w:tcPr>
          <w:p w14:paraId="2B8F865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-0.20</w:t>
            </w:r>
          </w:p>
        </w:tc>
        <w:tc>
          <w:tcPr>
            <w:tcW w:w="0" w:type="auto"/>
            <w:vAlign w:val="bottom"/>
          </w:tcPr>
          <w:p w14:paraId="3C217BD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1.77</w:t>
            </w:r>
          </w:p>
        </w:tc>
        <w:tc>
          <w:tcPr>
            <w:tcW w:w="0" w:type="auto"/>
            <w:vAlign w:val="bottom"/>
          </w:tcPr>
          <w:p w14:paraId="6B99B954"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0.077</w:t>
            </w:r>
          </w:p>
        </w:tc>
      </w:tr>
      <w:tr w:rsidR="006C5512" w:rsidRPr="00F20D42" w14:paraId="3491976C" w14:textId="77777777" w:rsidTr="00123540">
        <w:trPr>
          <w:jc w:val="center"/>
        </w:trPr>
        <w:tc>
          <w:tcPr>
            <w:tcW w:w="0" w:type="auto"/>
            <w:vAlign w:val="bottom"/>
          </w:tcPr>
          <w:p w14:paraId="3F91E881"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year2006</w:t>
            </w:r>
          </w:p>
        </w:tc>
        <w:tc>
          <w:tcPr>
            <w:tcW w:w="0" w:type="auto"/>
            <w:vAlign w:val="bottom"/>
          </w:tcPr>
          <w:p w14:paraId="5B91805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-0.04</w:t>
            </w:r>
          </w:p>
        </w:tc>
        <w:tc>
          <w:tcPr>
            <w:tcW w:w="0" w:type="auto"/>
            <w:vAlign w:val="bottom"/>
          </w:tcPr>
          <w:p w14:paraId="77F67860"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0.41</w:t>
            </w:r>
          </w:p>
        </w:tc>
        <w:tc>
          <w:tcPr>
            <w:tcW w:w="0" w:type="auto"/>
            <w:vAlign w:val="bottom"/>
          </w:tcPr>
          <w:p w14:paraId="4575001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0.683</w:t>
            </w:r>
          </w:p>
        </w:tc>
      </w:tr>
      <w:tr w:rsidR="006C5512" w:rsidRPr="00F20D42" w14:paraId="28DE9D70" w14:textId="77777777" w:rsidTr="00123540">
        <w:trPr>
          <w:jc w:val="center"/>
        </w:trPr>
        <w:tc>
          <w:tcPr>
            <w:tcW w:w="0" w:type="auto"/>
            <w:vAlign w:val="bottom"/>
          </w:tcPr>
          <w:p w14:paraId="506AE9FE"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year2007</w:t>
            </w:r>
          </w:p>
        </w:tc>
        <w:tc>
          <w:tcPr>
            <w:tcW w:w="0" w:type="auto"/>
            <w:vAlign w:val="bottom"/>
          </w:tcPr>
          <w:p w14:paraId="309F945C"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0.11</w:t>
            </w:r>
          </w:p>
        </w:tc>
        <w:tc>
          <w:tcPr>
            <w:tcW w:w="0" w:type="auto"/>
            <w:vAlign w:val="bottom"/>
          </w:tcPr>
          <w:p w14:paraId="750B542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0.68</w:t>
            </w:r>
          </w:p>
        </w:tc>
        <w:tc>
          <w:tcPr>
            <w:tcW w:w="0" w:type="auto"/>
            <w:vAlign w:val="bottom"/>
          </w:tcPr>
          <w:p w14:paraId="4EA847FD"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0.499</w:t>
            </w:r>
          </w:p>
        </w:tc>
      </w:tr>
      <w:tr w:rsidR="006C5512" w:rsidRPr="00F20D42" w14:paraId="474FA02E" w14:textId="77777777" w:rsidTr="00123540">
        <w:trPr>
          <w:jc w:val="center"/>
        </w:trPr>
        <w:tc>
          <w:tcPr>
            <w:tcW w:w="0" w:type="auto"/>
            <w:vAlign w:val="bottom"/>
          </w:tcPr>
          <w:p w14:paraId="7F4A9412"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year2008</w:t>
            </w:r>
          </w:p>
        </w:tc>
        <w:tc>
          <w:tcPr>
            <w:tcW w:w="0" w:type="auto"/>
            <w:vAlign w:val="bottom"/>
          </w:tcPr>
          <w:p w14:paraId="6B1F7431"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-0.05</w:t>
            </w:r>
          </w:p>
        </w:tc>
        <w:tc>
          <w:tcPr>
            <w:tcW w:w="0" w:type="auto"/>
            <w:vAlign w:val="bottom"/>
          </w:tcPr>
          <w:p w14:paraId="30B96D2B"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0.36</w:t>
            </w:r>
          </w:p>
        </w:tc>
        <w:tc>
          <w:tcPr>
            <w:tcW w:w="0" w:type="auto"/>
            <w:vAlign w:val="bottom"/>
          </w:tcPr>
          <w:p w14:paraId="549DDDB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0.717</w:t>
            </w:r>
          </w:p>
        </w:tc>
      </w:tr>
      <w:tr w:rsidR="006C5512" w:rsidRPr="00F20D42" w14:paraId="2CE0A9DF" w14:textId="77777777" w:rsidTr="00123540">
        <w:trPr>
          <w:jc w:val="center"/>
        </w:trPr>
        <w:tc>
          <w:tcPr>
            <w:tcW w:w="0" w:type="auto"/>
            <w:vAlign w:val="bottom"/>
          </w:tcPr>
          <w:p w14:paraId="54C0D15D"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year2009</w:t>
            </w:r>
          </w:p>
        </w:tc>
        <w:tc>
          <w:tcPr>
            <w:tcW w:w="0" w:type="auto"/>
            <w:vAlign w:val="bottom"/>
          </w:tcPr>
          <w:p w14:paraId="042CAFA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-0.04</w:t>
            </w:r>
          </w:p>
        </w:tc>
        <w:tc>
          <w:tcPr>
            <w:tcW w:w="0" w:type="auto"/>
            <w:vAlign w:val="bottom"/>
          </w:tcPr>
          <w:p w14:paraId="415B95D3"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0.25</w:t>
            </w:r>
          </w:p>
        </w:tc>
        <w:tc>
          <w:tcPr>
            <w:tcW w:w="0" w:type="auto"/>
            <w:vAlign w:val="bottom"/>
          </w:tcPr>
          <w:p w14:paraId="718F98AA"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0.804</w:t>
            </w:r>
          </w:p>
        </w:tc>
      </w:tr>
      <w:tr w:rsidR="006C5512" w:rsidRPr="00F20D42" w14:paraId="52C1FB38" w14:textId="77777777" w:rsidTr="00123540">
        <w:trPr>
          <w:jc w:val="center"/>
        </w:trPr>
        <w:tc>
          <w:tcPr>
            <w:tcW w:w="0" w:type="auto"/>
            <w:vAlign w:val="bottom"/>
          </w:tcPr>
          <w:p w14:paraId="41E18A15"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year2010</w:t>
            </w:r>
          </w:p>
        </w:tc>
        <w:tc>
          <w:tcPr>
            <w:tcW w:w="0" w:type="auto"/>
            <w:vAlign w:val="bottom"/>
          </w:tcPr>
          <w:p w14:paraId="047B18B5"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-0.29</w:t>
            </w:r>
          </w:p>
        </w:tc>
        <w:tc>
          <w:tcPr>
            <w:tcW w:w="0" w:type="auto"/>
            <w:vAlign w:val="bottom"/>
          </w:tcPr>
          <w:p w14:paraId="016F796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1.15</w:t>
            </w:r>
          </w:p>
        </w:tc>
        <w:tc>
          <w:tcPr>
            <w:tcW w:w="0" w:type="auto"/>
            <w:vAlign w:val="bottom"/>
          </w:tcPr>
          <w:p w14:paraId="2C9106E3"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0.250</w:t>
            </w:r>
          </w:p>
        </w:tc>
      </w:tr>
      <w:tr w:rsidR="006C5512" w:rsidRPr="00F20D42" w14:paraId="63C60596" w14:textId="77777777" w:rsidTr="00123540">
        <w:trPr>
          <w:jc w:val="center"/>
        </w:trPr>
        <w:tc>
          <w:tcPr>
            <w:tcW w:w="0" w:type="auto"/>
            <w:vAlign w:val="bottom"/>
          </w:tcPr>
          <w:p w14:paraId="76CF86FE"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year2011</w:t>
            </w:r>
          </w:p>
        </w:tc>
        <w:tc>
          <w:tcPr>
            <w:tcW w:w="0" w:type="auto"/>
            <w:vAlign w:val="bottom"/>
          </w:tcPr>
          <w:p w14:paraId="127AB929"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-0.16</w:t>
            </w:r>
          </w:p>
        </w:tc>
        <w:tc>
          <w:tcPr>
            <w:tcW w:w="0" w:type="auto"/>
            <w:vAlign w:val="bottom"/>
          </w:tcPr>
          <w:p w14:paraId="091E092E"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1.15</w:t>
            </w:r>
          </w:p>
        </w:tc>
        <w:tc>
          <w:tcPr>
            <w:tcW w:w="0" w:type="auto"/>
            <w:vAlign w:val="bottom"/>
          </w:tcPr>
          <w:p w14:paraId="6052CE6D"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0.249</w:t>
            </w:r>
          </w:p>
        </w:tc>
      </w:tr>
      <w:tr w:rsidR="006C5512" w:rsidRPr="00F20D42" w14:paraId="5A9F833F" w14:textId="77777777" w:rsidTr="00123540">
        <w:trPr>
          <w:jc w:val="center"/>
        </w:trPr>
        <w:tc>
          <w:tcPr>
            <w:tcW w:w="0" w:type="auto"/>
            <w:tcBorders>
              <w:bottom w:val="single" w:sz="4" w:space="0" w:color="auto"/>
            </w:tcBorders>
            <w:vAlign w:val="bottom"/>
          </w:tcPr>
          <w:p w14:paraId="3ED12B1A" w14:textId="77777777" w:rsidR="006C5512" w:rsidRPr="00F20D42" w:rsidRDefault="006C5512" w:rsidP="006C5512">
            <w:pPr>
              <w:rPr>
                <w:rFonts w:ascii="Times New Roman" w:hAnsi="Times New Roman" w:cs="Times New Roman"/>
                <w:color w:val="000000" w:themeColor="text1"/>
              </w:rPr>
            </w:pPr>
            <w:r w:rsidRPr="00F20D42">
              <w:rPr>
                <w:rFonts w:ascii="Times New Roman" w:hAnsi="Times New Roman" w:cs="Times New Roman"/>
                <w:color w:val="000000" w:themeColor="text1"/>
              </w:rPr>
              <w:t>year2012</w:t>
            </w:r>
          </w:p>
        </w:tc>
        <w:tc>
          <w:tcPr>
            <w:tcW w:w="0" w:type="auto"/>
            <w:tcBorders>
              <w:bottom w:val="single" w:sz="4" w:space="0" w:color="auto"/>
            </w:tcBorders>
            <w:vAlign w:val="bottom"/>
          </w:tcPr>
          <w:p w14:paraId="796F5597"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-0.10</w:t>
            </w:r>
          </w:p>
        </w:tc>
        <w:tc>
          <w:tcPr>
            <w:tcW w:w="0" w:type="auto"/>
            <w:tcBorders>
              <w:bottom w:val="single" w:sz="4" w:space="0" w:color="auto"/>
            </w:tcBorders>
            <w:vAlign w:val="bottom"/>
          </w:tcPr>
          <w:p w14:paraId="3F337732"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0.79</w:t>
            </w:r>
          </w:p>
        </w:tc>
        <w:tc>
          <w:tcPr>
            <w:tcW w:w="0" w:type="auto"/>
            <w:tcBorders>
              <w:bottom w:val="single" w:sz="4" w:space="0" w:color="auto"/>
            </w:tcBorders>
            <w:vAlign w:val="bottom"/>
          </w:tcPr>
          <w:p w14:paraId="34707E06" w14:textId="77777777" w:rsidR="006C5512" w:rsidRPr="00F20D42" w:rsidRDefault="006C5512" w:rsidP="006C5512">
            <w:pPr>
              <w:jc w:val="right"/>
              <w:rPr>
                <w:rFonts w:ascii="Times New Roman" w:hAnsi="Times New Roman" w:cs="Times New Roman"/>
                <w:color w:val="000000" w:themeColor="text1"/>
              </w:rPr>
            </w:pPr>
            <w:r w:rsidRPr="00F20D42">
              <w:rPr>
                <w:rFonts w:ascii="Times New Roman" w:hAnsi="Times New Roman" w:cs="Times New Roman"/>
                <w:color w:val="000000" w:themeColor="text1"/>
              </w:rPr>
              <w:t>0.429</w:t>
            </w:r>
          </w:p>
        </w:tc>
      </w:tr>
    </w:tbl>
    <w:p w14:paraId="2B6400BF" w14:textId="77777777" w:rsidR="00330927" w:rsidRDefault="00330927" w:rsidP="00D677AA">
      <w:pPr>
        <w:rPr>
          <w:rFonts w:ascii="Times New Roman" w:hAnsi="Times New Roman" w:cs="Times New Roman"/>
        </w:rPr>
      </w:pPr>
    </w:p>
    <w:p w14:paraId="0EF1D27D" w14:textId="77777777" w:rsidR="00BD7CAD" w:rsidRDefault="00BD7CAD">
      <w:pPr>
        <w:rPr>
          <w:rFonts w:ascii="Times New Roman" w:hAnsi="Times New Roman" w:cs="Times New Roman"/>
          <w:b/>
          <w:bCs/>
        </w:rPr>
      </w:pPr>
      <w:r>
        <w:rPr>
          <w:rFonts w:ascii="Times New Roman" w:hAnsi="Times New Roman" w:cs="Times New Roman"/>
          <w:b/>
          <w:bCs/>
        </w:rPr>
        <w:br w:type="page"/>
      </w:r>
    </w:p>
    <w:p w14:paraId="53613BD3" w14:textId="150E22BC" w:rsidR="007F5ABE" w:rsidRPr="00123540" w:rsidRDefault="000B2B3A" w:rsidP="007F5ABE">
      <w:pPr>
        <w:jc w:val="both"/>
        <w:rPr>
          <w:rFonts w:ascii="Times New Roman" w:hAnsi="Times New Roman" w:cs="Times New Roman"/>
        </w:rPr>
      </w:pPr>
      <w:bookmarkStart w:id="61" w:name="_Toc93411180"/>
      <w:r w:rsidRPr="000B2B3A">
        <w:rPr>
          <w:rFonts w:ascii="Times New Roman" w:hAnsi="Times New Roman" w:cs="Times New Roman"/>
          <w:b/>
          <w:bCs/>
        </w:rPr>
        <w:lastRenderedPageBreak/>
        <w:t xml:space="preserve">Table </w:t>
      </w:r>
      <w:r w:rsidRPr="000B2B3A">
        <w:rPr>
          <w:rFonts w:ascii="Times New Roman" w:hAnsi="Times New Roman" w:cs="Times New Roman"/>
          <w:b/>
          <w:bCs/>
        </w:rPr>
        <w:fldChar w:fldCharType="begin"/>
      </w:r>
      <w:r w:rsidRPr="000B2B3A">
        <w:rPr>
          <w:rFonts w:ascii="Times New Roman" w:hAnsi="Times New Roman" w:cs="Times New Roman"/>
          <w:b/>
          <w:bCs/>
        </w:rPr>
        <w:instrText xml:space="preserve"> SEQ Table \* ARABIC </w:instrText>
      </w:r>
      <w:r w:rsidRPr="000B2B3A">
        <w:rPr>
          <w:rFonts w:ascii="Times New Roman" w:hAnsi="Times New Roman" w:cs="Times New Roman"/>
          <w:b/>
          <w:bCs/>
        </w:rPr>
        <w:fldChar w:fldCharType="separate"/>
      </w:r>
      <w:r w:rsidRPr="000B2B3A">
        <w:rPr>
          <w:rFonts w:ascii="Times New Roman" w:hAnsi="Times New Roman" w:cs="Times New Roman"/>
          <w:b/>
          <w:bCs/>
          <w:noProof/>
        </w:rPr>
        <w:t>9</w:t>
      </w:r>
      <w:r w:rsidRPr="000B2B3A">
        <w:rPr>
          <w:rFonts w:ascii="Times New Roman" w:hAnsi="Times New Roman" w:cs="Times New Roman"/>
          <w:b/>
          <w:bCs/>
        </w:rPr>
        <w:fldChar w:fldCharType="end"/>
      </w:r>
      <w:r w:rsidRPr="000B2B3A">
        <w:rPr>
          <w:rFonts w:ascii="Times New Roman" w:hAnsi="Times New Roman" w:cs="Times New Roman"/>
          <w:b/>
          <w:bCs/>
        </w:rPr>
        <w:t>.</w:t>
      </w:r>
      <w:r w:rsidRPr="00DF7C87">
        <w:rPr>
          <w:rFonts w:ascii="Times New Roman" w:hAnsi="Times New Roman" w:cs="Times New Roman"/>
        </w:rPr>
        <w:t xml:space="preserve"> </w:t>
      </w:r>
      <w:r w:rsidR="00BA7D0F" w:rsidRPr="006C5A29">
        <w:rPr>
          <w:rFonts w:ascii="Times New Roman" w:hAnsi="Times New Roman" w:cs="Times New Roman"/>
          <w:b/>
        </w:rPr>
        <w:t>Results of VIF analysis for the full model</w:t>
      </w:r>
      <w:r w:rsidR="006C5A29" w:rsidRPr="006C5A29">
        <w:rPr>
          <w:rFonts w:ascii="Times New Roman" w:hAnsi="Times New Roman" w:cs="Times New Roman"/>
          <w:b/>
        </w:rPr>
        <w:t>s</w:t>
      </w:r>
      <w:r w:rsidR="00BA7D0F" w:rsidRPr="006C5A29">
        <w:rPr>
          <w:rFonts w:ascii="Times New Roman" w:hAnsi="Times New Roman" w:cs="Times New Roman"/>
          <w:b/>
        </w:rPr>
        <w:t xml:space="preserve"> described in the main text. </w:t>
      </w:r>
      <w:r w:rsidR="006C5A29">
        <w:rPr>
          <w:rFonts w:ascii="Times New Roman" w:hAnsi="Times New Roman" w:cs="Times New Roman"/>
        </w:rPr>
        <w:t>W</w:t>
      </w:r>
      <w:r w:rsidR="006C5A29" w:rsidRPr="00BA7D0F">
        <w:rPr>
          <w:rFonts w:ascii="Times New Roman" w:hAnsi="Times New Roman" w:cs="Times New Roman"/>
        </w:rPr>
        <w:t>e performed VIF analysis on the full (all predictors included) models for biomass, species richness, and functional diversity. We found that all VIF &lt; 4 for all models, therefore collinearity among predictors was not an issue for our analysis</w:t>
      </w:r>
      <w:r w:rsidR="006C5A29">
        <w:rPr>
          <w:rFonts w:ascii="Times New Roman" w:hAnsi="Times New Roman" w:cs="Times New Roman"/>
        </w:rPr>
        <w:t>.</w:t>
      </w:r>
      <w:bookmarkEnd w:id="6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143"/>
        <w:gridCol w:w="636"/>
      </w:tblGrid>
      <w:tr w:rsidR="00313637" w14:paraId="2768919E" w14:textId="77777777" w:rsidTr="00123540">
        <w:trPr>
          <w:jc w:val="center"/>
        </w:trPr>
        <w:tc>
          <w:tcPr>
            <w:tcW w:w="0" w:type="auto"/>
            <w:tcBorders>
              <w:top w:val="single" w:sz="4" w:space="0" w:color="auto"/>
              <w:bottom w:val="single" w:sz="4" w:space="0" w:color="auto"/>
            </w:tcBorders>
          </w:tcPr>
          <w:p w14:paraId="30659F1D" w14:textId="55943C44" w:rsidR="00313637" w:rsidRDefault="00313637" w:rsidP="00BA7D0F">
            <w:pPr>
              <w:rPr>
                <w:rFonts w:ascii="Times New Roman" w:hAnsi="Times New Roman" w:cs="Times New Roman"/>
                <w:b/>
              </w:rPr>
            </w:pPr>
            <w:r>
              <w:rPr>
                <w:rFonts w:ascii="Times New Roman" w:hAnsi="Times New Roman" w:cs="Times New Roman"/>
                <w:b/>
              </w:rPr>
              <w:t>Model</w:t>
            </w:r>
          </w:p>
        </w:tc>
        <w:tc>
          <w:tcPr>
            <w:tcW w:w="0" w:type="auto"/>
            <w:tcBorders>
              <w:top w:val="single" w:sz="4" w:space="0" w:color="auto"/>
              <w:bottom w:val="single" w:sz="4" w:space="0" w:color="auto"/>
            </w:tcBorders>
          </w:tcPr>
          <w:p w14:paraId="48AFBDDE" w14:textId="0A0657DE" w:rsidR="00313637" w:rsidRDefault="00313637" w:rsidP="00BA7D0F">
            <w:pPr>
              <w:rPr>
                <w:rFonts w:ascii="Times New Roman" w:hAnsi="Times New Roman" w:cs="Times New Roman"/>
                <w:b/>
              </w:rPr>
            </w:pPr>
            <w:r>
              <w:rPr>
                <w:rFonts w:ascii="Times New Roman" w:hAnsi="Times New Roman" w:cs="Times New Roman"/>
                <w:b/>
              </w:rPr>
              <w:t>Variable</w:t>
            </w:r>
          </w:p>
        </w:tc>
        <w:tc>
          <w:tcPr>
            <w:tcW w:w="0" w:type="auto"/>
            <w:tcBorders>
              <w:top w:val="single" w:sz="4" w:space="0" w:color="auto"/>
              <w:bottom w:val="single" w:sz="4" w:space="0" w:color="auto"/>
            </w:tcBorders>
          </w:tcPr>
          <w:p w14:paraId="1913CB3D" w14:textId="77777777" w:rsidR="00313637" w:rsidRDefault="00313637" w:rsidP="00BA7D0F">
            <w:pPr>
              <w:jc w:val="right"/>
              <w:rPr>
                <w:rFonts w:ascii="Times New Roman" w:hAnsi="Times New Roman" w:cs="Times New Roman"/>
                <w:b/>
              </w:rPr>
            </w:pPr>
            <w:r>
              <w:rPr>
                <w:rFonts w:ascii="Times New Roman" w:hAnsi="Times New Roman" w:cs="Times New Roman"/>
                <w:b/>
              </w:rPr>
              <w:t>VIF</w:t>
            </w:r>
          </w:p>
        </w:tc>
      </w:tr>
      <w:tr w:rsidR="00313637" w14:paraId="40478759" w14:textId="77777777" w:rsidTr="00123540">
        <w:trPr>
          <w:jc w:val="center"/>
        </w:trPr>
        <w:tc>
          <w:tcPr>
            <w:tcW w:w="0" w:type="auto"/>
            <w:tcBorders>
              <w:top w:val="single" w:sz="4" w:space="0" w:color="auto"/>
            </w:tcBorders>
          </w:tcPr>
          <w:p w14:paraId="2415DF82" w14:textId="57399233" w:rsidR="00313637" w:rsidRDefault="005902E4" w:rsidP="00BA7D0F">
            <w:pPr>
              <w:rPr>
                <w:rFonts w:ascii="Times New Roman" w:hAnsi="Times New Roman" w:cs="Times New Roman"/>
                <w:bCs/>
              </w:rPr>
            </w:pPr>
            <w:r>
              <w:rPr>
                <w:rFonts w:ascii="Times New Roman" w:hAnsi="Times New Roman" w:cs="Times New Roman"/>
                <w:bCs/>
              </w:rPr>
              <w:t>B</w:t>
            </w:r>
            <w:r w:rsidR="00313637">
              <w:rPr>
                <w:rFonts w:ascii="Times New Roman" w:hAnsi="Times New Roman" w:cs="Times New Roman"/>
                <w:bCs/>
              </w:rPr>
              <w:t>iomass</w:t>
            </w:r>
          </w:p>
        </w:tc>
        <w:tc>
          <w:tcPr>
            <w:tcW w:w="0" w:type="auto"/>
            <w:tcBorders>
              <w:top w:val="single" w:sz="4" w:space="0" w:color="auto"/>
            </w:tcBorders>
          </w:tcPr>
          <w:p w14:paraId="71A7258C" w14:textId="4595EF9B" w:rsidR="00313637" w:rsidRPr="006D7697" w:rsidRDefault="00313637" w:rsidP="00BA7D0F">
            <w:pPr>
              <w:rPr>
                <w:rFonts w:ascii="Times New Roman" w:hAnsi="Times New Roman" w:cs="Times New Roman"/>
                <w:bCs/>
              </w:rPr>
            </w:pPr>
            <w:r>
              <w:rPr>
                <w:rFonts w:ascii="Times New Roman" w:hAnsi="Times New Roman" w:cs="Times New Roman"/>
                <w:bCs/>
              </w:rPr>
              <w:t>Species richness</w:t>
            </w:r>
          </w:p>
        </w:tc>
        <w:tc>
          <w:tcPr>
            <w:tcW w:w="0" w:type="auto"/>
            <w:tcBorders>
              <w:top w:val="single" w:sz="4" w:space="0" w:color="auto"/>
            </w:tcBorders>
          </w:tcPr>
          <w:p w14:paraId="3458732E" w14:textId="77777777" w:rsidR="00313637" w:rsidRPr="006D7697" w:rsidRDefault="00313637" w:rsidP="00BA7D0F">
            <w:pPr>
              <w:jc w:val="right"/>
              <w:rPr>
                <w:rFonts w:ascii="Times New Roman" w:hAnsi="Times New Roman" w:cs="Times New Roman"/>
                <w:bCs/>
              </w:rPr>
            </w:pPr>
            <w:r>
              <w:rPr>
                <w:rFonts w:ascii="Times New Roman" w:hAnsi="Times New Roman" w:cs="Times New Roman"/>
                <w:bCs/>
              </w:rPr>
              <w:t>1.43</w:t>
            </w:r>
          </w:p>
        </w:tc>
      </w:tr>
      <w:tr w:rsidR="005902E4" w14:paraId="76478438" w14:textId="77777777" w:rsidTr="00123540">
        <w:trPr>
          <w:jc w:val="center"/>
        </w:trPr>
        <w:tc>
          <w:tcPr>
            <w:tcW w:w="0" w:type="auto"/>
          </w:tcPr>
          <w:p w14:paraId="19F9E6DD" w14:textId="6DEDFF7F"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132040CB" w14:textId="762C3BAA" w:rsidR="005902E4" w:rsidRPr="006D7697" w:rsidRDefault="005902E4" w:rsidP="005902E4">
            <w:pPr>
              <w:rPr>
                <w:rFonts w:ascii="Times New Roman" w:hAnsi="Times New Roman" w:cs="Times New Roman"/>
                <w:bCs/>
              </w:rPr>
            </w:pPr>
            <w:r>
              <w:rPr>
                <w:rFonts w:ascii="Times New Roman" w:hAnsi="Times New Roman" w:cs="Times New Roman"/>
                <w:bCs/>
              </w:rPr>
              <w:t>Functional diversity</w:t>
            </w:r>
          </w:p>
        </w:tc>
        <w:tc>
          <w:tcPr>
            <w:tcW w:w="0" w:type="auto"/>
          </w:tcPr>
          <w:p w14:paraId="57626EF5"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1.26</w:t>
            </w:r>
          </w:p>
        </w:tc>
      </w:tr>
      <w:tr w:rsidR="005902E4" w14:paraId="57878697" w14:textId="77777777" w:rsidTr="00123540">
        <w:trPr>
          <w:jc w:val="center"/>
        </w:trPr>
        <w:tc>
          <w:tcPr>
            <w:tcW w:w="0" w:type="auto"/>
          </w:tcPr>
          <w:p w14:paraId="49E35EF4" w14:textId="7CE4BC29"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30A842AB" w14:textId="231A7ABD" w:rsidR="005902E4" w:rsidRPr="006D7697" w:rsidRDefault="005902E4" w:rsidP="005902E4">
            <w:pPr>
              <w:rPr>
                <w:rFonts w:ascii="Times New Roman" w:hAnsi="Times New Roman" w:cs="Times New Roman"/>
                <w:bCs/>
              </w:rPr>
            </w:pPr>
            <w:r>
              <w:rPr>
                <w:rFonts w:ascii="Times New Roman" w:hAnsi="Times New Roman" w:cs="Times New Roman"/>
                <w:bCs/>
              </w:rPr>
              <w:t>Sampled area</w:t>
            </w:r>
          </w:p>
        </w:tc>
        <w:tc>
          <w:tcPr>
            <w:tcW w:w="0" w:type="auto"/>
          </w:tcPr>
          <w:p w14:paraId="42126A5F"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1.41</w:t>
            </w:r>
          </w:p>
        </w:tc>
      </w:tr>
      <w:tr w:rsidR="005902E4" w14:paraId="3761454E" w14:textId="77777777" w:rsidTr="00123540">
        <w:trPr>
          <w:jc w:val="center"/>
        </w:trPr>
        <w:tc>
          <w:tcPr>
            <w:tcW w:w="0" w:type="auto"/>
          </w:tcPr>
          <w:p w14:paraId="558B3B67" w14:textId="79069359"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05434505" w14:textId="32BE9C9F" w:rsidR="005902E4" w:rsidRPr="006D7697" w:rsidRDefault="005902E4" w:rsidP="005902E4">
            <w:pPr>
              <w:rPr>
                <w:rFonts w:ascii="Times New Roman" w:hAnsi="Times New Roman" w:cs="Times New Roman"/>
                <w:bCs/>
              </w:rPr>
            </w:pPr>
            <w:r>
              <w:rPr>
                <w:rFonts w:ascii="Times New Roman" w:hAnsi="Times New Roman" w:cs="Times New Roman"/>
                <w:bCs/>
              </w:rPr>
              <w:t>Temperature</w:t>
            </w:r>
          </w:p>
        </w:tc>
        <w:tc>
          <w:tcPr>
            <w:tcW w:w="0" w:type="auto"/>
          </w:tcPr>
          <w:p w14:paraId="00BB9574"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1.34</w:t>
            </w:r>
          </w:p>
        </w:tc>
      </w:tr>
      <w:tr w:rsidR="005902E4" w14:paraId="521DF0A4" w14:textId="77777777" w:rsidTr="00123540">
        <w:trPr>
          <w:jc w:val="center"/>
        </w:trPr>
        <w:tc>
          <w:tcPr>
            <w:tcW w:w="0" w:type="auto"/>
          </w:tcPr>
          <w:p w14:paraId="2471E6DA" w14:textId="69BF872B"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29AC83BA" w14:textId="5972CEBC" w:rsidR="005902E4" w:rsidRPr="006D7697" w:rsidRDefault="005902E4" w:rsidP="005902E4">
            <w:pPr>
              <w:rPr>
                <w:rFonts w:ascii="Times New Roman" w:hAnsi="Times New Roman" w:cs="Times New Roman"/>
                <w:bCs/>
              </w:rPr>
            </w:pPr>
            <w:r>
              <w:rPr>
                <w:rFonts w:ascii="Times New Roman" w:hAnsi="Times New Roman" w:cs="Times New Roman"/>
                <w:bCs/>
              </w:rPr>
              <w:t>Precipitation</w:t>
            </w:r>
          </w:p>
        </w:tc>
        <w:tc>
          <w:tcPr>
            <w:tcW w:w="0" w:type="auto"/>
          </w:tcPr>
          <w:p w14:paraId="5A4632F6"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1.35</w:t>
            </w:r>
          </w:p>
        </w:tc>
      </w:tr>
      <w:tr w:rsidR="005902E4" w14:paraId="0ACB9369" w14:textId="77777777" w:rsidTr="00123540">
        <w:trPr>
          <w:jc w:val="center"/>
        </w:trPr>
        <w:tc>
          <w:tcPr>
            <w:tcW w:w="0" w:type="auto"/>
          </w:tcPr>
          <w:p w14:paraId="093261B9" w14:textId="7B4519DD"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61A5A548" w14:textId="40B209E5" w:rsidR="005902E4" w:rsidRPr="006D7697" w:rsidRDefault="005902E4" w:rsidP="005902E4">
            <w:pPr>
              <w:rPr>
                <w:rFonts w:ascii="Times New Roman" w:hAnsi="Times New Roman" w:cs="Times New Roman"/>
                <w:bCs/>
              </w:rPr>
            </w:pPr>
            <w:r>
              <w:rPr>
                <w:rFonts w:ascii="Times New Roman" w:hAnsi="Times New Roman" w:cs="Times New Roman"/>
                <w:bCs/>
              </w:rPr>
              <w:t>Human impact</w:t>
            </w:r>
          </w:p>
        </w:tc>
        <w:tc>
          <w:tcPr>
            <w:tcW w:w="0" w:type="auto"/>
          </w:tcPr>
          <w:p w14:paraId="2AC2B5F7"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1.13</w:t>
            </w:r>
          </w:p>
        </w:tc>
      </w:tr>
      <w:tr w:rsidR="005902E4" w14:paraId="3EF4B63D" w14:textId="77777777" w:rsidTr="00123540">
        <w:trPr>
          <w:jc w:val="center"/>
        </w:trPr>
        <w:tc>
          <w:tcPr>
            <w:tcW w:w="0" w:type="auto"/>
          </w:tcPr>
          <w:p w14:paraId="42936A0A" w14:textId="46BF5785"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3EE2CBFB" w14:textId="6CDBAD47" w:rsidR="005902E4" w:rsidRPr="006D7697" w:rsidRDefault="005902E4" w:rsidP="005902E4">
            <w:pPr>
              <w:rPr>
                <w:rFonts w:ascii="Times New Roman" w:hAnsi="Times New Roman" w:cs="Times New Roman"/>
                <w:bCs/>
              </w:rPr>
            </w:pPr>
            <w:r>
              <w:rPr>
                <w:rFonts w:ascii="Times New Roman" w:hAnsi="Times New Roman" w:cs="Times New Roman"/>
                <w:bCs/>
              </w:rPr>
              <w:t>Catchment area</w:t>
            </w:r>
          </w:p>
        </w:tc>
        <w:tc>
          <w:tcPr>
            <w:tcW w:w="0" w:type="auto"/>
          </w:tcPr>
          <w:p w14:paraId="1DB835CD"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1.62</w:t>
            </w:r>
          </w:p>
        </w:tc>
      </w:tr>
      <w:tr w:rsidR="005902E4" w14:paraId="41524D7D" w14:textId="77777777" w:rsidTr="00123540">
        <w:trPr>
          <w:jc w:val="center"/>
        </w:trPr>
        <w:tc>
          <w:tcPr>
            <w:tcW w:w="0" w:type="auto"/>
          </w:tcPr>
          <w:p w14:paraId="409A0D7E" w14:textId="0BEB29AA"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4D0027EA" w14:textId="2C57D52E" w:rsidR="005902E4" w:rsidRDefault="005902E4" w:rsidP="005902E4">
            <w:pPr>
              <w:rPr>
                <w:rFonts w:ascii="Times New Roman" w:hAnsi="Times New Roman" w:cs="Times New Roman"/>
                <w:bCs/>
              </w:rPr>
            </w:pPr>
            <w:r>
              <w:rPr>
                <w:rFonts w:ascii="Times New Roman" w:hAnsi="Times New Roman" w:cs="Times New Roman"/>
                <w:bCs/>
              </w:rPr>
              <w:t>Slope</w:t>
            </w:r>
          </w:p>
        </w:tc>
        <w:tc>
          <w:tcPr>
            <w:tcW w:w="0" w:type="auto"/>
          </w:tcPr>
          <w:p w14:paraId="1A08091D"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1.22</w:t>
            </w:r>
          </w:p>
        </w:tc>
      </w:tr>
      <w:tr w:rsidR="005902E4" w14:paraId="3A896F21" w14:textId="77777777" w:rsidTr="00123540">
        <w:trPr>
          <w:jc w:val="center"/>
        </w:trPr>
        <w:tc>
          <w:tcPr>
            <w:tcW w:w="0" w:type="auto"/>
          </w:tcPr>
          <w:p w14:paraId="530BBBEE" w14:textId="32B57788" w:rsidR="005902E4" w:rsidRDefault="005902E4" w:rsidP="005902E4">
            <w:pPr>
              <w:rPr>
                <w:rFonts w:ascii="Times New Roman" w:hAnsi="Times New Roman" w:cs="Times New Roman"/>
                <w:bCs/>
              </w:rPr>
            </w:pPr>
            <w:r w:rsidRPr="0083511E">
              <w:rPr>
                <w:rFonts w:ascii="Times New Roman" w:hAnsi="Times New Roman" w:cs="Times New Roman"/>
                <w:bCs/>
              </w:rPr>
              <w:t>Biomass</w:t>
            </w:r>
          </w:p>
        </w:tc>
        <w:tc>
          <w:tcPr>
            <w:tcW w:w="0" w:type="auto"/>
          </w:tcPr>
          <w:p w14:paraId="0D7397D8" w14:textId="7104750F" w:rsidR="005902E4" w:rsidRDefault="005902E4" w:rsidP="005902E4">
            <w:pPr>
              <w:rPr>
                <w:rFonts w:ascii="Times New Roman" w:hAnsi="Times New Roman" w:cs="Times New Roman"/>
                <w:bCs/>
              </w:rPr>
            </w:pPr>
            <w:r>
              <w:rPr>
                <w:rFonts w:ascii="Times New Roman" w:hAnsi="Times New Roman" w:cs="Times New Roman"/>
                <w:bCs/>
              </w:rPr>
              <w:t>Free-flowing area</w:t>
            </w:r>
          </w:p>
        </w:tc>
        <w:tc>
          <w:tcPr>
            <w:tcW w:w="0" w:type="auto"/>
          </w:tcPr>
          <w:p w14:paraId="2694EE5F" w14:textId="77777777" w:rsidR="005902E4" w:rsidRPr="006D7697" w:rsidRDefault="005902E4" w:rsidP="005902E4">
            <w:pPr>
              <w:jc w:val="right"/>
              <w:rPr>
                <w:rFonts w:ascii="Times New Roman" w:hAnsi="Times New Roman" w:cs="Times New Roman"/>
                <w:bCs/>
              </w:rPr>
            </w:pPr>
            <w:r>
              <w:rPr>
                <w:rFonts w:ascii="Times New Roman" w:hAnsi="Times New Roman" w:cs="Times New Roman"/>
                <w:bCs/>
              </w:rPr>
              <w:t>1.02</w:t>
            </w:r>
          </w:p>
        </w:tc>
      </w:tr>
      <w:tr w:rsidR="005902E4" w14:paraId="47DBC30E" w14:textId="77777777" w:rsidTr="00123540">
        <w:trPr>
          <w:jc w:val="center"/>
        </w:trPr>
        <w:tc>
          <w:tcPr>
            <w:tcW w:w="0" w:type="auto"/>
          </w:tcPr>
          <w:p w14:paraId="6034C0F5" w14:textId="24339439" w:rsidR="005902E4" w:rsidRPr="00DC49F8" w:rsidRDefault="005902E4" w:rsidP="005902E4">
            <w:pPr>
              <w:rPr>
                <w:rFonts w:ascii="Times New Roman" w:hAnsi="Times New Roman" w:cs="Times New Roman"/>
                <w:bCs/>
              </w:rPr>
            </w:pPr>
            <w:r>
              <w:rPr>
                <w:rFonts w:ascii="Times New Roman" w:hAnsi="Times New Roman" w:cs="Times New Roman"/>
                <w:bCs/>
              </w:rPr>
              <w:t>Species richness</w:t>
            </w:r>
          </w:p>
        </w:tc>
        <w:tc>
          <w:tcPr>
            <w:tcW w:w="0" w:type="auto"/>
          </w:tcPr>
          <w:p w14:paraId="62DB64FF" w14:textId="5602A781" w:rsidR="005902E4" w:rsidRDefault="005902E4" w:rsidP="005902E4">
            <w:pPr>
              <w:rPr>
                <w:rFonts w:ascii="Times New Roman" w:hAnsi="Times New Roman" w:cs="Times New Roman"/>
                <w:bCs/>
              </w:rPr>
            </w:pPr>
            <w:r>
              <w:rPr>
                <w:rFonts w:ascii="Times New Roman" w:hAnsi="Times New Roman" w:cs="Times New Roman"/>
                <w:bCs/>
              </w:rPr>
              <w:t>Sampled area</w:t>
            </w:r>
          </w:p>
        </w:tc>
        <w:tc>
          <w:tcPr>
            <w:tcW w:w="0" w:type="auto"/>
          </w:tcPr>
          <w:p w14:paraId="15BE7D5B" w14:textId="3EE0ED69" w:rsidR="005902E4" w:rsidRDefault="005902E4" w:rsidP="005902E4">
            <w:pPr>
              <w:jc w:val="right"/>
              <w:rPr>
                <w:rFonts w:ascii="Times New Roman" w:hAnsi="Times New Roman" w:cs="Times New Roman"/>
                <w:bCs/>
              </w:rPr>
            </w:pPr>
            <w:r>
              <w:rPr>
                <w:rFonts w:ascii="Times New Roman" w:hAnsi="Times New Roman" w:cs="Times New Roman"/>
                <w:bCs/>
              </w:rPr>
              <w:t>1.50</w:t>
            </w:r>
          </w:p>
        </w:tc>
      </w:tr>
      <w:tr w:rsidR="005902E4" w14:paraId="42C8B1A0" w14:textId="77777777" w:rsidTr="00123540">
        <w:trPr>
          <w:jc w:val="center"/>
        </w:trPr>
        <w:tc>
          <w:tcPr>
            <w:tcW w:w="0" w:type="auto"/>
          </w:tcPr>
          <w:p w14:paraId="1ECDCC14" w14:textId="496622C4"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581AE239" w14:textId="56009E0C" w:rsidR="005902E4" w:rsidRDefault="005902E4" w:rsidP="005902E4">
            <w:pPr>
              <w:rPr>
                <w:rFonts w:ascii="Times New Roman" w:hAnsi="Times New Roman" w:cs="Times New Roman"/>
                <w:bCs/>
              </w:rPr>
            </w:pPr>
            <w:r>
              <w:rPr>
                <w:rFonts w:ascii="Times New Roman" w:hAnsi="Times New Roman" w:cs="Times New Roman"/>
                <w:bCs/>
              </w:rPr>
              <w:t>Temperature</w:t>
            </w:r>
          </w:p>
        </w:tc>
        <w:tc>
          <w:tcPr>
            <w:tcW w:w="0" w:type="auto"/>
          </w:tcPr>
          <w:p w14:paraId="1A657F13" w14:textId="70BC2872" w:rsidR="005902E4" w:rsidRDefault="005902E4" w:rsidP="005902E4">
            <w:pPr>
              <w:jc w:val="right"/>
              <w:rPr>
                <w:rFonts w:ascii="Times New Roman" w:hAnsi="Times New Roman" w:cs="Times New Roman"/>
                <w:bCs/>
              </w:rPr>
            </w:pPr>
            <w:r>
              <w:rPr>
                <w:rFonts w:ascii="Times New Roman" w:hAnsi="Times New Roman" w:cs="Times New Roman"/>
                <w:bCs/>
              </w:rPr>
              <w:t>1.70</w:t>
            </w:r>
          </w:p>
        </w:tc>
      </w:tr>
      <w:tr w:rsidR="005902E4" w14:paraId="406CBE20" w14:textId="77777777" w:rsidTr="00123540">
        <w:trPr>
          <w:jc w:val="center"/>
        </w:trPr>
        <w:tc>
          <w:tcPr>
            <w:tcW w:w="0" w:type="auto"/>
          </w:tcPr>
          <w:p w14:paraId="4AFF744C" w14:textId="6E509EBA"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451D6904" w14:textId="7D688171" w:rsidR="005902E4" w:rsidRDefault="005902E4" w:rsidP="005902E4">
            <w:pPr>
              <w:rPr>
                <w:rFonts w:ascii="Times New Roman" w:hAnsi="Times New Roman" w:cs="Times New Roman"/>
                <w:bCs/>
              </w:rPr>
            </w:pPr>
            <w:r>
              <w:rPr>
                <w:rFonts w:ascii="Times New Roman" w:hAnsi="Times New Roman" w:cs="Times New Roman"/>
                <w:bCs/>
              </w:rPr>
              <w:t>Precipitation</w:t>
            </w:r>
          </w:p>
        </w:tc>
        <w:tc>
          <w:tcPr>
            <w:tcW w:w="0" w:type="auto"/>
          </w:tcPr>
          <w:p w14:paraId="14529D64" w14:textId="2D3AB8C6" w:rsidR="005902E4" w:rsidRDefault="005902E4" w:rsidP="005902E4">
            <w:pPr>
              <w:jc w:val="right"/>
              <w:rPr>
                <w:rFonts w:ascii="Times New Roman" w:hAnsi="Times New Roman" w:cs="Times New Roman"/>
                <w:bCs/>
              </w:rPr>
            </w:pPr>
            <w:r>
              <w:rPr>
                <w:rFonts w:ascii="Times New Roman" w:hAnsi="Times New Roman" w:cs="Times New Roman"/>
                <w:bCs/>
              </w:rPr>
              <w:t>1.73</w:t>
            </w:r>
          </w:p>
        </w:tc>
      </w:tr>
      <w:tr w:rsidR="005902E4" w14:paraId="6FD984B4" w14:textId="77777777" w:rsidTr="00123540">
        <w:trPr>
          <w:jc w:val="center"/>
        </w:trPr>
        <w:tc>
          <w:tcPr>
            <w:tcW w:w="0" w:type="auto"/>
          </w:tcPr>
          <w:p w14:paraId="1AFC6973" w14:textId="25E64A7F"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60661048" w14:textId="40CF4CFC" w:rsidR="005902E4" w:rsidRDefault="005902E4" w:rsidP="005902E4">
            <w:pPr>
              <w:rPr>
                <w:rFonts w:ascii="Times New Roman" w:hAnsi="Times New Roman" w:cs="Times New Roman"/>
                <w:bCs/>
              </w:rPr>
            </w:pPr>
            <w:r>
              <w:rPr>
                <w:rFonts w:ascii="Times New Roman" w:hAnsi="Times New Roman" w:cs="Times New Roman"/>
                <w:bCs/>
              </w:rPr>
              <w:t>Human impact</w:t>
            </w:r>
          </w:p>
        </w:tc>
        <w:tc>
          <w:tcPr>
            <w:tcW w:w="0" w:type="auto"/>
          </w:tcPr>
          <w:p w14:paraId="468B7A24" w14:textId="6BC93D34" w:rsidR="005902E4" w:rsidRDefault="005902E4" w:rsidP="005902E4">
            <w:pPr>
              <w:jc w:val="right"/>
              <w:rPr>
                <w:rFonts w:ascii="Times New Roman" w:hAnsi="Times New Roman" w:cs="Times New Roman"/>
                <w:bCs/>
              </w:rPr>
            </w:pPr>
            <w:r>
              <w:rPr>
                <w:rFonts w:ascii="Times New Roman" w:hAnsi="Times New Roman" w:cs="Times New Roman"/>
                <w:bCs/>
              </w:rPr>
              <w:t>1.20</w:t>
            </w:r>
          </w:p>
        </w:tc>
      </w:tr>
      <w:tr w:rsidR="005902E4" w14:paraId="2C23687E" w14:textId="77777777" w:rsidTr="00123540">
        <w:trPr>
          <w:jc w:val="center"/>
        </w:trPr>
        <w:tc>
          <w:tcPr>
            <w:tcW w:w="0" w:type="auto"/>
          </w:tcPr>
          <w:p w14:paraId="0800822F" w14:textId="0EC4A69B"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168EFE19" w14:textId="223DF60B" w:rsidR="005902E4" w:rsidRDefault="005902E4" w:rsidP="005902E4">
            <w:pPr>
              <w:rPr>
                <w:rFonts w:ascii="Times New Roman" w:hAnsi="Times New Roman" w:cs="Times New Roman"/>
                <w:bCs/>
              </w:rPr>
            </w:pPr>
            <w:r>
              <w:rPr>
                <w:rFonts w:ascii="Times New Roman" w:hAnsi="Times New Roman" w:cs="Times New Roman"/>
                <w:bCs/>
              </w:rPr>
              <w:t>Catchment area</w:t>
            </w:r>
          </w:p>
        </w:tc>
        <w:tc>
          <w:tcPr>
            <w:tcW w:w="0" w:type="auto"/>
          </w:tcPr>
          <w:p w14:paraId="06B6C154" w14:textId="3E14CB1A" w:rsidR="005902E4" w:rsidRDefault="005902E4" w:rsidP="005902E4">
            <w:pPr>
              <w:jc w:val="right"/>
              <w:rPr>
                <w:rFonts w:ascii="Times New Roman" w:hAnsi="Times New Roman" w:cs="Times New Roman"/>
                <w:bCs/>
              </w:rPr>
            </w:pPr>
            <w:r>
              <w:rPr>
                <w:rFonts w:ascii="Times New Roman" w:hAnsi="Times New Roman" w:cs="Times New Roman"/>
                <w:bCs/>
              </w:rPr>
              <w:t>1.84</w:t>
            </w:r>
          </w:p>
        </w:tc>
      </w:tr>
      <w:tr w:rsidR="005902E4" w14:paraId="2FB3F31D" w14:textId="77777777" w:rsidTr="00123540">
        <w:trPr>
          <w:jc w:val="center"/>
        </w:trPr>
        <w:tc>
          <w:tcPr>
            <w:tcW w:w="0" w:type="auto"/>
          </w:tcPr>
          <w:p w14:paraId="2FEF26E3" w14:textId="29385231"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04B3A783" w14:textId="3EC08CBF" w:rsidR="005902E4" w:rsidRDefault="005902E4" w:rsidP="005902E4">
            <w:pPr>
              <w:rPr>
                <w:rFonts w:ascii="Times New Roman" w:hAnsi="Times New Roman" w:cs="Times New Roman"/>
                <w:bCs/>
              </w:rPr>
            </w:pPr>
            <w:r>
              <w:rPr>
                <w:rFonts w:ascii="Times New Roman" w:hAnsi="Times New Roman" w:cs="Times New Roman"/>
                <w:bCs/>
              </w:rPr>
              <w:t>Slope</w:t>
            </w:r>
          </w:p>
        </w:tc>
        <w:tc>
          <w:tcPr>
            <w:tcW w:w="0" w:type="auto"/>
          </w:tcPr>
          <w:p w14:paraId="7B2E0648" w14:textId="7BE44F3A" w:rsidR="005902E4" w:rsidRDefault="005902E4" w:rsidP="005902E4">
            <w:pPr>
              <w:jc w:val="right"/>
              <w:rPr>
                <w:rFonts w:ascii="Times New Roman" w:hAnsi="Times New Roman" w:cs="Times New Roman"/>
                <w:bCs/>
              </w:rPr>
            </w:pPr>
            <w:r>
              <w:rPr>
                <w:rFonts w:ascii="Times New Roman" w:hAnsi="Times New Roman" w:cs="Times New Roman"/>
                <w:bCs/>
              </w:rPr>
              <w:t>1.32</w:t>
            </w:r>
          </w:p>
        </w:tc>
      </w:tr>
      <w:tr w:rsidR="005902E4" w14:paraId="6CAD6748" w14:textId="77777777" w:rsidTr="00123540">
        <w:trPr>
          <w:jc w:val="center"/>
        </w:trPr>
        <w:tc>
          <w:tcPr>
            <w:tcW w:w="0" w:type="auto"/>
          </w:tcPr>
          <w:p w14:paraId="1710F375" w14:textId="70B5D905" w:rsidR="005902E4" w:rsidRPr="00DC49F8" w:rsidRDefault="005902E4" w:rsidP="005902E4">
            <w:pPr>
              <w:rPr>
                <w:rFonts w:ascii="Times New Roman" w:hAnsi="Times New Roman" w:cs="Times New Roman"/>
                <w:bCs/>
              </w:rPr>
            </w:pPr>
            <w:r w:rsidRPr="00A178C5">
              <w:rPr>
                <w:rFonts w:ascii="Times New Roman" w:hAnsi="Times New Roman" w:cs="Times New Roman"/>
                <w:bCs/>
              </w:rPr>
              <w:t>Species richness</w:t>
            </w:r>
          </w:p>
        </w:tc>
        <w:tc>
          <w:tcPr>
            <w:tcW w:w="0" w:type="auto"/>
          </w:tcPr>
          <w:p w14:paraId="00588C5A" w14:textId="00C06E18" w:rsidR="005902E4" w:rsidRDefault="005902E4" w:rsidP="005902E4">
            <w:pPr>
              <w:rPr>
                <w:rFonts w:ascii="Times New Roman" w:hAnsi="Times New Roman" w:cs="Times New Roman"/>
                <w:bCs/>
              </w:rPr>
            </w:pPr>
            <w:r>
              <w:rPr>
                <w:rFonts w:ascii="Times New Roman" w:hAnsi="Times New Roman" w:cs="Times New Roman"/>
                <w:bCs/>
              </w:rPr>
              <w:t>Free-flowing area</w:t>
            </w:r>
          </w:p>
        </w:tc>
        <w:tc>
          <w:tcPr>
            <w:tcW w:w="0" w:type="auto"/>
          </w:tcPr>
          <w:p w14:paraId="600CF8B0" w14:textId="714C324F" w:rsidR="005902E4" w:rsidRDefault="005902E4" w:rsidP="005902E4">
            <w:pPr>
              <w:jc w:val="right"/>
              <w:rPr>
                <w:rFonts w:ascii="Times New Roman" w:hAnsi="Times New Roman" w:cs="Times New Roman"/>
                <w:bCs/>
              </w:rPr>
            </w:pPr>
            <w:r>
              <w:rPr>
                <w:rFonts w:ascii="Times New Roman" w:hAnsi="Times New Roman" w:cs="Times New Roman"/>
                <w:bCs/>
              </w:rPr>
              <w:t>1.03</w:t>
            </w:r>
          </w:p>
        </w:tc>
      </w:tr>
      <w:tr w:rsidR="005902E4" w14:paraId="214BB1C1" w14:textId="77777777" w:rsidTr="00123540">
        <w:trPr>
          <w:jc w:val="center"/>
        </w:trPr>
        <w:tc>
          <w:tcPr>
            <w:tcW w:w="0" w:type="auto"/>
          </w:tcPr>
          <w:p w14:paraId="48ECEBBB" w14:textId="723ECE06" w:rsidR="005902E4" w:rsidRPr="00A178C5" w:rsidRDefault="005902E4" w:rsidP="005902E4">
            <w:pPr>
              <w:rPr>
                <w:rFonts w:ascii="Times New Roman" w:hAnsi="Times New Roman" w:cs="Times New Roman"/>
                <w:bCs/>
              </w:rPr>
            </w:pPr>
            <w:r>
              <w:rPr>
                <w:rFonts w:ascii="Times New Roman" w:hAnsi="Times New Roman" w:cs="Times New Roman"/>
                <w:bCs/>
              </w:rPr>
              <w:t>Functional diversity</w:t>
            </w:r>
          </w:p>
        </w:tc>
        <w:tc>
          <w:tcPr>
            <w:tcW w:w="0" w:type="auto"/>
          </w:tcPr>
          <w:p w14:paraId="441C3435" w14:textId="4899F17E" w:rsidR="005902E4" w:rsidRDefault="005902E4" w:rsidP="005902E4">
            <w:pPr>
              <w:rPr>
                <w:rFonts w:ascii="Times New Roman" w:hAnsi="Times New Roman" w:cs="Times New Roman"/>
                <w:bCs/>
              </w:rPr>
            </w:pPr>
            <w:r>
              <w:rPr>
                <w:rFonts w:ascii="Times New Roman" w:hAnsi="Times New Roman" w:cs="Times New Roman"/>
                <w:bCs/>
              </w:rPr>
              <w:t>Species richness</w:t>
            </w:r>
          </w:p>
        </w:tc>
        <w:tc>
          <w:tcPr>
            <w:tcW w:w="0" w:type="auto"/>
          </w:tcPr>
          <w:p w14:paraId="090BB5D7" w14:textId="54D24F21" w:rsidR="005902E4" w:rsidRDefault="005902E4" w:rsidP="005902E4">
            <w:pPr>
              <w:jc w:val="right"/>
              <w:rPr>
                <w:rFonts w:ascii="Times New Roman" w:hAnsi="Times New Roman" w:cs="Times New Roman"/>
                <w:bCs/>
              </w:rPr>
            </w:pPr>
            <w:r>
              <w:rPr>
                <w:rFonts w:ascii="Times New Roman" w:hAnsi="Times New Roman" w:cs="Times New Roman"/>
                <w:bCs/>
              </w:rPr>
              <w:t>1.53</w:t>
            </w:r>
          </w:p>
        </w:tc>
      </w:tr>
      <w:tr w:rsidR="005902E4" w14:paraId="1625BEA0" w14:textId="77777777" w:rsidTr="00123540">
        <w:trPr>
          <w:jc w:val="center"/>
        </w:trPr>
        <w:tc>
          <w:tcPr>
            <w:tcW w:w="0" w:type="auto"/>
          </w:tcPr>
          <w:p w14:paraId="6CEF42F3" w14:textId="562F7809"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31E85532" w14:textId="23329575" w:rsidR="005902E4" w:rsidRDefault="005902E4" w:rsidP="005902E4">
            <w:pPr>
              <w:rPr>
                <w:rFonts w:ascii="Times New Roman" w:hAnsi="Times New Roman" w:cs="Times New Roman"/>
                <w:bCs/>
              </w:rPr>
            </w:pPr>
            <w:r>
              <w:rPr>
                <w:rFonts w:ascii="Times New Roman" w:hAnsi="Times New Roman" w:cs="Times New Roman"/>
                <w:bCs/>
              </w:rPr>
              <w:t>Sampled area</w:t>
            </w:r>
          </w:p>
        </w:tc>
        <w:tc>
          <w:tcPr>
            <w:tcW w:w="0" w:type="auto"/>
          </w:tcPr>
          <w:p w14:paraId="39192ED0" w14:textId="669C75A1" w:rsidR="005902E4" w:rsidRDefault="005902E4" w:rsidP="005902E4">
            <w:pPr>
              <w:jc w:val="right"/>
              <w:rPr>
                <w:rFonts w:ascii="Times New Roman" w:hAnsi="Times New Roman" w:cs="Times New Roman"/>
                <w:bCs/>
              </w:rPr>
            </w:pPr>
            <w:r>
              <w:rPr>
                <w:rFonts w:ascii="Times New Roman" w:hAnsi="Times New Roman" w:cs="Times New Roman"/>
                <w:bCs/>
              </w:rPr>
              <w:t>1.54</w:t>
            </w:r>
          </w:p>
        </w:tc>
      </w:tr>
      <w:tr w:rsidR="005902E4" w14:paraId="01C80D24" w14:textId="77777777" w:rsidTr="00123540">
        <w:trPr>
          <w:jc w:val="center"/>
        </w:trPr>
        <w:tc>
          <w:tcPr>
            <w:tcW w:w="0" w:type="auto"/>
          </w:tcPr>
          <w:p w14:paraId="37104EF1" w14:textId="761CC962"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07B14766" w14:textId="1B59904F" w:rsidR="005902E4" w:rsidRDefault="005902E4" w:rsidP="005902E4">
            <w:pPr>
              <w:rPr>
                <w:rFonts w:ascii="Times New Roman" w:hAnsi="Times New Roman" w:cs="Times New Roman"/>
                <w:bCs/>
              </w:rPr>
            </w:pPr>
            <w:r>
              <w:rPr>
                <w:rFonts w:ascii="Times New Roman" w:hAnsi="Times New Roman" w:cs="Times New Roman"/>
                <w:bCs/>
              </w:rPr>
              <w:t>Temperature</w:t>
            </w:r>
          </w:p>
        </w:tc>
        <w:tc>
          <w:tcPr>
            <w:tcW w:w="0" w:type="auto"/>
          </w:tcPr>
          <w:p w14:paraId="370CD159" w14:textId="5601F2FA" w:rsidR="005902E4" w:rsidRDefault="005902E4" w:rsidP="005902E4">
            <w:pPr>
              <w:jc w:val="right"/>
              <w:rPr>
                <w:rFonts w:ascii="Times New Roman" w:hAnsi="Times New Roman" w:cs="Times New Roman"/>
                <w:bCs/>
              </w:rPr>
            </w:pPr>
            <w:r>
              <w:rPr>
                <w:rFonts w:ascii="Times New Roman" w:hAnsi="Times New Roman" w:cs="Times New Roman"/>
                <w:bCs/>
              </w:rPr>
              <w:t>1.45</w:t>
            </w:r>
          </w:p>
        </w:tc>
      </w:tr>
      <w:tr w:rsidR="005902E4" w14:paraId="157ED805" w14:textId="77777777" w:rsidTr="00123540">
        <w:trPr>
          <w:jc w:val="center"/>
        </w:trPr>
        <w:tc>
          <w:tcPr>
            <w:tcW w:w="0" w:type="auto"/>
          </w:tcPr>
          <w:p w14:paraId="15E3A743" w14:textId="4966A5D1"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5994660B" w14:textId="23D33737" w:rsidR="005902E4" w:rsidRDefault="005902E4" w:rsidP="005902E4">
            <w:pPr>
              <w:rPr>
                <w:rFonts w:ascii="Times New Roman" w:hAnsi="Times New Roman" w:cs="Times New Roman"/>
                <w:bCs/>
              </w:rPr>
            </w:pPr>
            <w:r>
              <w:rPr>
                <w:rFonts w:ascii="Times New Roman" w:hAnsi="Times New Roman" w:cs="Times New Roman"/>
                <w:bCs/>
              </w:rPr>
              <w:t>Precipitation</w:t>
            </w:r>
          </w:p>
        </w:tc>
        <w:tc>
          <w:tcPr>
            <w:tcW w:w="0" w:type="auto"/>
          </w:tcPr>
          <w:p w14:paraId="2D1B9062" w14:textId="78F9FD03" w:rsidR="005902E4" w:rsidRDefault="005902E4" w:rsidP="005902E4">
            <w:pPr>
              <w:jc w:val="right"/>
              <w:rPr>
                <w:rFonts w:ascii="Times New Roman" w:hAnsi="Times New Roman" w:cs="Times New Roman"/>
                <w:bCs/>
              </w:rPr>
            </w:pPr>
            <w:r>
              <w:rPr>
                <w:rFonts w:ascii="Times New Roman" w:hAnsi="Times New Roman" w:cs="Times New Roman"/>
                <w:bCs/>
              </w:rPr>
              <w:t>1.43</w:t>
            </w:r>
          </w:p>
        </w:tc>
      </w:tr>
      <w:tr w:rsidR="005902E4" w14:paraId="2E6D27D7" w14:textId="77777777" w:rsidTr="00123540">
        <w:trPr>
          <w:jc w:val="center"/>
        </w:trPr>
        <w:tc>
          <w:tcPr>
            <w:tcW w:w="0" w:type="auto"/>
          </w:tcPr>
          <w:p w14:paraId="322AD100" w14:textId="01F42E74"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2FA0C8CA" w14:textId="296C5999" w:rsidR="005902E4" w:rsidRDefault="005902E4" w:rsidP="005902E4">
            <w:pPr>
              <w:rPr>
                <w:rFonts w:ascii="Times New Roman" w:hAnsi="Times New Roman" w:cs="Times New Roman"/>
                <w:bCs/>
              </w:rPr>
            </w:pPr>
            <w:r>
              <w:rPr>
                <w:rFonts w:ascii="Times New Roman" w:hAnsi="Times New Roman" w:cs="Times New Roman"/>
                <w:bCs/>
              </w:rPr>
              <w:t>Human impact</w:t>
            </w:r>
          </w:p>
        </w:tc>
        <w:tc>
          <w:tcPr>
            <w:tcW w:w="0" w:type="auto"/>
          </w:tcPr>
          <w:p w14:paraId="4643B46A" w14:textId="3CB5FFA6" w:rsidR="005902E4" w:rsidRDefault="005902E4" w:rsidP="005902E4">
            <w:pPr>
              <w:jc w:val="right"/>
              <w:rPr>
                <w:rFonts w:ascii="Times New Roman" w:hAnsi="Times New Roman" w:cs="Times New Roman"/>
                <w:bCs/>
              </w:rPr>
            </w:pPr>
            <w:r>
              <w:rPr>
                <w:rFonts w:ascii="Times New Roman" w:hAnsi="Times New Roman" w:cs="Times New Roman"/>
                <w:bCs/>
              </w:rPr>
              <w:t>1.18</w:t>
            </w:r>
          </w:p>
        </w:tc>
      </w:tr>
      <w:tr w:rsidR="005902E4" w14:paraId="7B70B91A" w14:textId="77777777" w:rsidTr="00123540">
        <w:trPr>
          <w:jc w:val="center"/>
        </w:trPr>
        <w:tc>
          <w:tcPr>
            <w:tcW w:w="0" w:type="auto"/>
          </w:tcPr>
          <w:p w14:paraId="1B1D401E" w14:textId="0FA6BE5B"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4C316C4E" w14:textId="2D1D5E92" w:rsidR="005902E4" w:rsidRDefault="005902E4" w:rsidP="005902E4">
            <w:pPr>
              <w:rPr>
                <w:rFonts w:ascii="Times New Roman" w:hAnsi="Times New Roman" w:cs="Times New Roman"/>
                <w:bCs/>
              </w:rPr>
            </w:pPr>
            <w:r>
              <w:rPr>
                <w:rFonts w:ascii="Times New Roman" w:hAnsi="Times New Roman" w:cs="Times New Roman"/>
                <w:bCs/>
              </w:rPr>
              <w:t>Catchment area</w:t>
            </w:r>
          </w:p>
        </w:tc>
        <w:tc>
          <w:tcPr>
            <w:tcW w:w="0" w:type="auto"/>
          </w:tcPr>
          <w:p w14:paraId="1F14C906" w14:textId="5AC1C3A8" w:rsidR="005902E4" w:rsidRDefault="005902E4" w:rsidP="005902E4">
            <w:pPr>
              <w:jc w:val="right"/>
              <w:rPr>
                <w:rFonts w:ascii="Times New Roman" w:hAnsi="Times New Roman" w:cs="Times New Roman"/>
                <w:bCs/>
              </w:rPr>
            </w:pPr>
            <w:r>
              <w:rPr>
                <w:rFonts w:ascii="Times New Roman" w:hAnsi="Times New Roman" w:cs="Times New Roman"/>
                <w:bCs/>
              </w:rPr>
              <w:t>1.81</w:t>
            </w:r>
          </w:p>
        </w:tc>
      </w:tr>
      <w:tr w:rsidR="005902E4" w14:paraId="674B6BC7" w14:textId="77777777" w:rsidTr="00123540">
        <w:trPr>
          <w:jc w:val="center"/>
        </w:trPr>
        <w:tc>
          <w:tcPr>
            <w:tcW w:w="0" w:type="auto"/>
          </w:tcPr>
          <w:p w14:paraId="23E6DD7A" w14:textId="0AE174F8"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Pr>
          <w:p w14:paraId="6ACB63D0" w14:textId="567BDBD9" w:rsidR="005902E4" w:rsidRDefault="005902E4" w:rsidP="005902E4">
            <w:pPr>
              <w:rPr>
                <w:rFonts w:ascii="Times New Roman" w:hAnsi="Times New Roman" w:cs="Times New Roman"/>
                <w:bCs/>
              </w:rPr>
            </w:pPr>
            <w:r>
              <w:rPr>
                <w:rFonts w:ascii="Times New Roman" w:hAnsi="Times New Roman" w:cs="Times New Roman"/>
                <w:bCs/>
              </w:rPr>
              <w:t>Slope</w:t>
            </w:r>
          </w:p>
        </w:tc>
        <w:tc>
          <w:tcPr>
            <w:tcW w:w="0" w:type="auto"/>
          </w:tcPr>
          <w:p w14:paraId="17C1223E" w14:textId="68ADE92C" w:rsidR="005902E4" w:rsidRDefault="005902E4" w:rsidP="005902E4">
            <w:pPr>
              <w:jc w:val="right"/>
              <w:rPr>
                <w:rFonts w:ascii="Times New Roman" w:hAnsi="Times New Roman" w:cs="Times New Roman"/>
                <w:bCs/>
              </w:rPr>
            </w:pPr>
            <w:r>
              <w:rPr>
                <w:rFonts w:ascii="Times New Roman" w:hAnsi="Times New Roman" w:cs="Times New Roman"/>
                <w:bCs/>
              </w:rPr>
              <w:t>1.36</w:t>
            </w:r>
          </w:p>
        </w:tc>
      </w:tr>
      <w:tr w:rsidR="005902E4" w14:paraId="613B5B62" w14:textId="77777777" w:rsidTr="00123540">
        <w:trPr>
          <w:jc w:val="center"/>
        </w:trPr>
        <w:tc>
          <w:tcPr>
            <w:tcW w:w="0" w:type="auto"/>
            <w:tcBorders>
              <w:bottom w:val="single" w:sz="4" w:space="0" w:color="auto"/>
            </w:tcBorders>
          </w:tcPr>
          <w:p w14:paraId="0D610F1E" w14:textId="0650F24A" w:rsidR="005902E4" w:rsidRPr="00A178C5" w:rsidRDefault="005902E4" w:rsidP="005902E4">
            <w:pPr>
              <w:rPr>
                <w:rFonts w:ascii="Times New Roman" w:hAnsi="Times New Roman" w:cs="Times New Roman"/>
                <w:bCs/>
              </w:rPr>
            </w:pPr>
            <w:r w:rsidRPr="00B56D80">
              <w:rPr>
                <w:rFonts w:ascii="Times New Roman" w:hAnsi="Times New Roman" w:cs="Times New Roman"/>
                <w:bCs/>
              </w:rPr>
              <w:t>Functional diversity</w:t>
            </w:r>
          </w:p>
        </w:tc>
        <w:tc>
          <w:tcPr>
            <w:tcW w:w="0" w:type="auto"/>
            <w:tcBorders>
              <w:bottom w:val="single" w:sz="4" w:space="0" w:color="auto"/>
            </w:tcBorders>
          </w:tcPr>
          <w:p w14:paraId="5F8D9D0E" w14:textId="72D738EA" w:rsidR="005902E4" w:rsidRDefault="005902E4" w:rsidP="005902E4">
            <w:pPr>
              <w:rPr>
                <w:rFonts w:ascii="Times New Roman" w:hAnsi="Times New Roman" w:cs="Times New Roman"/>
                <w:bCs/>
              </w:rPr>
            </w:pPr>
            <w:r>
              <w:rPr>
                <w:rFonts w:ascii="Times New Roman" w:hAnsi="Times New Roman" w:cs="Times New Roman"/>
                <w:bCs/>
              </w:rPr>
              <w:t>Free-flowing area</w:t>
            </w:r>
          </w:p>
        </w:tc>
        <w:tc>
          <w:tcPr>
            <w:tcW w:w="0" w:type="auto"/>
            <w:tcBorders>
              <w:bottom w:val="single" w:sz="4" w:space="0" w:color="auto"/>
            </w:tcBorders>
          </w:tcPr>
          <w:p w14:paraId="56CF13E7" w14:textId="45AF537B" w:rsidR="005902E4" w:rsidRDefault="005902E4" w:rsidP="005902E4">
            <w:pPr>
              <w:jc w:val="right"/>
              <w:rPr>
                <w:rFonts w:ascii="Times New Roman" w:hAnsi="Times New Roman" w:cs="Times New Roman"/>
                <w:bCs/>
              </w:rPr>
            </w:pPr>
            <w:r>
              <w:rPr>
                <w:rFonts w:ascii="Times New Roman" w:hAnsi="Times New Roman" w:cs="Times New Roman"/>
                <w:bCs/>
              </w:rPr>
              <w:t>1.03</w:t>
            </w:r>
          </w:p>
        </w:tc>
      </w:tr>
    </w:tbl>
    <w:p w14:paraId="5D447326" w14:textId="622211F8" w:rsidR="00BA7D0F" w:rsidRDefault="00BA7D0F">
      <w:pPr>
        <w:rPr>
          <w:rFonts w:ascii="Times New Roman" w:hAnsi="Times New Roman" w:cs="Times New Roman"/>
        </w:rPr>
      </w:pPr>
    </w:p>
    <w:p w14:paraId="2E1CA222" w14:textId="35CA2C88" w:rsidR="00BA7D0F" w:rsidRDefault="00BA7D0F" w:rsidP="00BA7D0F">
      <w:pPr>
        <w:rPr>
          <w:rFonts w:ascii="Times New Roman" w:hAnsi="Times New Roman" w:cs="Times New Roman"/>
        </w:rPr>
      </w:pPr>
      <w:r>
        <w:rPr>
          <w:rFonts w:ascii="Times New Roman" w:hAnsi="Times New Roman" w:cs="Times New Roman"/>
          <w:noProof/>
          <w:color w:val="4BACC6" w:themeColor="accent5"/>
          <w:lang w:val="fr-FR" w:eastAsia="fr-FR"/>
        </w:rPr>
        <w:lastRenderedPageBreak/>
        <w:drawing>
          <wp:inline distT="0" distB="0" distL="0" distR="0" wp14:anchorId="2E96BFC8" wp14:editId="7A3097B4">
            <wp:extent cx="5486400" cy="4178105"/>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ransI_L93Coords.png"/>
                    <pic:cNvPicPr/>
                  </pic:nvPicPr>
                  <pic:blipFill rotWithShape="1">
                    <a:blip r:embed="rId21">
                      <a:extLst>
                        <a:ext uri="{28A0092B-C50C-407E-A947-70E740481C1C}">
                          <a14:useLocalDpi xmlns:a14="http://schemas.microsoft.com/office/drawing/2010/main" val="0"/>
                        </a:ext>
                      </a:extLst>
                    </a:blip>
                    <a:srcRect t="11125"/>
                    <a:stretch/>
                  </pic:blipFill>
                  <pic:spPr bwMode="auto">
                    <a:xfrm>
                      <a:off x="0" y="0"/>
                      <a:ext cx="5486400" cy="4178105"/>
                    </a:xfrm>
                    <a:prstGeom prst="rect">
                      <a:avLst/>
                    </a:prstGeom>
                    <a:ln>
                      <a:noFill/>
                    </a:ln>
                    <a:extLst>
                      <a:ext uri="{53640926-AAD7-44D8-BBD7-CCE9431645EC}">
                        <a14:shadowObscured xmlns:a14="http://schemas.microsoft.com/office/drawing/2010/main"/>
                      </a:ext>
                    </a:extLst>
                  </pic:spPr>
                </pic:pic>
              </a:graphicData>
            </a:graphic>
          </wp:inline>
        </w:drawing>
      </w:r>
    </w:p>
    <w:p w14:paraId="36B3229A" w14:textId="18D8ABD8" w:rsidR="00D16F03" w:rsidRDefault="00FD1AE9" w:rsidP="007F5ABE">
      <w:pPr>
        <w:jc w:val="both"/>
        <w:rPr>
          <w:rFonts w:ascii="Times New Roman" w:hAnsi="Times New Roman" w:cs="Times New Roman"/>
        </w:rPr>
      </w:pPr>
      <w:bookmarkStart w:id="62" w:name="_Toc100607942"/>
      <w:r w:rsidRPr="00FD1AE9">
        <w:rPr>
          <w:rFonts w:ascii="Times New Roman" w:hAnsi="Times New Roman" w:cs="Times New Roman"/>
          <w:b/>
          <w:bCs/>
        </w:rPr>
        <w:t xml:space="preserve">Figure </w:t>
      </w:r>
      <w:r w:rsidRPr="00FD1AE9">
        <w:rPr>
          <w:rFonts w:ascii="Times New Roman" w:hAnsi="Times New Roman" w:cs="Times New Roman"/>
          <w:b/>
          <w:bCs/>
        </w:rPr>
        <w:fldChar w:fldCharType="begin"/>
      </w:r>
      <w:r w:rsidRPr="00FD1AE9">
        <w:rPr>
          <w:rFonts w:ascii="Times New Roman" w:hAnsi="Times New Roman" w:cs="Times New Roman"/>
          <w:b/>
          <w:bCs/>
        </w:rPr>
        <w:instrText xml:space="preserve"> SEQ Figure \* ARABIC </w:instrText>
      </w:r>
      <w:r w:rsidRPr="00FD1AE9">
        <w:rPr>
          <w:rFonts w:ascii="Times New Roman" w:hAnsi="Times New Roman" w:cs="Times New Roman"/>
          <w:b/>
          <w:bCs/>
        </w:rPr>
        <w:fldChar w:fldCharType="separate"/>
      </w:r>
      <w:r w:rsidRPr="00FD1AE9">
        <w:rPr>
          <w:rFonts w:ascii="Times New Roman" w:hAnsi="Times New Roman" w:cs="Times New Roman"/>
          <w:b/>
          <w:bCs/>
          <w:noProof/>
        </w:rPr>
        <w:t>13</w:t>
      </w:r>
      <w:r w:rsidRPr="00FD1AE9">
        <w:rPr>
          <w:rFonts w:ascii="Times New Roman" w:hAnsi="Times New Roman" w:cs="Times New Roman"/>
          <w:b/>
          <w:bCs/>
        </w:rPr>
        <w:fldChar w:fldCharType="end"/>
      </w:r>
      <w:r w:rsidRPr="00FD1AE9">
        <w:rPr>
          <w:rFonts w:ascii="Times New Roman" w:hAnsi="Times New Roman" w:cs="Times New Roman"/>
          <w:b/>
          <w:bCs/>
        </w:rPr>
        <w:t>.</w:t>
      </w:r>
      <w:r w:rsidRPr="00DF7C87">
        <w:rPr>
          <w:rFonts w:ascii="Times New Roman" w:hAnsi="Times New Roman" w:cs="Times New Roman"/>
        </w:rPr>
        <w:t xml:space="preserve"> </w:t>
      </w:r>
      <w:r>
        <w:rPr>
          <w:rFonts w:ascii="Times New Roman" w:hAnsi="Times New Roman" w:cs="Times New Roman"/>
        </w:rPr>
        <w:t xml:space="preserve"> </w:t>
      </w:r>
      <w:r w:rsidR="00D16F03" w:rsidRPr="009813F0">
        <w:rPr>
          <w:rFonts w:ascii="Times New Roman" w:hAnsi="Times New Roman" w:cs="Times New Roman"/>
          <w:b/>
          <w:bCs/>
        </w:rPr>
        <w:t>Spline correlogram showing potential spatial autocorrelation in residuals from the best-fit biomass model.</w:t>
      </w:r>
      <w:r w:rsidR="00D16F03" w:rsidRPr="00BA7D0F">
        <w:rPr>
          <w:rFonts w:ascii="Times New Roman" w:hAnsi="Times New Roman" w:cs="Times New Roman"/>
        </w:rPr>
        <w:t xml:space="preserve"> Shown are Moran’s I correlation for pairwise residuals as a function of pairwise site distance (in meters). Grey polygons indicate 95% confidence intervals obtained from bootstrapping.</w:t>
      </w:r>
      <w:bookmarkEnd w:id="62"/>
    </w:p>
    <w:p w14:paraId="281B3453" w14:textId="77777777" w:rsidR="00D16F03" w:rsidRDefault="00D16F03" w:rsidP="00BA7D0F">
      <w:pPr>
        <w:rPr>
          <w:rFonts w:ascii="Times New Roman" w:hAnsi="Times New Roman" w:cs="Times New Roman"/>
        </w:rPr>
      </w:pPr>
    </w:p>
    <w:p w14:paraId="5E2B4FEC" w14:textId="77777777" w:rsidR="00D16F03" w:rsidRDefault="00D16F03">
      <w:pPr>
        <w:rPr>
          <w:rFonts w:ascii="Times New Roman" w:hAnsi="Times New Roman" w:cs="Times New Roman"/>
          <w:b/>
        </w:rPr>
      </w:pPr>
      <w:r>
        <w:rPr>
          <w:rFonts w:ascii="Times New Roman" w:hAnsi="Times New Roman" w:cs="Times New Roman"/>
          <w:b/>
        </w:rPr>
        <w:br w:type="page"/>
      </w:r>
    </w:p>
    <w:p w14:paraId="5328BAE1" w14:textId="5A574B28" w:rsidR="00BA7D0F" w:rsidRPr="004C4DD8" w:rsidRDefault="000B2B3A" w:rsidP="00123540">
      <w:pPr>
        <w:jc w:val="both"/>
        <w:rPr>
          <w:rFonts w:ascii="Times New Roman" w:hAnsi="Times New Roman" w:cs="Times New Roman"/>
        </w:rPr>
      </w:pPr>
      <w:bookmarkStart w:id="63" w:name="_Toc93411181"/>
      <w:r w:rsidRPr="000B2B3A">
        <w:rPr>
          <w:rFonts w:ascii="Times New Roman" w:hAnsi="Times New Roman" w:cs="Times New Roman"/>
          <w:b/>
          <w:bCs/>
        </w:rPr>
        <w:lastRenderedPageBreak/>
        <w:t xml:space="preserve">Table </w:t>
      </w:r>
      <w:r w:rsidRPr="000B2B3A">
        <w:rPr>
          <w:rFonts w:ascii="Times New Roman" w:hAnsi="Times New Roman" w:cs="Times New Roman"/>
          <w:b/>
          <w:bCs/>
        </w:rPr>
        <w:fldChar w:fldCharType="begin"/>
      </w:r>
      <w:r w:rsidRPr="000B2B3A">
        <w:rPr>
          <w:rFonts w:ascii="Times New Roman" w:hAnsi="Times New Roman" w:cs="Times New Roman"/>
          <w:b/>
          <w:bCs/>
        </w:rPr>
        <w:instrText xml:space="preserve"> SEQ Table \* ARABIC </w:instrText>
      </w:r>
      <w:r w:rsidRPr="000B2B3A">
        <w:rPr>
          <w:rFonts w:ascii="Times New Roman" w:hAnsi="Times New Roman" w:cs="Times New Roman"/>
          <w:b/>
          <w:bCs/>
        </w:rPr>
        <w:fldChar w:fldCharType="separate"/>
      </w:r>
      <w:r w:rsidRPr="000B2B3A">
        <w:rPr>
          <w:rFonts w:ascii="Times New Roman" w:hAnsi="Times New Roman" w:cs="Times New Roman"/>
          <w:b/>
          <w:bCs/>
          <w:noProof/>
        </w:rPr>
        <w:t>10</w:t>
      </w:r>
      <w:r w:rsidRPr="000B2B3A">
        <w:rPr>
          <w:rFonts w:ascii="Times New Roman" w:hAnsi="Times New Roman" w:cs="Times New Roman"/>
          <w:b/>
          <w:bCs/>
        </w:rPr>
        <w:fldChar w:fldCharType="end"/>
      </w:r>
      <w:r w:rsidRPr="000B2B3A">
        <w:rPr>
          <w:rFonts w:ascii="Times New Roman" w:hAnsi="Times New Roman" w:cs="Times New Roman"/>
          <w:b/>
          <w:bCs/>
        </w:rPr>
        <w:t>.</w:t>
      </w:r>
      <w:r w:rsidRPr="00DF7C87">
        <w:rPr>
          <w:rFonts w:ascii="Times New Roman" w:hAnsi="Times New Roman" w:cs="Times New Roman"/>
        </w:rPr>
        <w:t xml:space="preserve"> </w:t>
      </w:r>
      <w:r w:rsidR="00BA7D0F" w:rsidRPr="004C4DD8">
        <w:rPr>
          <w:rFonts w:ascii="Times New Roman" w:hAnsi="Times New Roman" w:cs="Times New Roman"/>
        </w:rPr>
        <w:t xml:space="preserve">Evaluation of conditional independence claims in the </w:t>
      </w:r>
      <w:r w:rsidR="00BA7D0F" w:rsidRPr="00C1336E">
        <w:rPr>
          <w:rFonts w:ascii="Times New Roman" w:hAnsi="Times New Roman" w:cs="Times New Roman"/>
          <w:i/>
        </w:rPr>
        <w:t>total biodiversity</w:t>
      </w:r>
      <w:r w:rsidR="00BA7D0F" w:rsidRPr="004C4DD8">
        <w:rPr>
          <w:rFonts w:ascii="Times New Roman" w:hAnsi="Times New Roman" w:cs="Times New Roman"/>
        </w:rPr>
        <w:t xml:space="preserve"> path model</w:t>
      </w:r>
      <w:r w:rsidR="00BA7D0F">
        <w:rPr>
          <w:rFonts w:ascii="Times New Roman" w:hAnsi="Times New Roman" w:cs="Times New Roman"/>
        </w:rPr>
        <w:t xml:space="preserve"> shown in Fig. </w:t>
      </w:r>
      <w:r w:rsidR="007F5ABE">
        <w:rPr>
          <w:rFonts w:ascii="Times New Roman" w:hAnsi="Times New Roman" w:cs="Times New Roman"/>
        </w:rPr>
        <w:t>11</w:t>
      </w:r>
      <w:r w:rsidR="00BA7D0F">
        <w:rPr>
          <w:rFonts w:ascii="Times New Roman" w:hAnsi="Times New Roman" w:cs="Times New Roman"/>
        </w:rPr>
        <w:t>a</w:t>
      </w:r>
      <w:r w:rsidR="00BA7D0F" w:rsidRPr="004C4DD8">
        <w:rPr>
          <w:rFonts w:ascii="Times New Roman" w:hAnsi="Times New Roman" w:cs="Times New Roman"/>
        </w:rPr>
        <w:t xml:space="preserve">. Abbreviations for predictors are: </w:t>
      </w:r>
      <w:r w:rsidR="00BA7D0F">
        <w:rPr>
          <w:rFonts w:ascii="Times New Roman" w:hAnsi="Times New Roman" w:cs="Times New Roman"/>
        </w:rPr>
        <w:t>precipitation</w:t>
      </w:r>
      <w:r w:rsidR="00BA7D0F" w:rsidRPr="004C4DD8">
        <w:rPr>
          <w:rFonts w:ascii="Times New Roman" w:hAnsi="Times New Roman" w:cs="Times New Roman"/>
        </w:rPr>
        <w:t xml:space="preserve"> (PRCP), </w:t>
      </w:r>
      <w:r w:rsidR="00BA7D0F">
        <w:rPr>
          <w:rFonts w:ascii="Times New Roman" w:hAnsi="Times New Roman" w:cs="Times New Roman"/>
        </w:rPr>
        <w:t>temperature</w:t>
      </w:r>
      <w:r w:rsidR="00BA7D0F" w:rsidRPr="004C4DD8">
        <w:rPr>
          <w:rFonts w:ascii="Times New Roman" w:hAnsi="Times New Roman" w:cs="Times New Roman"/>
        </w:rPr>
        <w:t xml:space="preserve"> (TMP), biomass (BIOM), functional diversity (FD), </w:t>
      </w:r>
      <w:r w:rsidR="00BA7D0F">
        <w:rPr>
          <w:rFonts w:ascii="Times New Roman" w:hAnsi="Times New Roman" w:cs="Times New Roman"/>
        </w:rPr>
        <w:t xml:space="preserve">human impact (HFI), </w:t>
      </w:r>
      <w:r w:rsidR="00BA7D0F" w:rsidRPr="004C4DD8">
        <w:rPr>
          <w:rFonts w:ascii="Times New Roman" w:hAnsi="Times New Roman" w:cs="Times New Roman"/>
        </w:rPr>
        <w:t xml:space="preserve">slope (SLP), species </w:t>
      </w:r>
      <w:r w:rsidR="00BA7D0F">
        <w:rPr>
          <w:rFonts w:ascii="Times New Roman" w:hAnsi="Times New Roman" w:cs="Times New Roman"/>
        </w:rPr>
        <w:t>richness (SR</w:t>
      </w:r>
      <w:r w:rsidR="00BA7D0F" w:rsidRPr="004C4DD8">
        <w:rPr>
          <w:rFonts w:ascii="Times New Roman" w:hAnsi="Times New Roman" w:cs="Times New Roman"/>
        </w:rPr>
        <w:t>), s</w:t>
      </w:r>
      <w:r w:rsidR="00BA7D0F">
        <w:rPr>
          <w:rFonts w:ascii="Times New Roman" w:hAnsi="Times New Roman" w:cs="Times New Roman"/>
        </w:rPr>
        <w:t>ampled</w:t>
      </w:r>
      <w:r w:rsidR="00BA7D0F" w:rsidRPr="004C4DD8">
        <w:rPr>
          <w:rFonts w:ascii="Times New Roman" w:hAnsi="Times New Roman" w:cs="Times New Roman"/>
        </w:rPr>
        <w:t xml:space="preserve"> area (SURF),</w:t>
      </w:r>
      <w:r w:rsidR="00BA7D0F">
        <w:rPr>
          <w:rFonts w:ascii="Times New Roman" w:hAnsi="Times New Roman" w:cs="Times New Roman"/>
        </w:rPr>
        <w:t xml:space="preserve"> upstream catchment area (UPCT),</w:t>
      </w:r>
      <w:r w:rsidR="00BA7D0F" w:rsidRPr="004C4DD8">
        <w:rPr>
          <w:rFonts w:ascii="Times New Roman" w:hAnsi="Times New Roman" w:cs="Times New Roman"/>
        </w:rPr>
        <w:t xml:space="preserve"> </w:t>
      </w:r>
      <w:r w:rsidR="00BA7D0F">
        <w:rPr>
          <w:rFonts w:ascii="Times New Roman" w:hAnsi="Times New Roman" w:cs="Times New Roman"/>
        </w:rPr>
        <w:t>and free-flowing area (FFA).</w:t>
      </w:r>
      <w:bookmarkEnd w:id="6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8"/>
        <w:gridCol w:w="1042"/>
      </w:tblGrid>
      <w:tr w:rsidR="00BA7D0F" w:rsidRPr="004C4DD8" w14:paraId="3B880BB1" w14:textId="77777777" w:rsidTr="00A30E95">
        <w:tc>
          <w:tcPr>
            <w:tcW w:w="8275" w:type="dxa"/>
            <w:tcBorders>
              <w:top w:val="single" w:sz="4" w:space="0" w:color="auto"/>
              <w:bottom w:val="single" w:sz="4" w:space="0" w:color="auto"/>
            </w:tcBorders>
          </w:tcPr>
          <w:p w14:paraId="5C962AB2" w14:textId="77777777" w:rsidR="00BA7D0F" w:rsidRPr="00123540" w:rsidRDefault="00BA7D0F" w:rsidP="00BA7D0F">
            <w:pPr>
              <w:rPr>
                <w:rFonts w:ascii="Times New Roman" w:hAnsi="Times New Roman" w:cs="Times New Roman"/>
                <w:b/>
                <w:bCs/>
              </w:rPr>
            </w:pPr>
            <w:r w:rsidRPr="00123540">
              <w:rPr>
                <w:rFonts w:ascii="Times New Roman" w:hAnsi="Times New Roman" w:cs="Times New Roman"/>
                <w:b/>
                <w:bCs/>
              </w:rPr>
              <w:t>Conditional independence claim</w:t>
            </w:r>
          </w:p>
        </w:tc>
        <w:tc>
          <w:tcPr>
            <w:tcW w:w="1075" w:type="dxa"/>
            <w:tcBorders>
              <w:top w:val="single" w:sz="4" w:space="0" w:color="auto"/>
              <w:bottom w:val="single" w:sz="4" w:space="0" w:color="auto"/>
            </w:tcBorders>
          </w:tcPr>
          <w:p w14:paraId="07F0CA28" w14:textId="77777777" w:rsidR="00BA7D0F" w:rsidRPr="00123540" w:rsidRDefault="00BA7D0F" w:rsidP="00BA7D0F">
            <w:pPr>
              <w:rPr>
                <w:rFonts w:ascii="Times New Roman" w:hAnsi="Times New Roman" w:cs="Times New Roman"/>
                <w:b/>
                <w:bCs/>
              </w:rPr>
            </w:pPr>
            <w:r w:rsidRPr="00123540">
              <w:rPr>
                <w:rFonts w:ascii="Times New Roman" w:hAnsi="Times New Roman" w:cs="Times New Roman"/>
                <w:b/>
                <w:bCs/>
                <w:i/>
              </w:rPr>
              <w:t>p</w:t>
            </w:r>
            <w:r w:rsidRPr="00123540">
              <w:rPr>
                <w:rFonts w:ascii="Times New Roman" w:hAnsi="Times New Roman" w:cs="Times New Roman"/>
                <w:b/>
                <w:bCs/>
              </w:rPr>
              <w:t>–value</w:t>
            </w:r>
          </w:p>
        </w:tc>
      </w:tr>
      <w:tr w:rsidR="00BA7D0F" w:rsidRPr="004C4DD8" w14:paraId="77066947" w14:textId="77777777" w:rsidTr="00A30E95">
        <w:tc>
          <w:tcPr>
            <w:tcW w:w="8275" w:type="dxa"/>
            <w:tcBorders>
              <w:top w:val="single" w:sz="4" w:space="0" w:color="auto"/>
            </w:tcBorders>
          </w:tcPr>
          <w:p w14:paraId="6D3550C0" w14:textId="77777777" w:rsidR="00BA7D0F" w:rsidRPr="004C4DD8" w:rsidRDefault="00BA7D0F" w:rsidP="00BA7D0F">
            <w:pPr>
              <w:rPr>
                <w:rFonts w:ascii="Times New Roman" w:hAnsi="Times New Roman" w:cs="Times New Roman"/>
              </w:rPr>
            </w:pPr>
            <w:r w:rsidRPr="004C4DD8">
              <w:rPr>
                <w:rFonts w:ascii="Times New Roman" w:hAnsi="Times New Roman" w:cs="Times New Roman"/>
              </w:rPr>
              <w:t>1. (</w:t>
            </w:r>
            <w:r>
              <w:rPr>
                <w:rFonts w:ascii="Times New Roman" w:hAnsi="Times New Roman" w:cs="Times New Roman"/>
              </w:rPr>
              <w:t>FD, SURF) | {TMP, PRCP, UPCT, SR</w:t>
            </w:r>
            <w:r w:rsidRPr="004C4DD8">
              <w:rPr>
                <w:rFonts w:ascii="Times New Roman" w:hAnsi="Times New Roman" w:cs="Times New Roman"/>
              </w:rPr>
              <w:t>}</w:t>
            </w:r>
          </w:p>
        </w:tc>
        <w:tc>
          <w:tcPr>
            <w:tcW w:w="1075" w:type="dxa"/>
            <w:tcBorders>
              <w:top w:val="single" w:sz="4" w:space="0" w:color="auto"/>
            </w:tcBorders>
          </w:tcPr>
          <w:p w14:paraId="3167D295" w14:textId="77777777" w:rsidR="00BA7D0F" w:rsidRPr="004C4DD8" w:rsidRDefault="00BA7D0F" w:rsidP="00BA7D0F">
            <w:pPr>
              <w:jc w:val="right"/>
              <w:rPr>
                <w:rFonts w:ascii="Times New Roman" w:hAnsi="Times New Roman" w:cs="Times New Roman"/>
              </w:rPr>
            </w:pPr>
            <w:r>
              <w:rPr>
                <w:rFonts w:ascii="Times New Roman" w:hAnsi="Times New Roman" w:cs="Times New Roman"/>
              </w:rPr>
              <w:t>0.405</w:t>
            </w:r>
          </w:p>
        </w:tc>
      </w:tr>
      <w:tr w:rsidR="00BA7D0F" w:rsidRPr="004C4DD8" w14:paraId="3207AB72" w14:textId="77777777" w:rsidTr="00A30E95">
        <w:trPr>
          <w:trHeight w:val="260"/>
        </w:trPr>
        <w:tc>
          <w:tcPr>
            <w:tcW w:w="8275" w:type="dxa"/>
          </w:tcPr>
          <w:p w14:paraId="4C01D01D" w14:textId="77777777" w:rsidR="00BA7D0F" w:rsidRPr="004C4DD8" w:rsidRDefault="00BA7D0F" w:rsidP="00BA7D0F">
            <w:pPr>
              <w:rPr>
                <w:rFonts w:ascii="Times New Roman" w:hAnsi="Times New Roman" w:cs="Times New Roman"/>
              </w:rPr>
            </w:pPr>
            <w:r>
              <w:rPr>
                <w:rFonts w:ascii="Times New Roman" w:hAnsi="Times New Roman" w:cs="Times New Roman"/>
              </w:rPr>
              <w:t>2. (FD, HFI) | {TMP, PRCP, UPCT, SR</w:t>
            </w:r>
            <w:r w:rsidRPr="004C4DD8">
              <w:rPr>
                <w:rFonts w:ascii="Times New Roman" w:hAnsi="Times New Roman" w:cs="Times New Roman"/>
              </w:rPr>
              <w:t>}</w:t>
            </w:r>
          </w:p>
        </w:tc>
        <w:tc>
          <w:tcPr>
            <w:tcW w:w="1075" w:type="dxa"/>
          </w:tcPr>
          <w:p w14:paraId="7C99C42B" w14:textId="77777777" w:rsidR="00BA7D0F" w:rsidRPr="004C4DD8" w:rsidRDefault="00BA7D0F" w:rsidP="00BA7D0F">
            <w:pPr>
              <w:jc w:val="right"/>
              <w:rPr>
                <w:rFonts w:ascii="Times New Roman" w:hAnsi="Times New Roman" w:cs="Times New Roman"/>
              </w:rPr>
            </w:pPr>
            <w:r>
              <w:rPr>
                <w:rFonts w:ascii="Times New Roman" w:hAnsi="Times New Roman" w:cs="Times New Roman"/>
              </w:rPr>
              <w:t>0.795</w:t>
            </w:r>
          </w:p>
        </w:tc>
      </w:tr>
      <w:tr w:rsidR="00BA7D0F" w:rsidRPr="004C4DD8" w14:paraId="2EB1A3DC" w14:textId="77777777" w:rsidTr="00A30E95">
        <w:tc>
          <w:tcPr>
            <w:tcW w:w="8275" w:type="dxa"/>
          </w:tcPr>
          <w:p w14:paraId="6B48F7C6" w14:textId="77777777" w:rsidR="00BA7D0F" w:rsidRDefault="00BA7D0F" w:rsidP="00BA7D0F">
            <w:pPr>
              <w:rPr>
                <w:rFonts w:ascii="Times New Roman" w:hAnsi="Times New Roman" w:cs="Times New Roman"/>
              </w:rPr>
            </w:pPr>
            <w:r>
              <w:rPr>
                <w:rFonts w:ascii="Times New Roman" w:hAnsi="Times New Roman" w:cs="Times New Roman"/>
              </w:rPr>
              <w:t>3. (BIOM, UPCT) | {SURF, TMP, PRCP, HFI, SR, FD}</w:t>
            </w:r>
          </w:p>
        </w:tc>
        <w:tc>
          <w:tcPr>
            <w:tcW w:w="1075" w:type="dxa"/>
          </w:tcPr>
          <w:p w14:paraId="69564C15" w14:textId="77777777" w:rsidR="00BA7D0F" w:rsidRDefault="00BA7D0F" w:rsidP="00BA7D0F">
            <w:pPr>
              <w:jc w:val="right"/>
              <w:rPr>
                <w:rFonts w:ascii="Times New Roman" w:hAnsi="Times New Roman" w:cs="Times New Roman"/>
              </w:rPr>
            </w:pPr>
            <w:r>
              <w:rPr>
                <w:rFonts w:ascii="Times New Roman" w:hAnsi="Times New Roman" w:cs="Times New Roman"/>
              </w:rPr>
              <w:t>0.818</w:t>
            </w:r>
          </w:p>
        </w:tc>
      </w:tr>
      <w:tr w:rsidR="00BA7D0F" w:rsidRPr="004C4DD8" w14:paraId="36661BBB" w14:textId="77777777" w:rsidTr="00A30E95">
        <w:tc>
          <w:tcPr>
            <w:tcW w:w="8275" w:type="dxa"/>
          </w:tcPr>
          <w:p w14:paraId="6FE80DC7" w14:textId="77777777" w:rsidR="00BA7D0F" w:rsidRDefault="00BA7D0F" w:rsidP="00BA7D0F">
            <w:pPr>
              <w:rPr>
                <w:rFonts w:ascii="Times New Roman" w:hAnsi="Times New Roman" w:cs="Times New Roman"/>
              </w:rPr>
            </w:pPr>
            <w:r>
              <w:rPr>
                <w:rFonts w:ascii="Times New Roman" w:hAnsi="Times New Roman" w:cs="Times New Roman"/>
              </w:rPr>
              <w:t>4. (BIOM, SLP) | {SURF, TMP, PRCP, HFI, SR, FD}</w:t>
            </w:r>
          </w:p>
        </w:tc>
        <w:tc>
          <w:tcPr>
            <w:tcW w:w="1075" w:type="dxa"/>
          </w:tcPr>
          <w:p w14:paraId="346589D9" w14:textId="77777777" w:rsidR="00BA7D0F" w:rsidRDefault="00BA7D0F" w:rsidP="00BA7D0F">
            <w:pPr>
              <w:jc w:val="right"/>
              <w:rPr>
                <w:rFonts w:ascii="Times New Roman" w:hAnsi="Times New Roman" w:cs="Times New Roman"/>
              </w:rPr>
            </w:pPr>
            <w:r>
              <w:rPr>
                <w:rFonts w:ascii="Times New Roman" w:hAnsi="Times New Roman" w:cs="Times New Roman"/>
              </w:rPr>
              <w:t>0.380</w:t>
            </w:r>
          </w:p>
        </w:tc>
      </w:tr>
      <w:tr w:rsidR="00BA7D0F" w:rsidRPr="004C4DD8" w14:paraId="4B351877" w14:textId="77777777" w:rsidTr="00A30E95">
        <w:tc>
          <w:tcPr>
            <w:tcW w:w="8275" w:type="dxa"/>
          </w:tcPr>
          <w:p w14:paraId="06429CDE" w14:textId="77777777" w:rsidR="00BA7D0F" w:rsidRDefault="00BA7D0F" w:rsidP="00BA7D0F">
            <w:pPr>
              <w:rPr>
                <w:rFonts w:ascii="Times New Roman" w:hAnsi="Times New Roman" w:cs="Times New Roman"/>
              </w:rPr>
            </w:pPr>
            <w:r>
              <w:rPr>
                <w:rFonts w:ascii="Times New Roman" w:hAnsi="Times New Roman" w:cs="Times New Roman"/>
              </w:rPr>
              <w:t>5. (FD, UPCT) | {TMP, PRCP, UPCT, SR}</w:t>
            </w:r>
          </w:p>
        </w:tc>
        <w:tc>
          <w:tcPr>
            <w:tcW w:w="1075" w:type="dxa"/>
          </w:tcPr>
          <w:p w14:paraId="4488B283" w14:textId="77777777" w:rsidR="00BA7D0F" w:rsidRDefault="00BA7D0F" w:rsidP="00BA7D0F">
            <w:pPr>
              <w:jc w:val="right"/>
              <w:rPr>
                <w:rFonts w:ascii="Times New Roman" w:hAnsi="Times New Roman" w:cs="Times New Roman"/>
              </w:rPr>
            </w:pPr>
            <w:r>
              <w:rPr>
                <w:rFonts w:ascii="Times New Roman" w:hAnsi="Times New Roman" w:cs="Times New Roman"/>
              </w:rPr>
              <w:t>0.947</w:t>
            </w:r>
          </w:p>
        </w:tc>
      </w:tr>
      <w:tr w:rsidR="00BA7D0F" w:rsidRPr="004C4DD8" w14:paraId="1A8CB3AC" w14:textId="77777777" w:rsidTr="00A30E95">
        <w:tc>
          <w:tcPr>
            <w:tcW w:w="8275" w:type="dxa"/>
          </w:tcPr>
          <w:p w14:paraId="4EF87501" w14:textId="77777777" w:rsidR="00BA7D0F" w:rsidRDefault="00BA7D0F" w:rsidP="00BA7D0F">
            <w:pPr>
              <w:rPr>
                <w:rFonts w:ascii="Times New Roman" w:hAnsi="Times New Roman" w:cs="Times New Roman"/>
              </w:rPr>
            </w:pPr>
            <w:r>
              <w:rPr>
                <w:rFonts w:ascii="Times New Roman" w:hAnsi="Times New Roman" w:cs="Times New Roman"/>
              </w:rPr>
              <w:t>6. (BIOM, FFA) | { SURF, TMP, PRCP, HFI, SR, FD}</w:t>
            </w:r>
          </w:p>
        </w:tc>
        <w:tc>
          <w:tcPr>
            <w:tcW w:w="1075" w:type="dxa"/>
          </w:tcPr>
          <w:p w14:paraId="2CAD9728" w14:textId="77777777" w:rsidR="00BA7D0F" w:rsidRDefault="00BA7D0F" w:rsidP="00BA7D0F">
            <w:pPr>
              <w:jc w:val="right"/>
              <w:rPr>
                <w:rFonts w:ascii="Times New Roman" w:hAnsi="Times New Roman" w:cs="Times New Roman"/>
              </w:rPr>
            </w:pPr>
            <w:r>
              <w:rPr>
                <w:rFonts w:ascii="Times New Roman" w:hAnsi="Times New Roman" w:cs="Times New Roman"/>
              </w:rPr>
              <w:t>0.308</w:t>
            </w:r>
          </w:p>
        </w:tc>
      </w:tr>
      <w:tr w:rsidR="00BA7D0F" w:rsidRPr="004C4DD8" w14:paraId="1F8D3545" w14:textId="77777777" w:rsidTr="00A30E95">
        <w:tc>
          <w:tcPr>
            <w:tcW w:w="8275" w:type="dxa"/>
          </w:tcPr>
          <w:p w14:paraId="22D594AB" w14:textId="77777777" w:rsidR="00BA7D0F" w:rsidRDefault="00BA7D0F" w:rsidP="00BA7D0F">
            <w:pPr>
              <w:rPr>
                <w:rFonts w:ascii="Times New Roman" w:hAnsi="Times New Roman" w:cs="Times New Roman"/>
              </w:rPr>
            </w:pPr>
            <w:r>
              <w:rPr>
                <w:rFonts w:ascii="Times New Roman" w:hAnsi="Times New Roman" w:cs="Times New Roman"/>
              </w:rPr>
              <w:t>7. (FD, FFA) | {TMP, PRCP, UPCT, SR}</w:t>
            </w:r>
          </w:p>
        </w:tc>
        <w:tc>
          <w:tcPr>
            <w:tcW w:w="1075" w:type="dxa"/>
          </w:tcPr>
          <w:p w14:paraId="76B52D06" w14:textId="77777777" w:rsidR="00BA7D0F" w:rsidRDefault="00BA7D0F" w:rsidP="00BA7D0F">
            <w:pPr>
              <w:jc w:val="right"/>
              <w:rPr>
                <w:rFonts w:ascii="Times New Roman" w:hAnsi="Times New Roman" w:cs="Times New Roman"/>
              </w:rPr>
            </w:pPr>
            <w:r>
              <w:rPr>
                <w:rFonts w:ascii="Times New Roman" w:hAnsi="Times New Roman" w:cs="Times New Roman"/>
              </w:rPr>
              <w:t>0.700</w:t>
            </w:r>
          </w:p>
        </w:tc>
      </w:tr>
      <w:tr w:rsidR="00BA7D0F" w:rsidRPr="004C4DD8" w14:paraId="65FBBD24" w14:textId="77777777" w:rsidTr="00A30E95">
        <w:tc>
          <w:tcPr>
            <w:tcW w:w="8275" w:type="dxa"/>
            <w:tcBorders>
              <w:top w:val="single" w:sz="4" w:space="0" w:color="auto"/>
              <w:bottom w:val="single" w:sz="4" w:space="0" w:color="auto"/>
            </w:tcBorders>
          </w:tcPr>
          <w:p w14:paraId="074155BC" w14:textId="77777777" w:rsidR="00BA7D0F" w:rsidRPr="004C4DD8" w:rsidRDefault="00BA7D0F" w:rsidP="00BA7D0F">
            <w:pPr>
              <w:rPr>
                <w:rFonts w:ascii="Times New Roman" w:hAnsi="Times New Roman" w:cs="Times New Roman"/>
              </w:rPr>
            </w:pPr>
            <w:r w:rsidRPr="004C4DD8">
              <w:rPr>
                <w:rFonts w:ascii="Times New Roman" w:hAnsi="Times New Roman" w:cs="Times New Roman"/>
                <w:i/>
              </w:rPr>
              <w:t>C</w:t>
            </w:r>
            <w:r w:rsidRPr="004C4DD8">
              <w:rPr>
                <w:rFonts w:ascii="Times New Roman" w:hAnsi="Times New Roman" w:cs="Times New Roman"/>
              </w:rPr>
              <w:t xml:space="preserve"> = </w:t>
            </w:r>
            <m:oMath>
              <m:r>
                <w:rPr>
                  <w:rFonts w:ascii="Cambria Math" w:hAnsi="Cambria Math" w:cs="Times New Roman"/>
                </w:rPr>
                <m:t xml:space="preserve">-2 </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func>
                    <m:funcPr>
                      <m:ctrlPr>
                        <w:rPr>
                          <w:rFonts w:ascii="Cambria Math" w:hAnsi="Cambria Math" w:cs="Times New Roman"/>
                        </w:rPr>
                      </m:ctrlPr>
                    </m:funcPr>
                    <m:fName>
                      <m:r>
                        <w:rPr>
                          <w:rFonts w:ascii="Cambria Math" w:hAnsi="Cambria Math" w:cs="Times New Roman"/>
                        </w:rPr>
                        <m:t>ln</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r>
                        <w:rPr>
                          <w:rFonts w:ascii="Cambria Math" w:hAnsi="Cambria Math" w:cs="Times New Roman"/>
                        </w:rPr>
                        <m:t>)</m:t>
                      </m:r>
                    </m:e>
                  </m:func>
                  <m:r>
                    <m:rPr>
                      <m:sty m:val="p"/>
                    </m:rPr>
                    <w:rPr>
                      <w:rFonts w:ascii="Cambria Math" w:hAnsi="Cambria Math" w:cs="Times New Roman"/>
                    </w:rPr>
                    <m:t>⁡</m:t>
                  </m:r>
                </m:e>
              </m:nary>
            </m:oMath>
            <w:r w:rsidRPr="004C4DD8">
              <w:rPr>
                <w:rFonts w:ascii="Times New Roman" w:hAnsi="Times New Roman" w:cs="Times New Roman"/>
              </w:rPr>
              <w:t xml:space="preserve"> </w:t>
            </w:r>
          </w:p>
        </w:tc>
        <w:tc>
          <w:tcPr>
            <w:tcW w:w="1075" w:type="dxa"/>
            <w:tcBorders>
              <w:top w:val="single" w:sz="4" w:space="0" w:color="auto"/>
              <w:bottom w:val="single" w:sz="4" w:space="0" w:color="auto"/>
            </w:tcBorders>
          </w:tcPr>
          <w:p w14:paraId="7082D394" w14:textId="77777777" w:rsidR="00BA7D0F" w:rsidRPr="004C4DD8" w:rsidRDefault="00BA7D0F" w:rsidP="00BA7D0F">
            <w:pPr>
              <w:jc w:val="right"/>
              <w:rPr>
                <w:rFonts w:ascii="Times New Roman" w:hAnsi="Times New Roman" w:cs="Times New Roman"/>
              </w:rPr>
            </w:pPr>
            <w:r>
              <w:rPr>
                <w:rFonts w:ascii="Times New Roman" w:hAnsi="Times New Roman" w:cs="Times New Roman"/>
              </w:rPr>
              <w:t>7.781</w:t>
            </w:r>
          </w:p>
        </w:tc>
      </w:tr>
      <w:tr w:rsidR="00BA7D0F" w:rsidRPr="004C4DD8" w14:paraId="105CEDDC" w14:textId="77777777" w:rsidTr="00A30E95">
        <w:tc>
          <w:tcPr>
            <w:tcW w:w="8275" w:type="dxa"/>
            <w:tcBorders>
              <w:top w:val="single" w:sz="4" w:space="0" w:color="auto"/>
              <w:bottom w:val="single" w:sz="4" w:space="0" w:color="auto"/>
            </w:tcBorders>
          </w:tcPr>
          <w:p w14:paraId="0593E8F8" w14:textId="77777777" w:rsidR="00BA7D0F" w:rsidRPr="004C4DD8" w:rsidRDefault="00BA7D0F" w:rsidP="00BA7D0F">
            <w:pPr>
              <w:rPr>
                <w:rFonts w:ascii="Times New Roman" w:hAnsi="Times New Roman" w:cs="Times New Roman"/>
              </w:rPr>
            </w:pPr>
            <w:r w:rsidRPr="004C4DD8">
              <w:rPr>
                <w:rFonts w:ascii="Times New Roman" w:hAnsi="Times New Roman" w:cs="Times New Roman"/>
              </w:rPr>
              <w:t xml:space="preserve">Overall </w:t>
            </w:r>
            <w:r w:rsidRPr="004C4DD8">
              <w:rPr>
                <w:rFonts w:ascii="Times New Roman" w:hAnsi="Times New Roman" w:cs="Times New Roman"/>
                <w:i/>
              </w:rPr>
              <w:t>p</w:t>
            </w:r>
            <w:r>
              <w:rPr>
                <w:rFonts w:ascii="Times New Roman" w:hAnsi="Times New Roman" w:cs="Times New Roman"/>
              </w:rPr>
              <w:t>–</w:t>
            </w:r>
            <w:r w:rsidRPr="004C4DD8">
              <w:rPr>
                <w:rFonts w:ascii="Times New Roman" w:hAnsi="Times New Roman" w:cs="Times New Roman"/>
              </w:rPr>
              <w:t>value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df=14</m:t>
                  </m:r>
                </m:sub>
                <m:sup>
                  <m:r>
                    <w:rPr>
                      <w:rFonts w:ascii="Cambria Math" w:hAnsi="Cambria Math" w:cs="Times New Roman"/>
                    </w:rPr>
                    <m:t>2</m:t>
                  </m:r>
                </m:sup>
              </m:sSubSup>
            </m:oMath>
            <w:r w:rsidRPr="004C4DD8">
              <w:rPr>
                <w:rFonts w:ascii="Times New Roman" w:hAnsi="Times New Roman" w:cs="Times New Roman"/>
              </w:rPr>
              <w:t>)</w:t>
            </w:r>
          </w:p>
        </w:tc>
        <w:tc>
          <w:tcPr>
            <w:tcW w:w="1075" w:type="dxa"/>
            <w:tcBorders>
              <w:top w:val="single" w:sz="4" w:space="0" w:color="auto"/>
              <w:bottom w:val="single" w:sz="4" w:space="0" w:color="auto"/>
            </w:tcBorders>
          </w:tcPr>
          <w:p w14:paraId="165D323C" w14:textId="77777777" w:rsidR="00BA7D0F" w:rsidRPr="004C4DD8" w:rsidRDefault="00BA7D0F" w:rsidP="00BA7D0F">
            <w:pPr>
              <w:jc w:val="right"/>
              <w:rPr>
                <w:rFonts w:ascii="Times New Roman" w:hAnsi="Times New Roman" w:cs="Times New Roman"/>
              </w:rPr>
            </w:pPr>
            <w:r>
              <w:rPr>
                <w:rFonts w:ascii="Times New Roman" w:hAnsi="Times New Roman" w:cs="Times New Roman"/>
              </w:rPr>
              <w:t>0.900</w:t>
            </w:r>
          </w:p>
        </w:tc>
      </w:tr>
    </w:tbl>
    <w:p w14:paraId="39152FF5" w14:textId="77777777" w:rsidR="00796992" w:rsidRDefault="00796992" w:rsidP="005E54E2">
      <w:pPr>
        <w:rPr>
          <w:rFonts w:ascii="Times New Roman" w:hAnsi="Times New Roman" w:cs="Times New Roman"/>
        </w:rPr>
      </w:pPr>
    </w:p>
    <w:p w14:paraId="3E935655" w14:textId="77777777" w:rsidR="009813F0" w:rsidRDefault="009813F0">
      <w:pPr>
        <w:rPr>
          <w:rFonts w:ascii="Times New Roman" w:hAnsi="Times New Roman" w:cs="Times New Roman"/>
          <w:b/>
        </w:rPr>
      </w:pPr>
      <w:r>
        <w:rPr>
          <w:rFonts w:ascii="Times New Roman" w:hAnsi="Times New Roman" w:cs="Times New Roman"/>
          <w:b/>
        </w:rPr>
        <w:br w:type="page"/>
      </w:r>
    </w:p>
    <w:p w14:paraId="20DFD3B9" w14:textId="61EB1499" w:rsidR="00796992" w:rsidRPr="004C4DD8" w:rsidRDefault="000B2B3A" w:rsidP="00123540">
      <w:pPr>
        <w:jc w:val="both"/>
        <w:rPr>
          <w:rFonts w:ascii="Times New Roman" w:hAnsi="Times New Roman" w:cs="Times New Roman"/>
        </w:rPr>
      </w:pPr>
      <w:bookmarkStart w:id="64" w:name="_Toc93411182"/>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sidRPr="00211EFC">
        <w:rPr>
          <w:rFonts w:ascii="Times New Roman" w:hAnsi="Times New Roman" w:cs="Times New Roman"/>
          <w:b/>
          <w:bCs/>
          <w:noProof/>
        </w:rPr>
        <w:t>11</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00796992" w:rsidRPr="00211EFC">
        <w:rPr>
          <w:rFonts w:ascii="Times New Roman" w:hAnsi="Times New Roman" w:cs="Times New Roman"/>
          <w:b/>
          <w:bCs/>
        </w:rPr>
        <w:t xml:space="preserve">Evaluation of conditional independence claims in the </w:t>
      </w:r>
      <w:r w:rsidR="00796992" w:rsidRPr="00211EFC">
        <w:rPr>
          <w:rFonts w:ascii="Times New Roman" w:hAnsi="Times New Roman" w:cs="Times New Roman"/>
          <w:b/>
          <w:bCs/>
          <w:i/>
        </w:rPr>
        <w:t>partitioned biodiversity</w:t>
      </w:r>
      <w:r w:rsidR="00796992" w:rsidRPr="00211EFC">
        <w:rPr>
          <w:rFonts w:ascii="Times New Roman" w:hAnsi="Times New Roman" w:cs="Times New Roman"/>
          <w:b/>
          <w:bCs/>
        </w:rPr>
        <w:t xml:space="preserve"> path model.</w:t>
      </w:r>
      <w:r w:rsidR="00796992" w:rsidRPr="004C4DD8">
        <w:rPr>
          <w:rFonts w:ascii="Times New Roman" w:hAnsi="Times New Roman" w:cs="Times New Roman"/>
        </w:rPr>
        <w:t xml:space="preserve"> Abbreviations for predictors are: </w:t>
      </w:r>
      <w:r w:rsidR="00796992">
        <w:rPr>
          <w:rFonts w:ascii="Times New Roman" w:hAnsi="Times New Roman" w:cs="Times New Roman"/>
        </w:rPr>
        <w:t>precipitation</w:t>
      </w:r>
      <w:r w:rsidR="00796992" w:rsidRPr="004C4DD8">
        <w:rPr>
          <w:rFonts w:ascii="Times New Roman" w:hAnsi="Times New Roman" w:cs="Times New Roman"/>
        </w:rPr>
        <w:t xml:space="preserve"> (PRCP), </w:t>
      </w:r>
      <w:r w:rsidR="00796992">
        <w:rPr>
          <w:rFonts w:ascii="Times New Roman" w:hAnsi="Times New Roman" w:cs="Times New Roman"/>
        </w:rPr>
        <w:t>temperature</w:t>
      </w:r>
      <w:r w:rsidR="00796992" w:rsidRPr="004C4DD8">
        <w:rPr>
          <w:rFonts w:ascii="Times New Roman" w:hAnsi="Times New Roman" w:cs="Times New Roman"/>
        </w:rPr>
        <w:t xml:space="preserve"> (TMP), biomass (BIOM), </w:t>
      </w:r>
      <w:r w:rsidR="00796992">
        <w:rPr>
          <w:rFonts w:ascii="Times New Roman" w:hAnsi="Times New Roman" w:cs="Times New Roman"/>
        </w:rPr>
        <w:t>functional diversity (FD), native species richness</w:t>
      </w:r>
      <w:r w:rsidR="00796992" w:rsidRPr="004C4DD8">
        <w:rPr>
          <w:rFonts w:ascii="Times New Roman" w:hAnsi="Times New Roman" w:cs="Times New Roman"/>
        </w:rPr>
        <w:t xml:space="preserve"> (</w:t>
      </w:r>
      <w:r w:rsidR="00796992">
        <w:rPr>
          <w:rFonts w:ascii="Times New Roman" w:hAnsi="Times New Roman" w:cs="Times New Roman"/>
        </w:rPr>
        <w:t>NAT</w:t>
      </w:r>
      <w:r w:rsidR="00796992" w:rsidRPr="004C4DD8">
        <w:rPr>
          <w:rFonts w:ascii="Times New Roman" w:hAnsi="Times New Roman" w:cs="Times New Roman"/>
        </w:rPr>
        <w:t xml:space="preserve">), </w:t>
      </w:r>
      <w:r w:rsidR="00796992">
        <w:rPr>
          <w:rFonts w:ascii="Times New Roman" w:hAnsi="Times New Roman" w:cs="Times New Roman"/>
        </w:rPr>
        <w:t>non-native species richness</w:t>
      </w:r>
      <w:r w:rsidR="00796992" w:rsidRPr="004C4DD8">
        <w:rPr>
          <w:rFonts w:ascii="Times New Roman" w:hAnsi="Times New Roman" w:cs="Times New Roman"/>
        </w:rPr>
        <w:t xml:space="preserve"> (</w:t>
      </w:r>
      <w:r w:rsidR="00796992">
        <w:rPr>
          <w:rFonts w:ascii="Times New Roman" w:hAnsi="Times New Roman" w:cs="Times New Roman"/>
        </w:rPr>
        <w:t>INV</w:t>
      </w:r>
      <w:r w:rsidR="00796992" w:rsidRPr="004C4DD8">
        <w:rPr>
          <w:rFonts w:ascii="Times New Roman" w:hAnsi="Times New Roman" w:cs="Times New Roman"/>
        </w:rPr>
        <w:t xml:space="preserve">), </w:t>
      </w:r>
      <w:r w:rsidR="00796992">
        <w:rPr>
          <w:rFonts w:ascii="Times New Roman" w:hAnsi="Times New Roman" w:cs="Times New Roman"/>
        </w:rPr>
        <w:t xml:space="preserve">human impact (HFI), </w:t>
      </w:r>
      <w:r w:rsidR="00796992" w:rsidRPr="004C4DD8">
        <w:rPr>
          <w:rFonts w:ascii="Times New Roman" w:hAnsi="Times New Roman" w:cs="Times New Roman"/>
        </w:rPr>
        <w:t>slope (SL</w:t>
      </w:r>
      <w:r w:rsidR="00796992">
        <w:rPr>
          <w:rFonts w:ascii="Times New Roman" w:hAnsi="Times New Roman" w:cs="Times New Roman"/>
        </w:rPr>
        <w:t xml:space="preserve">P), </w:t>
      </w:r>
      <w:r w:rsidR="00796992" w:rsidRPr="004C4DD8">
        <w:rPr>
          <w:rFonts w:ascii="Times New Roman" w:hAnsi="Times New Roman" w:cs="Times New Roman"/>
        </w:rPr>
        <w:t>s</w:t>
      </w:r>
      <w:r w:rsidR="00796992">
        <w:rPr>
          <w:rFonts w:ascii="Times New Roman" w:hAnsi="Times New Roman" w:cs="Times New Roman"/>
        </w:rPr>
        <w:t>ampled</w:t>
      </w:r>
      <w:r w:rsidR="00796992" w:rsidRPr="004C4DD8">
        <w:rPr>
          <w:rFonts w:ascii="Times New Roman" w:hAnsi="Times New Roman" w:cs="Times New Roman"/>
        </w:rPr>
        <w:t xml:space="preserve"> area (SURF), </w:t>
      </w:r>
      <w:r w:rsidR="00796992">
        <w:rPr>
          <w:rFonts w:ascii="Times New Roman" w:hAnsi="Times New Roman" w:cs="Times New Roman"/>
        </w:rPr>
        <w:t>free-flowing area (FFA), and upstream catchment area (UPCT).</w:t>
      </w:r>
      <w:bookmarkEnd w:id="64"/>
      <w:r w:rsidR="00796992">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8"/>
        <w:gridCol w:w="1042"/>
      </w:tblGrid>
      <w:tr w:rsidR="00796992" w:rsidRPr="004C4DD8" w14:paraId="135BB433" w14:textId="77777777" w:rsidTr="00A30E95">
        <w:tc>
          <w:tcPr>
            <w:tcW w:w="8100" w:type="dxa"/>
            <w:tcBorders>
              <w:top w:val="single" w:sz="4" w:space="0" w:color="auto"/>
              <w:bottom w:val="single" w:sz="4" w:space="0" w:color="auto"/>
            </w:tcBorders>
          </w:tcPr>
          <w:p w14:paraId="45CA2C69" w14:textId="77777777" w:rsidR="00796992" w:rsidRPr="00123540" w:rsidRDefault="00796992" w:rsidP="00796992">
            <w:pPr>
              <w:rPr>
                <w:rFonts w:ascii="Times New Roman" w:hAnsi="Times New Roman" w:cs="Times New Roman"/>
                <w:b/>
                <w:bCs/>
              </w:rPr>
            </w:pPr>
            <w:r w:rsidRPr="00123540">
              <w:rPr>
                <w:rFonts w:ascii="Times New Roman" w:hAnsi="Times New Roman" w:cs="Times New Roman"/>
                <w:b/>
                <w:bCs/>
              </w:rPr>
              <w:t>Conditional independence claim</w:t>
            </w:r>
          </w:p>
        </w:tc>
        <w:tc>
          <w:tcPr>
            <w:tcW w:w="1056" w:type="dxa"/>
            <w:tcBorders>
              <w:top w:val="single" w:sz="4" w:space="0" w:color="auto"/>
              <w:bottom w:val="single" w:sz="4" w:space="0" w:color="auto"/>
            </w:tcBorders>
          </w:tcPr>
          <w:p w14:paraId="78168791" w14:textId="77777777" w:rsidR="00796992" w:rsidRPr="00123540" w:rsidRDefault="00796992" w:rsidP="00796992">
            <w:pPr>
              <w:rPr>
                <w:rFonts w:ascii="Times New Roman" w:hAnsi="Times New Roman" w:cs="Times New Roman"/>
                <w:b/>
                <w:bCs/>
              </w:rPr>
            </w:pPr>
            <w:r w:rsidRPr="00123540">
              <w:rPr>
                <w:rFonts w:ascii="Times New Roman" w:hAnsi="Times New Roman" w:cs="Times New Roman"/>
                <w:b/>
                <w:bCs/>
                <w:i/>
              </w:rPr>
              <w:t>p</w:t>
            </w:r>
            <w:r w:rsidRPr="00123540">
              <w:rPr>
                <w:rFonts w:ascii="Times New Roman" w:hAnsi="Times New Roman" w:cs="Times New Roman"/>
                <w:b/>
                <w:bCs/>
              </w:rPr>
              <w:t>–value</w:t>
            </w:r>
          </w:p>
        </w:tc>
      </w:tr>
      <w:tr w:rsidR="00796992" w:rsidRPr="004C4DD8" w14:paraId="71EF5B08" w14:textId="77777777" w:rsidTr="00A30E95">
        <w:tc>
          <w:tcPr>
            <w:tcW w:w="8100" w:type="dxa"/>
            <w:tcBorders>
              <w:top w:val="single" w:sz="4" w:space="0" w:color="auto"/>
            </w:tcBorders>
          </w:tcPr>
          <w:p w14:paraId="401CB902"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1. </w:t>
            </w:r>
            <w:r w:rsidRPr="004C4DD8">
              <w:rPr>
                <w:rFonts w:ascii="Times New Roman" w:hAnsi="Times New Roman" w:cs="Times New Roman"/>
              </w:rPr>
              <w:t>(</w:t>
            </w:r>
            <w:r>
              <w:rPr>
                <w:rFonts w:ascii="Times New Roman" w:hAnsi="Times New Roman" w:cs="Times New Roman"/>
              </w:rPr>
              <w:t>FD, SURF) | {TMP, PRCP, UPCT, NAT, INV</w:t>
            </w:r>
            <w:r w:rsidRPr="004C4DD8">
              <w:rPr>
                <w:rFonts w:ascii="Times New Roman" w:hAnsi="Times New Roman" w:cs="Times New Roman"/>
              </w:rPr>
              <w:t>}</w:t>
            </w:r>
          </w:p>
        </w:tc>
        <w:tc>
          <w:tcPr>
            <w:tcW w:w="1056" w:type="dxa"/>
            <w:tcBorders>
              <w:top w:val="single" w:sz="4" w:space="0" w:color="auto"/>
            </w:tcBorders>
          </w:tcPr>
          <w:p w14:paraId="28F24936"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0.275</w:t>
            </w:r>
          </w:p>
        </w:tc>
      </w:tr>
      <w:tr w:rsidR="00796992" w:rsidRPr="004C4DD8" w14:paraId="0BBA49AD" w14:textId="77777777" w:rsidTr="00A30E95">
        <w:trPr>
          <w:trHeight w:val="260"/>
        </w:trPr>
        <w:tc>
          <w:tcPr>
            <w:tcW w:w="8100" w:type="dxa"/>
          </w:tcPr>
          <w:p w14:paraId="06842783"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2. </w:t>
            </w:r>
            <w:r w:rsidRPr="004C4DD8">
              <w:rPr>
                <w:rFonts w:ascii="Times New Roman" w:hAnsi="Times New Roman" w:cs="Times New Roman"/>
              </w:rPr>
              <w:t>(</w:t>
            </w:r>
            <w:r>
              <w:rPr>
                <w:rFonts w:ascii="Times New Roman" w:hAnsi="Times New Roman" w:cs="Times New Roman"/>
              </w:rPr>
              <w:t>INV, PRCP) | {SURF, TMP, HFI, UPCT, FFA</w:t>
            </w:r>
            <w:r w:rsidRPr="004C4DD8">
              <w:rPr>
                <w:rFonts w:ascii="Times New Roman" w:hAnsi="Times New Roman" w:cs="Times New Roman"/>
              </w:rPr>
              <w:t>}</w:t>
            </w:r>
          </w:p>
        </w:tc>
        <w:tc>
          <w:tcPr>
            <w:tcW w:w="1056" w:type="dxa"/>
          </w:tcPr>
          <w:p w14:paraId="16EC8BC2"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0.075</w:t>
            </w:r>
          </w:p>
        </w:tc>
      </w:tr>
      <w:tr w:rsidR="00796992" w:rsidRPr="004C4DD8" w14:paraId="2B92F124" w14:textId="77777777" w:rsidTr="00A30E95">
        <w:tc>
          <w:tcPr>
            <w:tcW w:w="8100" w:type="dxa"/>
          </w:tcPr>
          <w:p w14:paraId="04A92E2B"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3. </w:t>
            </w:r>
            <w:r w:rsidRPr="004C4DD8">
              <w:rPr>
                <w:rFonts w:ascii="Times New Roman" w:hAnsi="Times New Roman" w:cs="Times New Roman"/>
              </w:rPr>
              <w:t>(</w:t>
            </w:r>
            <w:r>
              <w:rPr>
                <w:rFonts w:ascii="Times New Roman" w:hAnsi="Times New Roman" w:cs="Times New Roman"/>
              </w:rPr>
              <w:t>NAT, HFI) | {SURF, TMP, PRCP, UPCT, SLP, FFA</w:t>
            </w:r>
            <w:r w:rsidRPr="004C4DD8">
              <w:rPr>
                <w:rFonts w:ascii="Times New Roman" w:hAnsi="Times New Roman" w:cs="Times New Roman"/>
              </w:rPr>
              <w:t>}</w:t>
            </w:r>
          </w:p>
        </w:tc>
        <w:tc>
          <w:tcPr>
            <w:tcW w:w="1056" w:type="dxa"/>
          </w:tcPr>
          <w:p w14:paraId="695CE390"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0.072</w:t>
            </w:r>
          </w:p>
        </w:tc>
      </w:tr>
      <w:tr w:rsidR="00796992" w:rsidRPr="004C4DD8" w14:paraId="35E94DCE" w14:textId="77777777" w:rsidTr="00A30E95">
        <w:tc>
          <w:tcPr>
            <w:tcW w:w="8100" w:type="dxa"/>
          </w:tcPr>
          <w:p w14:paraId="3F39C626" w14:textId="77777777" w:rsidR="00796992" w:rsidRPr="004C4DD8" w:rsidRDefault="00796992" w:rsidP="00796992">
            <w:pPr>
              <w:rPr>
                <w:rFonts w:ascii="Times New Roman" w:hAnsi="Times New Roman" w:cs="Times New Roman"/>
              </w:rPr>
            </w:pPr>
            <w:r>
              <w:rPr>
                <w:rFonts w:ascii="Times New Roman" w:hAnsi="Times New Roman" w:cs="Times New Roman"/>
              </w:rPr>
              <w:t>4. (FD, HFI) | {TMP, PRCP, UPCT, NAT, INV}</w:t>
            </w:r>
          </w:p>
        </w:tc>
        <w:tc>
          <w:tcPr>
            <w:tcW w:w="1056" w:type="dxa"/>
          </w:tcPr>
          <w:p w14:paraId="26737201"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0.667</w:t>
            </w:r>
          </w:p>
        </w:tc>
      </w:tr>
      <w:tr w:rsidR="00796992" w:rsidRPr="004C4DD8" w14:paraId="559631C4" w14:textId="77777777" w:rsidTr="00A30E95">
        <w:tc>
          <w:tcPr>
            <w:tcW w:w="8100" w:type="dxa"/>
          </w:tcPr>
          <w:p w14:paraId="525AAF94"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5. </w:t>
            </w:r>
            <w:r w:rsidRPr="004C4DD8">
              <w:rPr>
                <w:rFonts w:ascii="Times New Roman" w:hAnsi="Times New Roman" w:cs="Times New Roman"/>
              </w:rPr>
              <w:t>(</w:t>
            </w:r>
            <w:r>
              <w:rPr>
                <w:rFonts w:ascii="Times New Roman" w:hAnsi="Times New Roman" w:cs="Times New Roman"/>
              </w:rPr>
              <w:t>BIOM, UPCT) | {SURF, TMP, PRCP, HFI, NAT, INV, FD</w:t>
            </w:r>
            <w:r w:rsidRPr="004C4DD8">
              <w:rPr>
                <w:rFonts w:ascii="Times New Roman" w:hAnsi="Times New Roman" w:cs="Times New Roman"/>
              </w:rPr>
              <w:t>}</w:t>
            </w:r>
          </w:p>
        </w:tc>
        <w:tc>
          <w:tcPr>
            <w:tcW w:w="1056" w:type="dxa"/>
          </w:tcPr>
          <w:p w14:paraId="7C0E8F23"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0.885</w:t>
            </w:r>
          </w:p>
        </w:tc>
      </w:tr>
      <w:tr w:rsidR="00796992" w:rsidRPr="004C4DD8" w14:paraId="697A96AC" w14:textId="77777777" w:rsidTr="00A30E95">
        <w:tc>
          <w:tcPr>
            <w:tcW w:w="8100" w:type="dxa"/>
          </w:tcPr>
          <w:p w14:paraId="7E001660"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6. </w:t>
            </w:r>
            <w:r w:rsidRPr="004C4DD8">
              <w:rPr>
                <w:rFonts w:ascii="Times New Roman" w:hAnsi="Times New Roman" w:cs="Times New Roman"/>
              </w:rPr>
              <w:t>(</w:t>
            </w:r>
            <w:r>
              <w:rPr>
                <w:rFonts w:ascii="Times New Roman" w:hAnsi="Times New Roman" w:cs="Times New Roman"/>
              </w:rPr>
              <w:t>INV, SLP) | {SURF, TMP, HFI, UPCT, FFA</w:t>
            </w:r>
            <w:r w:rsidRPr="004C4DD8">
              <w:rPr>
                <w:rFonts w:ascii="Times New Roman" w:hAnsi="Times New Roman" w:cs="Times New Roman"/>
              </w:rPr>
              <w:t>}</w:t>
            </w:r>
          </w:p>
        </w:tc>
        <w:tc>
          <w:tcPr>
            <w:tcW w:w="1056" w:type="dxa"/>
          </w:tcPr>
          <w:p w14:paraId="64674979"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0.434</w:t>
            </w:r>
          </w:p>
        </w:tc>
      </w:tr>
      <w:tr w:rsidR="00796992" w:rsidRPr="004C4DD8" w14:paraId="15609ACC" w14:textId="77777777" w:rsidTr="00A30E95">
        <w:tc>
          <w:tcPr>
            <w:tcW w:w="8100" w:type="dxa"/>
          </w:tcPr>
          <w:p w14:paraId="1EF33E05" w14:textId="77777777" w:rsidR="00796992" w:rsidRDefault="00796992" w:rsidP="00796992">
            <w:pPr>
              <w:rPr>
                <w:rFonts w:ascii="Times New Roman" w:hAnsi="Times New Roman" w:cs="Times New Roman"/>
              </w:rPr>
            </w:pPr>
            <w:r>
              <w:rPr>
                <w:rFonts w:ascii="Times New Roman" w:hAnsi="Times New Roman" w:cs="Times New Roman"/>
              </w:rPr>
              <w:t>7. (FD, SLP) | {TMP, PRCP, UPCT, NAT, INV}</w:t>
            </w:r>
          </w:p>
        </w:tc>
        <w:tc>
          <w:tcPr>
            <w:tcW w:w="1056" w:type="dxa"/>
          </w:tcPr>
          <w:p w14:paraId="749F111E"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0.823</w:t>
            </w:r>
          </w:p>
        </w:tc>
      </w:tr>
      <w:tr w:rsidR="00796992" w:rsidRPr="004C4DD8" w14:paraId="5F168944" w14:textId="77777777" w:rsidTr="00A30E95">
        <w:tc>
          <w:tcPr>
            <w:tcW w:w="8100" w:type="dxa"/>
          </w:tcPr>
          <w:p w14:paraId="361F30FE"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8. </w:t>
            </w:r>
            <w:r w:rsidRPr="004C4DD8">
              <w:rPr>
                <w:rFonts w:ascii="Times New Roman" w:hAnsi="Times New Roman" w:cs="Times New Roman"/>
              </w:rPr>
              <w:t>(</w:t>
            </w:r>
            <w:r>
              <w:rPr>
                <w:rFonts w:ascii="Times New Roman" w:hAnsi="Times New Roman" w:cs="Times New Roman"/>
              </w:rPr>
              <w:t>BIOM, SLP) | {SURF, TMP, PRCP, HFI, NAT, INV, FD</w:t>
            </w:r>
            <w:r w:rsidRPr="004C4DD8">
              <w:rPr>
                <w:rFonts w:ascii="Times New Roman" w:hAnsi="Times New Roman" w:cs="Times New Roman"/>
              </w:rPr>
              <w:t>}</w:t>
            </w:r>
          </w:p>
        </w:tc>
        <w:tc>
          <w:tcPr>
            <w:tcW w:w="1056" w:type="dxa"/>
          </w:tcPr>
          <w:p w14:paraId="65A7528B"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0.317</w:t>
            </w:r>
          </w:p>
        </w:tc>
      </w:tr>
      <w:tr w:rsidR="00796992" w:rsidRPr="004C4DD8" w14:paraId="5FE1932E" w14:textId="77777777" w:rsidTr="00A30E95">
        <w:tc>
          <w:tcPr>
            <w:tcW w:w="8100" w:type="dxa"/>
          </w:tcPr>
          <w:p w14:paraId="7E9CEFAF" w14:textId="77777777" w:rsidR="00796992" w:rsidRDefault="00796992" w:rsidP="00796992">
            <w:pPr>
              <w:rPr>
                <w:rFonts w:ascii="Times New Roman" w:hAnsi="Times New Roman" w:cs="Times New Roman"/>
              </w:rPr>
            </w:pPr>
            <w:r>
              <w:rPr>
                <w:rFonts w:ascii="Times New Roman" w:hAnsi="Times New Roman" w:cs="Times New Roman"/>
              </w:rPr>
              <w:t xml:space="preserve">9. </w:t>
            </w:r>
            <w:r w:rsidRPr="004C4DD8">
              <w:rPr>
                <w:rFonts w:ascii="Times New Roman" w:hAnsi="Times New Roman" w:cs="Times New Roman"/>
              </w:rPr>
              <w:t>(</w:t>
            </w:r>
            <w:r>
              <w:rPr>
                <w:rFonts w:ascii="Times New Roman" w:hAnsi="Times New Roman" w:cs="Times New Roman"/>
              </w:rPr>
              <w:t>FD, FFA) | {TMP, PRCP, UPCT, NAT, INV</w:t>
            </w:r>
            <w:r w:rsidRPr="004C4DD8">
              <w:rPr>
                <w:rFonts w:ascii="Times New Roman" w:hAnsi="Times New Roman" w:cs="Times New Roman"/>
              </w:rPr>
              <w:t>}</w:t>
            </w:r>
          </w:p>
        </w:tc>
        <w:tc>
          <w:tcPr>
            <w:tcW w:w="1056" w:type="dxa"/>
          </w:tcPr>
          <w:p w14:paraId="65A401AF" w14:textId="77777777" w:rsidR="00796992" w:rsidRDefault="00796992" w:rsidP="00796992">
            <w:pPr>
              <w:jc w:val="right"/>
              <w:rPr>
                <w:rFonts w:ascii="Times New Roman" w:hAnsi="Times New Roman" w:cs="Times New Roman"/>
              </w:rPr>
            </w:pPr>
            <w:r>
              <w:rPr>
                <w:rFonts w:ascii="Times New Roman" w:hAnsi="Times New Roman" w:cs="Times New Roman"/>
              </w:rPr>
              <w:t>0.433</w:t>
            </w:r>
          </w:p>
        </w:tc>
      </w:tr>
      <w:tr w:rsidR="00796992" w:rsidRPr="004C4DD8" w14:paraId="6F169BD4" w14:textId="77777777" w:rsidTr="00A30E95">
        <w:tc>
          <w:tcPr>
            <w:tcW w:w="8100" w:type="dxa"/>
          </w:tcPr>
          <w:p w14:paraId="6BD8282C" w14:textId="77777777" w:rsidR="00796992" w:rsidRPr="004C4DD8" w:rsidRDefault="00796992" w:rsidP="00796992">
            <w:pPr>
              <w:rPr>
                <w:rFonts w:ascii="Times New Roman" w:hAnsi="Times New Roman" w:cs="Times New Roman"/>
              </w:rPr>
            </w:pPr>
            <w:r>
              <w:rPr>
                <w:rFonts w:ascii="Times New Roman" w:hAnsi="Times New Roman" w:cs="Times New Roman"/>
              </w:rPr>
              <w:t xml:space="preserve">10. </w:t>
            </w:r>
            <w:r w:rsidRPr="004C4DD8">
              <w:rPr>
                <w:rFonts w:ascii="Times New Roman" w:hAnsi="Times New Roman" w:cs="Times New Roman"/>
              </w:rPr>
              <w:t>(</w:t>
            </w:r>
            <w:r>
              <w:rPr>
                <w:rFonts w:ascii="Times New Roman" w:hAnsi="Times New Roman" w:cs="Times New Roman"/>
              </w:rPr>
              <w:t>BIOM, FFA) | {SURF, TMP, PRCP, HFI, NAT, INV, FD</w:t>
            </w:r>
            <w:r w:rsidRPr="004C4DD8">
              <w:rPr>
                <w:rFonts w:ascii="Times New Roman" w:hAnsi="Times New Roman" w:cs="Times New Roman"/>
              </w:rPr>
              <w:t>}</w:t>
            </w:r>
          </w:p>
        </w:tc>
        <w:tc>
          <w:tcPr>
            <w:tcW w:w="1056" w:type="dxa"/>
          </w:tcPr>
          <w:p w14:paraId="5E89FF5E"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0.192</w:t>
            </w:r>
          </w:p>
        </w:tc>
      </w:tr>
      <w:tr w:rsidR="00796992" w:rsidRPr="004C4DD8" w14:paraId="2C27BA78" w14:textId="77777777" w:rsidTr="00A30E95">
        <w:tc>
          <w:tcPr>
            <w:tcW w:w="8100" w:type="dxa"/>
            <w:tcBorders>
              <w:top w:val="single" w:sz="4" w:space="0" w:color="auto"/>
              <w:bottom w:val="single" w:sz="4" w:space="0" w:color="auto"/>
            </w:tcBorders>
          </w:tcPr>
          <w:p w14:paraId="5164F652" w14:textId="77777777" w:rsidR="00796992" w:rsidRPr="004C4DD8" w:rsidRDefault="00796992" w:rsidP="00796992">
            <w:pPr>
              <w:rPr>
                <w:rFonts w:ascii="Times New Roman" w:hAnsi="Times New Roman" w:cs="Times New Roman"/>
              </w:rPr>
            </w:pPr>
            <w:r w:rsidRPr="004C4DD8">
              <w:rPr>
                <w:rFonts w:ascii="Times New Roman" w:hAnsi="Times New Roman" w:cs="Times New Roman"/>
                <w:i/>
              </w:rPr>
              <w:t>C</w:t>
            </w:r>
            <w:r w:rsidRPr="004C4DD8">
              <w:rPr>
                <w:rFonts w:ascii="Times New Roman" w:hAnsi="Times New Roman" w:cs="Times New Roman"/>
              </w:rPr>
              <w:t xml:space="preserve"> = </w:t>
            </w:r>
            <m:oMath>
              <m:r>
                <w:rPr>
                  <w:rFonts w:ascii="Cambria Math" w:hAnsi="Cambria Math" w:cs="Times New Roman"/>
                </w:rPr>
                <m:t xml:space="preserve">-2 </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func>
                    <m:funcPr>
                      <m:ctrlPr>
                        <w:rPr>
                          <w:rFonts w:ascii="Cambria Math" w:hAnsi="Cambria Math" w:cs="Times New Roman"/>
                        </w:rPr>
                      </m:ctrlPr>
                    </m:funcPr>
                    <m:fName>
                      <m:r>
                        <w:rPr>
                          <w:rFonts w:ascii="Cambria Math" w:hAnsi="Cambria Math" w:cs="Times New Roman"/>
                        </w:rPr>
                        <m:t>ln</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r>
                        <w:rPr>
                          <w:rFonts w:ascii="Cambria Math" w:hAnsi="Cambria Math" w:cs="Times New Roman"/>
                        </w:rPr>
                        <m:t>)</m:t>
                      </m:r>
                    </m:e>
                  </m:func>
                  <m:r>
                    <m:rPr>
                      <m:sty m:val="p"/>
                    </m:rPr>
                    <w:rPr>
                      <w:rFonts w:ascii="Cambria Math" w:hAnsi="Cambria Math" w:cs="Times New Roman"/>
                    </w:rPr>
                    <m:t>⁡</m:t>
                  </m:r>
                </m:e>
              </m:nary>
            </m:oMath>
            <w:r w:rsidRPr="004C4DD8">
              <w:rPr>
                <w:rFonts w:ascii="Times New Roman" w:hAnsi="Times New Roman" w:cs="Times New Roman"/>
              </w:rPr>
              <w:t xml:space="preserve"> </w:t>
            </w:r>
          </w:p>
        </w:tc>
        <w:tc>
          <w:tcPr>
            <w:tcW w:w="1056" w:type="dxa"/>
            <w:tcBorders>
              <w:top w:val="single" w:sz="4" w:space="0" w:color="auto"/>
              <w:bottom w:val="single" w:sz="4" w:space="0" w:color="auto"/>
            </w:tcBorders>
          </w:tcPr>
          <w:p w14:paraId="294A8D9E" w14:textId="77777777" w:rsidR="00796992" w:rsidRPr="004C4DD8" w:rsidRDefault="00796992" w:rsidP="00796992">
            <w:pPr>
              <w:jc w:val="right"/>
              <w:rPr>
                <w:rFonts w:ascii="Times New Roman" w:hAnsi="Times New Roman" w:cs="Times New Roman"/>
              </w:rPr>
            </w:pPr>
            <w:r>
              <w:rPr>
                <w:rFonts w:ascii="Times New Roman" w:hAnsi="Times New Roman" w:cs="Times New Roman"/>
              </w:rPr>
              <w:t>23.419</w:t>
            </w:r>
          </w:p>
        </w:tc>
      </w:tr>
      <w:tr w:rsidR="00796992" w:rsidRPr="004C4DD8" w14:paraId="1176852F" w14:textId="77777777" w:rsidTr="00A30E95">
        <w:tc>
          <w:tcPr>
            <w:tcW w:w="8100" w:type="dxa"/>
            <w:tcBorders>
              <w:top w:val="single" w:sz="4" w:space="0" w:color="auto"/>
              <w:bottom w:val="single" w:sz="4" w:space="0" w:color="auto"/>
            </w:tcBorders>
          </w:tcPr>
          <w:p w14:paraId="0B295FCB" w14:textId="77777777" w:rsidR="00796992" w:rsidRPr="004C4DD8" w:rsidRDefault="00796992" w:rsidP="00796992">
            <w:pPr>
              <w:rPr>
                <w:rFonts w:ascii="Times New Roman" w:hAnsi="Times New Roman" w:cs="Times New Roman"/>
              </w:rPr>
            </w:pPr>
            <w:r w:rsidRPr="004C4DD8">
              <w:rPr>
                <w:rFonts w:ascii="Times New Roman" w:hAnsi="Times New Roman" w:cs="Times New Roman"/>
              </w:rPr>
              <w:t xml:space="preserve">Overall </w:t>
            </w:r>
            <w:r w:rsidRPr="004C4DD8">
              <w:rPr>
                <w:rFonts w:ascii="Times New Roman" w:hAnsi="Times New Roman" w:cs="Times New Roman"/>
                <w:i/>
              </w:rPr>
              <w:t>p</w:t>
            </w:r>
            <w:r>
              <w:rPr>
                <w:rFonts w:ascii="Times New Roman" w:hAnsi="Times New Roman" w:cs="Times New Roman"/>
              </w:rPr>
              <w:t>–</w:t>
            </w:r>
            <w:r w:rsidRPr="004C4DD8">
              <w:rPr>
                <w:rFonts w:ascii="Times New Roman" w:hAnsi="Times New Roman" w:cs="Times New Roman"/>
              </w:rPr>
              <w:t>value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df=20</m:t>
                  </m:r>
                </m:sub>
                <m:sup>
                  <m:r>
                    <w:rPr>
                      <w:rFonts w:ascii="Cambria Math" w:hAnsi="Cambria Math" w:cs="Times New Roman"/>
                    </w:rPr>
                    <m:t>2</m:t>
                  </m:r>
                </m:sup>
              </m:sSubSup>
            </m:oMath>
            <w:r w:rsidRPr="004C4DD8">
              <w:rPr>
                <w:rFonts w:ascii="Times New Roman" w:hAnsi="Times New Roman" w:cs="Times New Roman"/>
              </w:rPr>
              <w:t>)</w:t>
            </w:r>
          </w:p>
        </w:tc>
        <w:tc>
          <w:tcPr>
            <w:tcW w:w="1056" w:type="dxa"/>
            <w:tcBorders>
              <w:top w:val="single" w:sz="4" w:space="0" w:color="auto"/>
              <w:bottom w:val="single" w:sz="4" w:space="0" w:color="auto"/>
            </w:tcBorders>
          </w:tcPr>
          <w:p w14:paraId="4D4CAC30" w14:textId="77777777" w:rsidR="00796992" w:rsidRPr="004C4DD8" w:rsidRDefault="00796992" w:rsidP="00796992">
            <w:pPr>
              <w:jc w:val="right"/>
              <w:rPr>
                <w:rFonts w:ascii="Times New Roman" w:hAnsi="Times New Roman" w:cs="Times New Roman"/>
              </w:rPr>
            </w:pPr>
            <w:r>
              <w:rPr>
                <w:rFonts w:ascii="Times New Roman" w:hAnsi="Times New Roman" w:cs="Times New Roman"/>
              </w:rPr>
              <w:t>0.269</w:t>
            </w:r>
          </w:p>
        </w:tc>
      </w:tr>
    </w:tbl>
    <w:p w14:paraId="2394952E" w14:textId="77777777" w:rsidR="00796992" w:rsidRDefault="00796992" w:rsidP="005E54E2">
      <w:pPr>
        <w:rPr>
          <w:rFonts w:ascii="Times New Roman" w:hAnsi="Times New Roman" w:cs="Times New Roman"/>
        </w:rPr>
      </w:pPr>
    </w:p>
    <w:p w14:paraId="7B2DE52E" w14:textId="3D0E9ED8" w:rsidR="00F916A0" w:rsidRPr="00211EFC" w:rsidRDefault="00F916A0" w:rsidP="00211EFC">
      <w:pPr>
        <w:rPr>
          <w:rFonts w:ascii="Times New Roman" w:hAnsi="Times New Roman" w:cs="Times New Roman"/>
          <w:b/>
        </w:rPr>
      </w:pPr>
    </w:p>
    <w:p w14:paraId="305823E0" w14:textId="77777777" w:rsidR="00F916A0" w:rsidRDefault="00F916A0" w:rsidP="00334400">
      <w:pPr>
        <w:pStyle w:val="Heading1"/>
        <w:rPr>
          <w:rFonts w:ascii="Times New Roman" w:hAnsi="Times New Roman" w:cs="Times New Roman"/>
          <w:sz w:val="24"/>
        </w:rPr>
      </w:pPr>
    </w:p>
    <w:p w14:paraId="1A9EA39A" w14:textId="0B0DDD77" w:rsidR="00F916A0" w:rsidRDefault="00F916A0" w:rsidP="00F916A0">
      <w:pPr>
        <w:pStyle w:val="Heading1"/>
        <w:tabs>
          <w:tab w:val="left" w:pos="1515"/>
        </w:tabs>
        <w:jc w:val="left"/>
        <w:rPr>
          <w:rFonts w:ascii="Times New Roman" w:hAnsi="Times New Roman" w:cs="Times New Roman"/>
          <w:sz w:val="24"/>
        </w:rPr>
      </w:pPr>
      <w:r>
        <w:rPr>
          <w:rFonts w:ascii="Times New Roman" w:hAnsi="Times New Roman" w:cs="Times New Roman"/>
          <w:sz w:val="24"/>
        </w:rPr>
        <w:tab/>
      </w:r>
    </w:p>
    <w:p w14:paraId="2DF5E4F7" w14:textId="77777777" w:rsidR="00F916A0" w:rsidRDefault="00F916A0">
      <w:pPr>
        <w:rPr>
          <w:rFonts w:ascii="Times New Roman" w:hAnsi="Times New Roman" w:cs="Times New Roman"/>
          <w:b/>
          <w:bCs/>
          <w:caps/>
        </w:rPr>
      </w:pPr>
      <w:r>
        <w:rPr>
          <w:rFonts w:ascii="Times New Roman" w:hAnsi="Times New Roman" w:cs="Times New Roman"/>
        </w:rPr>
        <w:br w:type="page"/>
      </w:r>
    </w:p>
    <w:p w14:paraId="4D5D9D30" w14:textId="0BE3D018" w:rsidR="00F916A0" w:rsidRPr="00DF7C87" w:rsidRDefault="00F916A0" w:rsidP="00F916A0">
      <w:pPr>
        <w:pStyle w:val="Heading1"/>
        <w:rPr>
          <w:rFonts w:ascii="Times New Roman" w:hAnsi="Times New Roman" w:cs="Times New Roman"/>
          <w:szCs w:val="28"/>
        </w:rPr>
      </w:pPr>
      <w:bookmarkStart w:id="65" w:name="_Toc100607901"/>
      <w:r w:rsidRPr="00DF7C87">
        <w:rPr>
          <w:rFonts w:ascii="Times New Roman" w:hAnsi="Times New Roman" w:cs="Times New Roman"/>
          <w:szCs w:val="28"/>
        </w:rPr>
        <w:lastRenderedPageBreak/>
        <w:t xml:space="preserve">CHAPTER </w:t>
      </w:r>
      <w:r w:rsidR="0088689E">
        <w:rPr>
          <w:rFonts w:ascii="Times New Roman" w:hAnsi="Times New Roman" w:cs="Times New Roman"/>
          <w:szCs w:val="28"/>
        </w:rPr>
        <w:t>3</w:t>
      </w:r>
      <w:r w:rsidRPr="00DF7C87">
        <w:rPr>
          <w:rFonts w:ascii="Times New Roman" w:hAnsi="Times New Roman" w:cs="Times New Roman"/>
          <w:szCs w:val="28"/>
        </w:rPr>
        <w:br/>
      </w:r>
      <w:r>
        <w:rPr>
          <w:rFonts w:ascii="Times New Roman" w:hAnsi="Times New Roman" w:cs="Times New Roman"/>
          <w:szCs w:val="28"/>
        </w:rPr>
        <w:t>TRENDS AND OPPORTUNITIES IN FRESHWATER COMMUNITY SCIENCE ACROSS SPATIAL SCALES</w:t>
      </w:r>
      <w:bookmarkEnd w:id="65"/>
    </w:p>
    <w:p w14:paraId="1B6422E4" w14:textId="77777777" w:rsidR="00F916A0" w:rsidRPr="00DF7C87" w:rsidRDefault="00F916A0" w:rsidP="00F916A0">
      <w:pPr>
        <w:rPr>
          <w:rFonts w:ascii="Times New Roman" w:hAnsi="Times New Roman" w:cs="Times New Roman"/>
          <w:sz w:val="28"/>
          <w:szCs w:val="28"/>
        </w:rPr>
      </w:pPr>
      <w:r w:rsidRPr="00DF7C87">
        <w:rPr>
          <w:rFonts w:ascii="Times New Roman" w:hAnsi="Times New Roman" w:cs="Times New Roman"/>
          <w:sz w:val="28"/>
          <w:szCs w:val="28"/>
        </w:rPr>
        <w:br w:type="page"/>
      </w:r>
    </w:p>
    <w:p w14:paraId="6B9B403E" w14:textId="5F493B04" w:rsidR="00F916A0" w:rsidRPr="00DF7C87" w:rsidRDefault="00F916A0" w:rsidP="00903483">
      <w:pPr>
        <w:jc w:val="both"/>
        <w:rPr>
          <w:rFonts w:ascii="Times New Roman" w:hAnsi="Times New Roman" w:cs="Times New Roman"/>
        </w:rPr>
      </w:pPr>
      <w:r w:rsidRPr="00DF7C87">
        <w:rPr>
          <w:rFonts w:ascii="Times New Roman" w:hAnsi="Times New Roman" w:cs="Times New Roman"/>
        </w:rPr>
        <w:lastRenderedPageBreak/>
        <w:t>A version of this chapter</w:t>
      </w:r>
      <w:r>
        <w:rPr>
          <w:rFonts w:ascii="Times New Roman" w:hAnsi="Times New Roman" w:cs="Times New Roman"/>
        </w:rPr>
        <w:t xml:space="preserve"> is currently under review for publication </w:t>
      </w:r>
      <w:r w:rsidRPr="00DF7C87">
        <w:rPr>
          <w:rFonts w:ascii="Times New Roman" w:hAnsi="Times New Roman" w:cs="Times New Roman"/>
        </w:rPr>
        <w:t xml:space="preserve">by </w:t>
      </w:r>
      <w:r>
        <w:rPr>
          <w:rFonts w:ascii="Times New Roman" w:hAnsi="Times New Roman" w:cs="Times New Roman"/>
        </w:rPr>
        <w:t>Taylor Woods, Luis Carrasco, Gengping Zhu, Guido A. Herrera-R, Anna Kaz, J. Cameron Niemeyer, Sarah Roth, Jeffery Stevens, and Xingli Giam</w:t>
      </w:r>
      <w:r w:rsidRPr="00DF7C87">
        <w:rPr>
          <w:rFonts w:ascii="Times New Roman" w:hAnsi="Times New Roman" w:cs="Times New Roman"/>
        </w:rPr>
        <w:t>:</w:t>
      </w:r>
    </w:p>
    <w:p w14:paraId="3DFC8C4D" w14:textId="1769F46D" w:rsidR="00F916A0" w:rsidRPr="002137E6" w:rsidRDefault="00F916A0" w:rsidP="00903483">
      <w:pPr>
        <w:jc w:val="both"/>
        <w:rPr>
          <w:rFonts w:ascii="Times New Roman" w:hAnsi="Times New Roman" w:cs="Times New Roman"/>
          <w:iCs/>
        </w:rPr>
      </w:pPr>
      <w:r w:rsidRPr="00DF7C87">
        <w:rPr>
          <w:rFonts w:ascii="Times New Roman" w:hAnsi="Times New Roman" w:cs="Times New Roman"/>
        </w:rPr>
        <w:tab/>
      </w:r>
      <w:r>
        <w:rPr>
          <w:rFonts w:ascii="Times New Roman" w:hAnsi="Times New Roman" w:cs="Times New Roman"/>
        </w:rPr>
        <w:t>Taylor Woods</w:t>
      </w:r>
      <w:r w:rsidRPr="00DF7C87">
        <w:rPr>
          <w:rFonts w:ascii="Times New Roman" w:hAnsi="Times New Roman" w:cs="Times New Roman"/>
        </w:rPr>
        <w:t xml:space="preserve">, </w:t>
      </w:r>
      <w:r>
        <w:rPr>
          <w:rFonts w:ascii="Times New Roman" w:hAnsi="Times New Roman" w:cs="Times New Roman"/>
        </w:rPr>
        <w:t>Luis Carrasco, Gengping Zhu, Guido A. Herrera-R, Anna Kaz, J. Cameron Niemeyer, Sarah Roth, Jeffery Stevens, Xingli Giam</w:t>
      </w:r>
      <w:r w:rsidRPr="00DF7C87">
        <w:rPr>
          <w:rFonts w:ascii="Times New Roman" w:hAnsi="Times New Roman" w:cs="Times New Roman"/>
        </w:rPr>
        <w:t>. “</w:t>
      </w:r>
      <w:r>
        <w:rPr>
          <w:rFonts w:ascii="Times New Roman" w:hAnsi="Times New Roman" w:cs="Times New Roman"/>
        </w:rPr>
        <w:t>Trends and opportunities in freshwater community science across sp</w:t>
      </w:r>
      <w:r w:rsidR="002137E6">
        <w:rPr>
          <w:rFonts w:ascii="Times New Roman" w:hAnsi="Times New Roman" w:cs="Times New Roman"/>
        </w:rPr>
        <w:t>atial scales</w:t>
      </w:r>
      <w:r w:rsidRPr="00DF7C87">
        <w:rPr>
          <w:rFonts w:ascii="Times New Roman" w:hAnsi="Times New Roman" w:cs="Times New Roman"/>
        </w:rPr>
        <w:t xml:space="preserve">.” </w:t>
      </w:r>
      <w:r w:rsidR="00F10C56">
        <w:rPr>
          <w:rFonts w:ascii="Times New Roman" w:hAnsi="Times New Roman" w:cs="Times New Roman"/>
          <w:i/>
        </w:rPr>
        <w:t>Freshwater Science</w:t>
      </w:r>
      <w:r w:rsidR="002137E6">
        <w:rPr>
          <w:rFonts w:ascii="Times New Roman" w:hAnsi="Times New Roman" w:cs="Times New Roman"/>
          <w:iCs/>
        </w:rPr>
        <w:t>.</w:t>
      </w:r>
    </w:p>
    <w:p w14:paraId="1C9F3087" w14:textId="77777777" w:rsidR="00F916A0" w:rsidRPr="00DF7C87" w:rsidRDefault="00F916A0" w:rsidP="00903483">
      <w:pPr>
        <w:jc w:val="both"/>
        <w:rPr>
          <w:rFonts w:ascii="Times New Roman" w:hAnsi="Times New Roman" w:cs="Times New Roman"/>
        </w:rPr>
      </w:pPr>
    </w:p>
    <w:p w14:paraId="22157A9E" w14:textId="3CAEF6A2" w:rsidR="00F916A0" w:rsidRPr="00DF7C87" w:rsidRDefault="002137E6" w:rsidP="00903483">
      <w:pPr>
        <w:ind w:firstLine="720"/>
        <w:jc w:val="both"/>
        <w:rPr>
          <w:rFonts w:ascii="Times New Roman" w:hAnsi="Times New Roman" w:cs="Times New Roman"/>
        </w:rPr>
      </w:pPr>
      <w:r>
        <w:rPr>
          <w:rFonts w:ascii="Times New Roman" w:hAnsi="Times New Roman" w:cs="Times New Roman"/>
        </w:rPr>
        <w:t xml:space="preserve">All authors </w:t>
      </w:r>
      <w:r w:rsidR="002756BC">
        <w:rPr>
          <w:rFonts w:ascii="Times New Roman" w:hAnsi="Times New Roman" w:cs="Times New Roman"/>
        </w:rPr>
        <w:t>conceptualized</w:t>
      </w:r>
      <w:r w:rsidR="00F916A0">
        <w:rPr>
          <w:rFonts w:ascii="Times New Roman" w:hAnsi="Times New Roman" w:cs="Times New Roman"/>
        </w:rPr>
        <w:t xml:space="preserve"> the project. Taylor Woods led the </w:t>
      </w:r>
      <w:r>
        <w:rPr>
          <w:rFonts w:ascii="Times New Roman" w:hAnsi="Times New Roman" w:cs="Times New Roman"/>
        </w:rPr>
        <w:t xml:space="preserve">data collection, </w:t>
      </w:r>
      <w:r w:rsidR="00F916A0">
        <w:rPr>
          <w:rFonts w:ascii="Times New Roman" w:hAnsi="Times New Roman" w:cs="Times New Roman"/>
        </w:rPr>
        <w:t>analysis</w:t>
      </w:r>
      <w:r>
        <w:rPr>
          <w:rFonts w:ascii="Times New Roman" w:hAnsi="Times New Roman" w:cs="Times New Roman"/>
        </w:rPr>
        <w:t>,</w:t>
      </w:r>
      <w:r w:rsidR="00F916A0">
        <w:rPr>
          <w:rFonts w:ascii="Times New Roman" w:hAnsi="Times New Roman" w:cs="Times New Roman"/>
        </w:rPr>
        <w:t xml:space="preserve"> and created figures with input from all authors. </w:t>
      </w:r>
      <w:r>
        <w:rPr>
          <w:rFonts w:ascii="Times New Roman" w:hAnsi="Times New Roman" w:cs="Times New Roman"/>
        </w:rPr>
        <w:t xml:space="preserve">All authors contributed to data collection of the community science database. </w:t>
      </w:r>
      <w:r w:rsidR="00F916A0">
        <w:rPr>
          <w:rFonts w:ascii="Times New Roman" w:hAnsi="Times New Roman" w:cs="Times New Roman"/>
        </w:rPr>
        <w:t>Taylor Woods led writing of the first draft and all authors contributed to manuscript revisions and editing.</w:t>
      </w:r>
    </w:p>
    <w:p w14:paraId="2D0DD57E" w14:textId="77777777" w:rsidR="00F916A0" w:rsidRDefault="00F916A0" w:rsidP="00F916A0">
      <w:pPr>
        <w:pStyle w:val="Heading2"/>
        <w:jc w:val="left"/>
        <w:rPr>
          <w:rFonts w:ascii="Times New Roman" w:hAnsi="Times New Roman" w:cs="Times New Roman"/>
          <w:sz w:val="24"/>
          <w:szCs w:val="24"/>
        </w:rPr>
      </w:pPr>
    </w:p>
    <w:p w14:paraId="06C4114D" w14:textId="77777777" w:rsidR="00F916A0" w:rsidRPr="00DF7C87" w:rsidRDefault="00F916A0" w:rsidP="00F916A0">
      <w:pPr>
        <w:pStyle w:val="Heading2"/>
        <w:rPr>
          <w:rFonts w:ascii="Times New Roman" w:hAnsi="Times New Roman" w:cs="Times New Roman"/>
          <w:sz w:val="24"/>
          <w:szCs w:val="24"/>
        </w:rPr>
      </w:pPr>
      <w:bookmarkStart w:id="66" w:name="_Toc100607902"/>
      <w:r w:rsidRPr="00DF7C87">
        <w:rPr>
          <w:rFonts w:ascii="Times New Roman" w:hAnsi="Times New Roman" w:cs="Times New Roman"/>
          <w:sz w:val="24"/>
          <w:szCs w:val="24"/>
        </w:rPr>
        <w:t>Abstract</w:t>
      </w:r>
      <w:bookmarkEnd w:id="66"/>
    </w:p>
    <w:p w14:paraId="2AD8783D" w14:textId="20386C30" w:rsidR="00F916A0" w:rsidRDefault="00BC19FF" w:rsidP="002756BC">
      <w:pPr>
        <w:ind w:firstLine="720"/>
        <w:jc w:val="both"/>
        <w:rPr>
          <w:rFonts w:ascii="Times New Roman" w:hAnsi="Times New Roman" w:cs="Times New Roman"/>
        </w:rPr>
      </w:pPr>
      <w:r w:rsidRPr="00BC19FF">
        <w:rPr>
          <w:rFonts w:ascii="Times New Roman" w:hAnsi="Times New Roman" w:cs="Times New Roman"/>
        </w:rPr>
        <w:t>Growing community science efforts over the past decades offer novel opportunities for data-intensive ecological research at broad spatial extents. In biologically important yet undersampled freshwater habitats, characterizing present community science efforts can identify sampling gaps to be targeted by emerging efforts. Here, we synthesize the scope of United States freshwater community science efforts and identify socioenvironmental drivers of survey effort across spatial scales. Across spatial scales, increasing population density and forest land-cover increase community science survey effort. At smaller spatial scales, survey effort also increases in areas of higher educational attainment, seasonal housing, and college densities. These results indicate that broad spatial gaps in present freshwater community science survey effort may relate to participation gaps where community science initiatives currently engage limited portions of the public. Freshwater community science programs could incorporate activities to recruit novel participants in sampling hotspots and develop partnerships to engage communities in undersampled areas.</w:t>
      </w:r>
    </w:p>
    <w:p w14:paraId="6F8968D0" w14:textId="77777777" w:rsidR="00BC19FF" w:rsidRPr="00DF7C87" w:rsidRDefault="00BC19FF" w:rsidP="00BC19FF">
      <w:pPr>
        <w:pStyle w:val="Heading2"/>
        <w:rPr>
          <w:rFonts w:ascii="Times New Roman" w:hAnsi="Times New Roman" w:cs="Times New Roman"/>
          <w:sz w:val="24"/>
          <w:szCs w:val="24"/>
        </w:rPr>
      </w:pPr>
      <w:bookmarkStart w:id="67" w:name="_Toc100607903"/>
      <w:r w:rsidRPr="00DF7C87">
        <w:rPr>
          <w:rFonts w:ascii="Times New Roman" w:hAnsi="Times New Roman" w:cs="Times New Roman"/>
          <w:sz w:val="24"/>
          <w:szCs w:val="24"/>
        </w:rPr>
        <w:t>Introduction</w:t>
      </w:r>
      <w:bookmarkEnd w:id="67"/>
    </w:p>
    <w:p w14:paraId="6EEF8BCF" w14:textId="77777777" w:rsidR="00BC19FF" w:rsidRPr="00BC19FF" w:rsidRDefault="00BC19FF" w:rsidP="002756BC">
      <w:pPr>
        <w:ind w:firstLine="720"/>
        <w:jc w:val="both"/>
        <w:rPr>
          <w:rFonts w:ascii="Times New Roman" w:hAnsi="Times New Roman" w:cs="Times New Roman"/>
        </w:rPr>
      </w:pPr>
      <w:r w:rsidRPr="00BC19FF">
        <w:rPr>
          <w:rFonts w:ascii="Times New Roman" w:hAnsi="Times New Roman" w:cs="Times New Roman"/>
        </w:rPr>
        <w:t xml:space="preserve">Community science (CS; also commonly referred to as citizen science) involves public participation in scientific research, often through data collection (Dickinson et al. 2012). Recent growth in CS arose, in part, because macroecological datasets may be more feasibly attained with sampling schemes involving public community members, rather than conventional scientific data collection methods (Hochachka et al. 2012; Poisson et al. 2019). Researchers now use CS data to model species distributions (Johnston et al. 2020), detect the establishment and expansion of aquatic invasive species (Larson et al. 2020b), and quantify physical habitat characteristics (Poisson et al. 2019). CS also plays an increasingly important role in environmental conservation and resource management (McKinley et al. 2017). For example, terrestrial CS data has documented butterfly (Forister et al. 2021) and bird (Rosenberg et al. 2019) population declines and informed livestock management practices to protect local watershed resources (McKinley et al. 2017). Therefore, community scientists can potentially play important roles in detecting, documenting, and mitigating global change impacts. </w:t>
      </w:r>
    </w:p>
    <w:p w14:paraId="76D364B4" w14:textId="77777777" w:rsidR="00BC19FF" w:rsidRPr="00BC19FF" w:rsidRDefault="00BC19FF" w:rsidP="00903483">
      <w:pPr>
        <w:ind w:firstLine="720"/>
        <w:jc w:val="both"/>
        <w:rPr>
          <w:rFonts w:ascii="Times New Roman" w:hAnsi="Times New Roman" w:cs="Times New Roman"/>
        </w:rPr>
      </w:pPr>
      <w:r w:rsidRPr="00BC19FF">
        <w:rPr>
          <w:rFonts w:ascii="Times New Roman" w:hAnsi="Times New Roman" w:cs="Times New Roman"/>
        </w:rPr>
        <w:lastRenderedPageBreak/>
        <w:t xml:space="preserve">Despite the demonstrated value of CS data to ecology and conservation research, freshwater CS efforts lag those in terrestrial systems. Globally, approximately 30% of CS programs survey freshwater environments, compared to 82% that survey terrestrial habitats (Chandler et al. 2017). This sampling gap is noteworthy because freshwaters provide critical ecosystem services (e.g., water resources and recreation) which can engage local communities in participatory science through shared motivations in public health and environmental equity (Church et al. 2019). Thus, it is imminently important for freshwater research, conservation, and outreach to leverage the emerging contributions of community scientists and CS datasets. </w:t>
      </w:r>
    </w:p>
    <w:p w14:paraId="26CB5756" w14:textId="77777777" w:rsidR="00BC19FF" w:rsidRPr="00BC19FF" w:rsidRDefault="00BC19FF" w:rsidP="00903483">
      <w:pPr>
        <w:ind w:firstLine="720"/>
        <w:jc w:val="both"/>
        <w:rPr>
          <w:rFonts w:ascii="Times New Roman" w:hAnsi="Times New Roman" w:cs="Times New Roman"/>
        </w:rPr>
      </w:pPr>
      <w:r w:rsidRPr="00BC19FF">
        <w:rPr>
          <w:rFonts w:ascii="Times New Roman" w:hAnsi="Times New Roman" w:cs="Times New Roman"/>
        </w:rPr>
        <w:t xml:space="preserve">Synthesizing the scope of existing CS programs can help identify opportunities to leverage CS datasets in freshwater research. This is important because CS data are often collected at spatiotemporal scales and resolutions uncommon in traditional datasets (Hochachka et al. 2012). For example, CS surveys in Ireland provided water quality at finer spatiotemporal grains, and better identified nutrient input sources along a gradient of urbanization, compared to government surveys (Hegarty et al. 2021). Such analyses can spur CS growth because impacting scientific research motivates participant recruitment and retention (Larson et al. 2020a). These motivations may be especially relevant for freshwater community scientists owed to public health concerns associated with water quality. A synthesis can also identify opportunities for partnerships among programs with complementary aims. This could expand freshwater CS from the local to continental/global scale, which is presently limited to programs involving terrestrial systems or taxa (e.g., birds) (La Sorte and Somveille 2020).  </w:t>
      </w:r>
    </w:p>
    <w:p w14:paraId="61E24127" w14:textId="77777777" w:rsidR="00BC19FF" w:rsidRPr="00BC19FF" w:rsidRDefault="00BC19FF" w:rsidP="00903483">
      <w:pPr>
        <w:ind w:firstLine="720"/>
        <w:jc w:val="both"/>
        <w:rPr>
          <w:rFonts w:ascii="Times New Roman" w:hAnsi="Times New Roman" w:cs="Times New Roman"/>
        </w:rPr>
      </w:pPr>
      <w:r w:rsidRPr="00BC19FF">
        <w:rPr>
          <w:rFonts w:ascii="Times New Roman" w:hAnsi="Times New Roman" w:cs="Times New Roman"/>
        </w:rPr>
        <w:t>The spatial distribution of CS surveys often skews toward locations where programs can attract, recruit, and retain public participants (Isaac and Pocock 2015). Community members with time or monetary resources may also be more likely to participate in CS (Schuttler et al. 2018). These participation gaps may be especially prevalent in freshwaters where public sampling can be limited by hydrologic conditions that require specialized survey gear or safety equipment. Detailing socioenvironmental biases in the distribution of CS survey efforts can reveal these sampling and participation gaps which can be used to inform outreach. Filling sampling gaps can reduce biases in CS-enabled ecological research (Isaac and Pocock 2015) and narrowing participation gaps increases access to environmental awareness, engagement, and literacy benefits individuals derive from CS (MacLeod and Scott 2021). For example, participants in a riverine water quality CS program reported greater understanding and appreciation of watershed conservation following sampling activities (Church et al. 2019). While local (e.g., site level) gaps are commonly the foci of such analyses, macroecological analyses may also require assessment of sampling gaps at broader extents (e.g., regional to continental) (Zipkin et al. 2021). Understanding drivers of participation gaps at larger scales (e.g., counties to states) is important because individual-level gaps can scale up to impact which communities are incorporated into resource management decisions stemming from CS (Stepenuck and Green 2015).</w:t>
      </w:r>
    </w:p>
    <w:p w14:paraId="798D39C4" w14:textId="09F74C94" w:rsidR="008A3289" w:rsidRDefault="00BC19FF" w:rsidP="00EF5AE7">
      <w:pPr>
        <w:ind w:firstLine="720"/>
        <w:jc w:val="both"/>
        <w:rPr>
          <w:rFonts w:ascii="Times New Roman" w:hAnsi="Times New Roman" w:cs="Times New Roman"/>
        </w:rPr>
      </w:pPr>
      <w:r w:rsidRPr="00BC19FF">
        <w:rPr>
          <w:rFonts w:ascii="Times New Roman" w:hAnsi="Times New Roman" w:cs="Times New Roman"/>
        </w:rPr>
        <w:t xml:space="preserve">Much prior freshwater CS research focused on water quality CS programs in the Great Lakes region (Lottig et al. 2014; Poisson et al. 2019). Although useful for detailed regional information on CS, a broader perspective spanning multiple habitats, taxa, and </w:t>
      </w:r>
      <w:r w:rsidRPr="00BC19FF">
        <w:rPr>
          <w:rFonts w:ascii="Times New Roman" w:hAnsi="Times New Roman" w:cs="Times New Roman"/>
        </w:rPr>
        <w:lastRenderedPageBreak/>
        <w:t>metrics may provide a more complete overview of existing freshwater CS survey efforts. Therefore, we assembled a database to synthesize the scope of freshwater CS in the contiguous United States (CONUS). First, we summarized topical information on ecological foci (habitats and variables sampled) and organizational characteristics (organizing entity, geographic extent) among freshwater CS programs. Next, we analyzed drivers of freshwater CS survey effort at three scales representing common program spatial extents: state, county, and watershed. We used these results to identify where existing datasets can be leveraged in freshwater macroecology and inform outreach related to sampling and participation gaps</w:t>
      </w:r>
      <w:r>
        <w:rPr>
          <w:rFonts w:ascii="Times New Roman" w:hAnsi="Times New Roman" w:cs="Times New Roman"/>
        </w:rPr>
        <w:t>.</w:t>
      </w:r>
    </w:p>
    <w:p w14:paraId="371562EF" w14:textId="462FCDA1" w:rsidR="008A3289" w:rsidRPr="00324BDD" w:rsidRDefault="008A3289" w:rsidP="00324BDD">
      <w:pPr>
        <w:pStyle w:val="Heading2"/>
        <w:rPr>
          <w:rFonts w:ascii="Times New Roman" w:hAnsi="Times New Roman" w:cs="Times New Roman"/>
          <w:sz w:val="24"/>
          <w:szCs w:val="24"/>
        </w:rPr>
      </w:pPr>
      <w:bookmarkStart w:id="68" w:name="_Toc100607904"/>
      <w:r>
        <w:rPr>
          <w:rFonts w:ascii="Times New Roman" w:hAnsi="Times New Roman" w:cs="Times New Roman"/>
          <w:sz w:val="24"/>
          <w:szCs w:val="24"/>
        </w:rPr>
        <w:t>Methods</w:t>
      </w:r>
      <w:bookmarkEnd w:id="68"/>
    </w:p>
    <w:p w14:paraId="2AB4A8FE" w14:textId="1C5D1DAA" w:rsidR="00324BDD" w:rsidRPr="00DF7C87" w:rsidRDefault="00324BDD" w:rsidP="00324BDD">
      <w:pPr>
        <w:pStyle w:val="Heading3"/>
        <w:rPr>
          <w:rFonts w:ascii="Times New Roman" w:hAnsi="Times New Roman" w:cs="Times New Roman"/>
          <w:szCs w:val="24"/>
        </w:rPr>
      </w:pPr>
      <w:bookmarkStart w:id="69" w:name="_Toc100607905"/>
      <w:r>
        <w:rPr>
          <w:rFonts w:ascii="Times New Roman" w:hAnsi="Times New Roman" w:cs="Times New Roman"/>
          <w:szCs w:val="24"/>
        </w:rPr>
        <w:t>Community science database</w:t>
      </w:r>
      <w:bookmarkEnd w:id="69"/>
    </w:p>
    <w:p w14:paraId="0B9DA108" w14:textId="7D93A39D"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 xml:space="preserve">We assembled a database on freshwater CS using a systematic search of the literature, internet, and CS portals on 5 November 2019. For the literature review, we searched Web of Science for: TS = ((North America OR US) AND (aquatic OR freshwater OR pond OR lake OR stream OR creek OR river) AND (citizen OR volunteer OR participat*) AND (survey OR monitor* OR assess* OR research OR sampl* OR science)). For the internet search, we searched Google for: (Aquatic OR freshwater OR pond OR lake OR stream OR creek OR river) AND (citizen OR volunteer OR participat*) AND (survey OR monitor* OR assess* OR research OR sampl* OR science) and scraped URLs from the first 25 results pages with the Python module “googlesearch”. For the CS portal search, we identified potentially relevant programs from citsci.org (&lt;http://citsci.org&gt;), iNaturalist (&lt;http://iNaturalist.org&gt;), and SciStarter (&lt;http://scistarter.org&gt;). We selected these portals because they contained ≥ 500 CS programs and therefore represent key databases that serve to organize interested participants into relevant US programs. We searched each portal using the habitat keywords: “aquatic”, “freshwater”, “pond”, “lake”, “stream”, and “river” and extracted links to all potential programs returned. </w:t>
      </w:r>
    </w:p>
    <w:p w14:paraId="39375525" w14:textId="77777777"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Using the list of returned papers (</w:t>
      </w:r>
      <w:r w:rsidRPr="005A0845">
        <w:rPr>
          <w:rFonts w:ascii="Times New Roman" w:hAnsi="Times New Roman" w:cs="Times New Roman"/>
          <w:i/>
          <w:iCs/>
        </w:rPr>
        <w:t>n</w:t>
      </w:r>
      <w:r w:rsidRPr="00324BDD">
        <w:rPr>
          <w:rFonts w:ascii="Times New Roman" w:hAnsi="Times New Roman" w:cs="Times New Roman"/>
        </w:rPr>
        <w:t xml:space="preserve"> = 329), URLs (</w:t>
      </w:r>
      <w:r w:rsidRPr="005A0845">
        <w:rPr>
          <w:rFonts w:ascii="Times New Roman" w:hAnsi="Times New Roman" w:cs="Times New Roman"/>
          <w:i/>
          <w:iCs/>
        </w:rPr>
        <w:t>n</w:t>
      </w:r>
      <w:r w:rsidRPr="00324BDD">
        <w:rPr>
          <w:rFonts w:ascii="Times New Roman" w:hAnsi="Times New Roman" w:cs="Times New Roman"/>
        </w:rPr>
        <w:t xml:space="preserve"> = 230), and portal results (</w:t>
      </w:r>
      <w:r w:rsidRPr="005A0845">
        <w:rPr>
          <w:rFonts w:ascii="Times New Roman" w:hAnsi="Times New Roman" w:cs="Times New Roman"/>
          <w:i/>
          <w:iCs/>
        </w:rPr>
        <w:t>n</w:t>
      </w:r>
      <w:r w:rsidRPr="00324BDD">
        <w:rPr>
          <w:rFonts w:ascii="Times New Roman" w:hAnsi="Times New Roman" w:cs="Times New Roman"/>
        </w:rPr>
        <w:t xml:space="preserve"> = 1918) we determined whether the paper or URL contained freshwater CS programs for inclusion in the study. Papers were initially screened via titles and abstracts and then read in full. We included a program if it focused on freshwater ecosystems and provided observations for aquatic parameters of interest (see next paragraph) conducted by community scientists in the contiguous US. For included programs, we recorded program-level descriptive characteristics for: the aquatic habitat(s) as estuary/coast, lake/reservoir, pond/wetland, or stream/river; and variable(s) as amphibians/aquatic reptiles, fishes, other vertebrates (e.g., waterbirds, aquatic mammals), invasive species, invertebrates, primary producers (e.g., macrophytes), or water quality/associated characteristics (e.g., pH, temperature, hydrology) sampled. We also recorded the spatial extent of programs as national, state, county, watershed, or other (e.g., cross-boundary National Park), the start and end year (if no longer active) and classified the organizing entity of the program as government, non-governmental organization (NGO), university, or independent (in the case that community scientists themselves were the organizing entity).</w:t>
      </w:r>
    </w:p>
    <w:p w14:paraId="1ACA50D9" w14:textId="77777777"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 xml:space="preserve">We searched programs’ websites for local (site-level) data and extracted geographic coordinates of survey sites when publicly available or requested this information from </w:t>
      </w:r>
      <w:r w:rsidRPr="00324BDD">
        <w:rPr>
          <w:rFonts w:ascii="Times New Roman" w:hAnsi="Times New Roman" w:cs="Times New Roman"/>
        </w:rPr>
        <w:lastRenderedPageBreak/>
        <w:t>programs when unavailable. We included all sites with CS surveys, regardless of data quality grading or sampling methodology because we aimed to analyze the distribution of CS survey efforts, rather than provide a quantitative analysis of abiotic or biodiversity data collected by CS programs.</w:t>
      </w:r>
    </w:p>
    <w:p w14:paraId="5E8C5797" w14:textId="77777777"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We screened for and corrected likely errors in the spatial coordinates of sites in our dataset. Briefly, we identified cases in which latitude and longitude coordinates appeared to be swapped, corrected non-negative longitude values, and removed sites with missing latitude or longitude coordinates. Next, we removed duplicated site records (identical coordinate combinations within programs). We referenced sites to states and counties using shapefiles provided in the R package ‘tidycensus’ (Walker and Herman 2020) and to watersheds (8-digit Hydrologic Unit) using the Watershed Boundary Dataset (USGS 2012) and removed any sites falling outside the contiguous US (</w:t>
      </w:r>
      <w:r w:rsidRPr="005A0845">
        <w:rPr>
          <w:rFonts w:ascii="Times New Roman" w:hAnsi="Times New Roman" w:cs="Times New Roman"/>
          <w:i/>
          <w:iCs/>
        </w:rPr>
        <w:t>n</w:t>
      </w:r>
      <w:r w:rsidRPr="00324BDD">
        <w:rPr>
          <w:rFonts w:ascii="Times New Roman" w:hAnsi="Times New Roman" w:cs="Times New Roman"/>
        </w:rPr>
        <w:t xml:space="preserve"> = 11,156 sites) defined by state boundaries.</w:t>
      </w:r>
    </w:p>
    <w:p w14:paraId="7DD6BF59" w14:textId="54F2940F" w:rsidR="008A3289" w:rsidRDefault="00324BDD" w:rsidP="00903483">
      <w:pPr>
        <w:ind w:firstLine="720"/>
        <w:jc w:val="both"/>
        <w:rPr>
          <w:rFonts w:ascii="Times New Roman" w:hAnsi="Times New Roman" w:cs="Times New Roman"/>
        </w:rPr>
      </w:pPr>
      <w:r w:rsidRPr="00324BDD">
        <w:rPr>
          <w:rFonts w:ascii="Times New Roman" w:hAnsi="Times New Roman" w:cs="Times New Roman"/>
        </w:rPr>
        <w:t>We referenced each site to a respective lentic or lotic waterbody using the National Hydrography Dataset (NHD) (McKay et al. 2012). First, we ascribed sites falling within a lentic waterbody as: lake, reservoir, or estuary. Next, for sites not falling within lentic waterbodies, we referenced sites to stream catchments using the NHD catchment dataset. We removed estuary sites (</w:t>
      </w:r>
      <w:r w:rsidRPr="005A0845">
        <w:rPr>
          <w:rFonts w:ascii="Times New Roman" w:hAnsi="Times New Roman" w:cs="Times New Roman"/>
          <w:i/>
          <w:iCs/>
        </w:rPr>
        <w:t>n</w:t>
      </w:r>
      <w:r w:rsidRPr="00324BDD">
        <w:rPr>
          <w:rFonts w:ascii="Times New Roman" w:hAnsi="Times New Roman" w:cs="Times New Roman"/>
        </w:rPr>
        <w:t xml:space="preserve"> = 8) and sites not associated with a stream catchment (e.g., sites on coastlines; </w:t>
      </w:r>
      <w:r w:rsidRPr="005A0845">
        <w:rPr>
          <w:rFonts w:ascii="Times New Roman" w:hAnsi="Times New Roman" w:cs="Times New Roman"/>
          <w:i/>
          <w:iCs/>
        </w:rPr>
        <w:t>n</w:t>
      </w:r>
      <w:r w:rsidRPr="00324BDD">
        <w:rPr>
          <w:rFonts w:ascii="Times New Roman" w:hAnsi="Times New Roman" w:cs="Times New Roman"/>
        </w:rPr>
        <w:t xml:space="preserve"> = 5490). This ensured that sites remaining within our dataset represented volunteer surveys of freshwater habitats</w:t>
      </w:r>
      <w:r w:rsidR="008A3289" w:rsidRPr="00796D6E">
        <w:rPr>
          <w:rFonts w:ascii="Times New Roman" w:hAnsi="Times New Roman" w:cs="Times New Roman"/>
        </w:rPr>
        <w:t>.</w:t>
      </w:r>
    </w:p>
    <w:p w14:paraId="66F2444A" w14:textId="07D5E649" w:rsidR="00324BDD" w:rsidRPr="00DF7C87" w:rsidRDefault="00324BDD" w:rsidP="00324BDD">
      <w:pPr>
        <w:pStyle w:val="Heading3"/>
        <w:rPr>
          <w:rFonts w:ascii="Times New Roman" w:hAnsi="Times New Roman" w:cs="Times New Roman"/>
          <w:szCs w:val="24"/>
        </w:rPr>
      </w:pPr>
      <w:bookmarkStart w:id="70" w:name="_Toc100607906"/>
      <w:r>
        <w:rPr>
          <w:rFonts w:ascii="Times New Roman" w:hAnsi="Times New Roman" w:cs="Times New Roman"/>
          <w:szCs w:val="24"/>
        </w:rPr>
        <w:t>Predictor variables</w:t>
      </w:r>
      <w:bookmarkEnd w:id="70"/>
    </w:p>
    <w:p w14:paraId="682D636B" w14:textId="66933EC1"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 xml:space="preserve">We used the ‘tidycensus’ (Walker and Herman 2020) R package and collected 2010 American Community Survey (ACS) data. For each CONUS state and the District of Columbia (DC; </w:t>
      </w:r>
      <w:r w:rsidRPr="005A0845">
        <w:rPr>
          <w:rFonts w:ascii="Times New Roman" w:hAnsi="Times New Roman" w:cs="Times New Roman"/>
          <w:i/>
          <w:iCs/>
        </w:rPr>
        <w:t>n</w:t>
      </w:r>
      <w:r w:rsidRPr="00324BDD">
        <w:rPr>
          <w:rFonts w:ascii="Times New Roman" w:hAnsi="Times New Roman" w:cs="Times New Roman"/>
        </w:rPr>
        <w:t xml:space="preserve"> = 49) and county (</w:t>
      </w:r>
      <w:r w:rsidRPr="005A0845">
        <w:rPr>
          <w:rFonts w:ascii="Times New Roman" w:hAnsi="Times New Roman" w:cs="Times New Roman"/>
          <w:i/>
          <w:iCs/>
        </w:rPr>
        <w:t>n</w:t>
      </w:r>
      <w:r w:rsidRPr="00324BDD">
        <w:rPr>
          <w:rFonts w:ascii="Times New Roman" w:hAnsi="Times New Roman" w:cs="Times New Roman"/>
        </w:rPr>
        <w:t xml:space="preserve"> = 3109), we collected population, median income, the proportion of residents of at least 25 years old with a bachelor’s degree (hereafter, educational attainment), and the proportion of vacant housing classified as recreational or seasonal use (hereafter, seasonal housing). We selected the 2010 ACS because this was the median program start year in our CS database. For the watershed-scale analysis, we obtained 2010 ACS data within CONUS tracts (</w:t>
      </w:r>
      <w:r w:rsidRPr="005A0845">
        <w:rPr>
          <w:rFonts w:ascii="Times New Roman" w:hAnsi="Times New Roman" w:cs="Times New Roman"/>
          <w:i/>
          <w:iCs/>
        </w:rPr>
        <w:t>n</w:t>
      </w:r>
      <w:r w:rsidRPr="00324BDD">
        <w:rPr>
          <w:rFonts w:ascii="Times New Roman" w:hAnsi="Times New Roman" w:cs="Times New Roman"/>
        </w:rPr>
        <w:t xml:space="preserve"> = 72,271) from the Integrated Public Use Microdata Series National Historic GIS (Manson et al. 2020) and summarized variables within watersheds [Watershed Boundary Dataset 8-digit Hydrologic Units (HU8s), </w:t>
      </w:r>
      <w:r w:rsidRPr="00913B2D">
        <w:rPr>
          <w:rFonts w:ascii="Times New Roman" w:hAnsi="Times New Roman" w:cs="Times New Roman"/>
          <w:i/>
          <w:iCs/>
        </w:rPr>
        <w:t>n</w:t>
      </w:r>
      <w:r w:rsidRPr="00324BDD">
        <w:rPr>
          <w:rFonts w:ascii="Times New Roman" w:hAnsi="Times New Roman" w:cs="Times New Roman"/>
        </w:rPr>
        <w:t xml:space="preserve"> = 2114] (USGS 2012). Among tracts within watersheds, we calculated population, educational attainment, seasonal housing, and median income. We calculated population density (residents/km</w:t>
      </w:r>
      <w:r w:rsidRPr="00913B2D">
        <w:rPr>
          <w:rFonts w:ascii="Times New Roman" w:hAnsi="Times New Roman" w:cs="Times New Roman"/>
          <w:vertAlign w:val="superscript"/>
        </w:rPr>
        <w:t>2</w:t>
      </w:r>
      <w:r w:rsidRPr="00324BDD">
        <w:rPr>
          <w:rFonts w:ascii="Times New Roman" w:hAnsi="Times New Roman" w:cs="Times New Roman"/>
        </w:rPr>
        <w:t>) to use as a predictor variable and kept proportional and median values in their original units. At the county scale, one county did not have complete data in the 2010 ACS (Doña Ana County, New Mexico). This county was unlikely to influence our analysis because it showed low CS site density (0.0006 sites/km</w:t>
      </w:r>
      <w:r w:rsidRPr="00913B2D">
        <w:rPr>
          <w:rFonts w:ascii="Times New Roman" w:hAnsi="Times New Roman" w:cs="Times New Roman"/>
          <w:vertAlign w:val="superscript"/>
        </w:rPr>
        <w:t>2</w:t>
      </w:r>
      <w:r w:rsidRPr="00324BDD">
        <w:rPr>
          <w:rFonts w:ascii="Times New Roman" w:hAnsi="Times New Roman" w:cs="Times New Roman"/>
        </w:rPr>
        <w:t>), therefore this county was omitted from the county-scale analysis (</w:t>
      </w:r>
      <w:r w:rsidRPr="005A0845">
        <w:rPr>
          <w:rFonts w:ascii="Times New Roman" w:hAnsi="Times New Roman" w:cs="Times New Roman"/>
          <w:i/>
          <w:iCs/>
        </w:rPr>
        <w:t>n</w:t>
      </w:r>
      <w:r w:rsidRPr="00324BDD">
        <w:rPr>
          <w:rFonts w:ascii="Times New Roman" w:hAnsi="Times New Roman" w:cs="Times New Roman"/>
        </w:rPr>
        <w:t xml:space="preserve"> = 3108 counties for analysis).</w:t>
      </w:r>
    </w:p>
    <w:p w14:paraId="10624490" w14:textId="5A69863A" w:rsidR="00324BDD" w:rsidRDefault="00324BDD" w:rsidP="00903483">
      <w:pPr>
        <w:ind w:firstLine="720"/>
        <w:jc w:val="both"/>
        <w:rPr>
          <w:rFonts w:ascii="Times New Roman" w:hAnsi="Times New Roman" w:cs="Times New Roman"/>
        </w:rPr>
      </w:pPr>
      <w:r w:rsidRPr="00324BDD">
        <w:rPr>
          <w:rFonts w:ascii="Times New Roman" w:hAnsi="Times New Roman" w:cs="Times New Roman"/>
        </w:rPr>
        <w:t>We used a US Geological Survey (USGS) Post-Secondary Education facilities dataset (Oak Ridge National Laboratory 2010) to calculate college density (number of colleges and universities/km</w:t>
      </w:r>
      <w:r w:rsidRPr="005A0845">
        <w:rPr>
          <w:rFonts w:ascii="Times New Roman" w:hAnsi="Times New Roman" w:cs="Times New Roman"/>
          <w:vertAlign w:val="superscript"/>
        </w:rPr>
        <w:t>2</w:t>
      </w:r>
      <w:r w:rsidRPr="00324BDD">
        <w:rPr>
          <w:rFonts w:ascii="Times New Roman" w:hAnsi="Times New Roman" w:cs="Times New Roman"/>
        </w:rPr>
        <w:t xml:space="preserve">) at each scale. We used the 2011 National Land Cover Dataset (NLCD) (Homer et al. 2015) and calculated the proportion of land-use/land-cover classes [open water, developed (open space, low, medium, and high intensity), forest </w:t>
      </w:r>
      <w:r w:rsidRPr="00324BDD">
        <w:rPr>
          <w:rFonts w:ascii="Times New Roman" w:hAnsi="Times New Roman" w:cs="Times New Roman"/>
        </w:rPr>
        <w:lastRenderedPageBreak/>
        <w:t>(deciduous, evergreen, and mixed), agricultural (pasture and cultivated crops), and wetland (woody and emergent herbaceous)] at each spatial scale. We used open water and wetland land-cover classes as control variables to account for potential effects of the amount of freshwater habitat available for CS sampling at each scale.</w:t>
      </w:r>
    </w:p>
    <w:p w14:paraId="4DFB1D60" w14:textId="3EFBE26E" w:rsidR="00324BDD" w:rsidRPr="00DF7C87" w:rsidRDefault="00324BDD" w:rsidP="00324BDD">
      <w:pPr>
        <w:pStyle w:val="Heading3"/>
        <w:rPr>
          <w:rFonts w:ascii="Times New Roman" w:hAnsi="Times New Roman" w:cs="Times New Roman"/>
          <w:szCs w:val="24"/>
        </w:rPr>
      </w:pPr>
      <w:bookmarkStart w:id="71" w:name="_Toc100607907"/>
      <w:r>
        <w:rPr>
          <w:rFonts w:ascii="Times New Roman" w:hAnsi="Times New Roman" w:cs="Times New Roman"/>
          <w:szCs w:val="24"/>
        </w:rPr>
        <w:t>Data analysis</w:t>
      </w:r>
      <w:bookmarkEnd w:id="71"/>
    </w:p>
    <w:p w14:paraId="41E6E325" w14:textId="6AFA5CBC"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 xml:space="preserve">We calculated the number of CS sites within each state, county, and watershed (8-digit USGS hydrologic units) as response variables describing survey effort. We </w:t>
      </w:r>
      <w:r w:rsidR="002B1FDA">
        <w:rPr>
          <w:rFonts w:ascii="Times New Roman" w:hAnsi="Times New Roman" w:cs="Times New Roman"/>
        </w:rPr>
        <w:t>log</w:t>
      </w:r>
      <w:r w:rsidR="002B1FDA" w:rsidRPr="00265160">
        <w:rPr>
          <w:rFonts w:ascii="Times New Roman" w:hAnsi="Times New Roman" w:cs="Times New Roman"/>
          <w:vertAlign w:val="subscript"/>
        </w:rPr>
        <w:t>10</w:t>
      </w:r>
      <w:r w:rsidR="002B1FDA">
        <w:rPr>
          <w:rFonts w:ascii="Times New Roman" w:hAnsi="Times New Roman" w:cs="Times New Roman"/>
        </w:rPr>
        <w:t>(</w:t>
      </w:r>
      <w:r w:rsidR="002B1FDA" w:rsidRPr="00265160">
        <w:rPr>
          <w:rFonts w:ascii="Times New Roman" w:hAnsi="Times New Roman" w:cs="Times New Roman"/>
          <w:i/>
          <w:iCs/>
        </w:rPr>
        <w:t>x</w:t>
      </w:r>
      <w:r w:rsidR="002B1FDA">
        <w:rPr>
          <w:rFonts w:ascii="Times New Roman" w:hAnsi="Times New Roman" w:cs="Times New Roman"/>
        </w:rPr>
        <w:t>) transformed population density, and applied natural log(</w:t>
      </w:r>
      <w:r w:rsidR="002B1FDA" w:rsidRPr="00265160">
        <w:rPr>
          <w:rFonts w:ascii="Times New Roman" w:hAnsi="Times New Roman" w:cs="Times New Roman"/>
          <w:i/>
          <w:iCs/>
        </w:rPr>
        <w:t>x</w:t>
      </w:r>
      <w:r w:rsidR="002B1FDA">
        <w:rPr>
          <w:rFonts w:ascii="Times New Roman" w:hAnsi="Times New Roman" w:cs="Times New Roman"/>
        </w:rPr>
        <w:t xml:space="preserve"> + 1) transformations to education facility density, open water, forest, and wetland land-cover, agricultural</w:t>
      </w:r>
      <w:r w:rsidR="009A1C8B">
        <w:rPr>
          <w:rFonts w:ascii="Times New Roman" w:hAnsi="Times New Roman" w:cs="Times New Roman"/>
        </w:rPr>
        <w:t xml:space="preserve"> and developed</w:t>
      </w:r>
      <w:r w:rsidR="002B1FDA">
        <w:rPr>
          <w:rFonts w:ascii="Times New Roman" w:hAnsi="Times New Roman" w:cs="Times New Roman"/>
        </w:rPr>
        <w:t xml:space="preserve"> land-use, </w:t>
      </w:r>
      <w:r w:rsidRPr="00324BDD">
        <w:rPr>
          <w:rFonts w:ascii="Times New Roman" w:hAnsi="Times New Roman" w:cs="Times New Roman"/>
        </w:rPr>
        <w:t xml:space="preserve">and </w:t>
      </w:r>
      <w:r w:rsidR="002B1FDA">
        <w:rPr>
          <w:rFonts w:ascii="Times New Roman" w:hAnsi="Times New Roman" w:cs="Times New Roman"/>
        </w:rPr>
        <w:t xml:space="preserve">recreational housing density, and </w:t>
      </w:r>
      <w:r w:rsidRPr="00324BDD">
        <w:rPr>
          <w:rFonts w:ascii="Times New Roman" w:hAnsi="Times New Roman" w:cs="Times New Roman"/>
        </w:rPr>
        <w:t>standardized (mean = 0, standard deviation = 1) all variables. Prior to analysis, we tested for multicollinearity (|</w:t>
      </w:r>
      <w:r w:rsidRPr="00C04C1F">
        <w:rPr>
          <w:rFonts w:ascii="Times New Roman" w:hAnsi="Times New Roman" w:cs="Times New Roman"/>
          <w:i/>
          <w:iCs/>
        </w:rPr>
        <w:t>r</w:t>
      </w:r>
      <w:r w:rsidRPr="00324BDD">
        <w:rPr>
          <w:rFonts w:ascii="Times New Roman" w:hAnsi="Times New Roman" w:cs="Times New Roman"/>
        </w:rPr>
        <w:t>| rounded to two decimal places ≥ 0.70; Dormann et al. 2013) and removed developed land-use from all models (correlated with population density and/or college density), and income (correlated with educational attainment) from the state model</w:t>
      </w:r>
      <w:r w:rsidR="00B120BA">
        <w:rPr>
          <w:rFonts w:ascii="Times New Roman" w:hAnsi="Times New Roman" w:cs="Times New Roman"/>
        </w:rPr>
        <w:t>.</w:t>
      </w:r>
      <w:r w:rsidRPr="00324BDD">
        <w:rPr>
          <w:rFonts w:ascii="Times New Roman" w:hAnsi="Times New Roman" w:cs="Times New Roman"/>
        </w:rPr>
        <w:t xml:space="preserve"> </w:t>
      </w:r>
    </w:p>
    <w:p w14:paraId="51A4ECC4" w14:textId="77777777"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We used generalized linear models (GLMs) and generalized linear mixed-effects models (GLMMs) under a multimodel inference framework to identify drivers of CS survey effort across spatial scales using the R package ‘glmmTMB’ (Brooks et al. 2017). At each scale, we constructed global (all predictor variables included) GLMs (state) or GLMMs (county and watershed) with different model structures and used Akaike’s Information Criterion with small-sample correction (AICc) to identify the optimal model structure. At the state scale, we compared GLMs built with Poisson, negative binomial with linear parameterization, and negative binomial with quadratic parametrization error distributions. At the county and watershed scales, we compared GLMMs with the same three distributions and the zero-inflated variations of each distribution (</w:t>
      </w:r>
      <w:r w:rsidRPr="00913B2D">
        <w:rPr>
          <w:rFonts w:ascii="Times New Roman" w:hAnsi="Times New Roman" w:cs="Times New Roman"/>
          <w:i/>
          <w:iCs/>
        </w:rPr>
        <w:t>n</w:t>
      </w:r>
      <w:r w:rsidRPr="00324BDD">
        <w:rPr>
          <w:rFonts w:ascii="Times New Roman" w:hAnsi="Times New Roman" w:cs="Times New Roman"/>
        </w:rPr>
        <w:t xml:space="preserve"> = 6 candidate models) and incorporated random intercepts based on state and region (2-digit hydrologic unit), respectively. In all GLMs and GLMMs, we used the log link functions and incorporated the natural log–transformed area of each spatial unit as an offset term to model the density of survey sites. </w:t>
      </w:r>
    </w:p>
    <w:p w14:paraId="3F1BEB60" w14:textId="59893CD7" w:rsidR="00324BDD" w:rsidRPr="00324BDD" w:rsidRDefault="00324BDD" w:rsidP="00903483">
      <w:pPr>
        <w:ind w:firstLine="720"/>
        <w:jc w:val="both"/>
        <w:rPr>
          <w:rFonts w:ascii="Times New Roman" w:hAnsi="Times New Roman" w:cs="Times New Roman"/>
        </w:rPr>
      </w:pPr>
      <w:r w:rsidRPr="00324BDD">
        <w:rPr>
          <w:rFonts w:ascii="Times New Roman" w:hAnsi="Times New Roman" w:cs="Times New Roman"/>
        </w:rPr>
        <w:t>Following identification of the optimal model structure, we used all-subsets model selection to identify the top AICc-ranked model for statistical inference (Burnham and Anderson 2002) with the ‘MuMIn’ package (Barton 2020). We used the R package ‘DHARMa’ (Hartig 2021) to perform model diagnostics of top models by (i) graphically inspecting a Q-Q plot of quantile residuals for substantial deviation from the expected uniform distribution, (ii) graphically inspecting a scatterplot of quantile residuals against predicted values to examine if the residuals are uniformly distributed across the range of predicted values, (iii) a simulation-based test for over/underdispersion via the function ‘testDispersion()’, and (iv) a simulation-based test for zero-inflation via the function ‘testZeroInflation()’. Whereas quantile residuals of the state-scale model were consistent with the expected uniform distributions (</w:t>
      </w:r>
      <w:r w:rsidRPr="0083630E">
        <w:rPr>
          <w:rFonts w:ascii="Times New Roman" w:hAnsi="Times New Roman" w:cs="Times New Roman"/>
        </w:rPr>
        <w:t xml:space="preserve">Fig. </w:t>
      </w:r>
      <w:r w:rsidR="0083630E" w:rsidRPr="0083630E">
        <w:rPr>
          <w:rFonts w:ascii="Times New Roman" w:hAnsi="Times New Roman" w:cs="Times New Roman"/>
        </w:rPr>
        <w:t>20</w:t>
      </w:r>
      <w:r w:rsidRPr="0083630E">
        <w:rPr>
          <w:rFonts w:ascii="Times New Roman" w:hAnsi="Times New Roman" w:cs="Times New Roman"/>
        </w:rPr>
        <w:t>a</w:t>
      </w:r>
      <w:r w:rsidRPr="00324BDD">
        <w:rPr>
          <w:rFonts w:ascii="Times New Roman" w:hAnsi="Times New Roman" w:cs="Times New Roman"/>
        </w:rPr>
        <w:t xml:space="preserve">), quantile residuals of the county- and watershed-scale models deviated slightly from the expected normal distribution (slight deviation of points from red line in left panels of </w:t>
      </w:r>
      <w:r w:rsidRPr="0083630E">
        <w:rPr>
          <w:rFonts w:ascii="Times New Roman" w:hAnsi="Times New Roman" w:cs="Times New Roman"/>
        </w:rPr>
        <w:t xml:space="preserve">Fig. </w:t>
      </w:r>
      <w:r w:rsidR="0083630E" w:rsidRPr="0083630E">
        <w:rPr>
          <w:rFonts w:ascii="Times New Roman" w:hAnsi="Times New Roman" w:cs="Times New Roman"/>
        </w:rPr>
        <w:t>20</w:t>
      </w:r>
      <w:r w:rsidRPr="0083630E">
        <w:rPr>
          <w:rFonts w:ascii="Times New Roman" w:hAnsi="Times New Roman" w:cs="Times New Roman"/>
        </w:rPr>
        <w:t>b,c</w:t>
      </w:r>
      <w:r w:rsidRPr="00324BDD">
        <w:rPr>
          <w:rFonts w:ascii="Times New Roman" w:hAnsi="Times New Roman" w:cs="Times New Roman"/>
        </w:rPr>
        <w:t xml:space="preserve">) and there appears to be some variation in the distribution of residuals along the range of predicted variables (i.e., the quantile residuals become slightly higher than expected as predicted values increase; right </w:t>
      </w:r>
      <w:r w:rsidRPr="00324BDD">
        <w:rPr>
          <w:rFonts w:ascii="Times New Roman" w:hAnsi="Times New Roman" w:cs="Times New Roman"/>
        </w:rPr>
        <w:lastRenderedPageBreak/>
        <w:t xml:space="preserve">panels in Fig. </w:t>
      </w:r>
      <w:r w:rsidR="007C6E2D">
        <w:rPr>
          <w:rFonts w:ascii="Times New Roman" w:hAnsi="Times New Roman" w:cs="Times New Roman"/>
        </w:rPr>
        <w:t>20</w:t>
      </w:r>
      <w:r w:rsidRPr="00324BDD">
        <w:rPr>
          <w:rFonts w:ascii="Times New Roman" w:hAnsi="Times New Roman" w:cs="Times New Roman"/>
        </w:rPr>
        <w:t>b,c). In general, we contend that these deviations did not appear serious enough (e.g., S-shaped or highly curved Q-Q plot; large deviations from the theoretical 0.25, 0.5, 0.75 quantile lines; clustering of quantile residuals around 0 and 1 etc.) to affect our conclusions substantively. Further, all three top models did not suffer from over/underdispersion and zero-inflation (</w:t>
      </w:r>
      <w:r w:rsidRPr="008F4AA9">
        <w:rPr>
          <w:rFonts w:ascii="Times New Roman" w:hAnsi="Times New Roman" w:cs="Times New Roman"/>
          <w:i/>
          <w:iCs/>
        </w:rPr>
        <w:t>p</w:t>
      </w:r>
      <w:r w:rsidRPr="00324BDD">
        <w:rPr>
          <w:rFonts w:ascii="Times New Roman" w:hAnsi="Times New Roman" w:cs="Times New Roman"/>
        </w:rPr>
        <w:t xml:space="preserve"> = 0.136–1.0 for all tests). Overall, our model diagnostics indicate that our models fitted our data reasonably well.</w:t>
      </w:r>
    </w:p>
    <w:p w14:paraId="3510C8B3" w14:textId="2D21A95A" w:rsidR="00324BDD" w:rsidRDefault="00324BDD" w:rsidP="00903483">
      <w:pPr>
        <w:jc w:val="both"/>
        <w:rPr>
          <w:rFonts w:ascii="Times New Roman" w:hAnsi="Times New Roman" w:cs="Times New Roman"/>
        </w:rPr>
      </w:pPr>
      <w:r w:rsidRPr="00324BDD">
        <w:rPr>
          <w:rFonts w:ascii="Times New Roman" w:hAnsi="Times New Roman" w:cs="Times New Roman"/>
        </w:rPr>
        <w:tab/>
        <w:t xml:space="preserve">We used standardized </w:t>
      </w:r>
      <w:r w:rsidRPr="00324BDD">
        <w:rPr>
          <w:rFonts w:ascii="Cambria Math" w:hAnsi="Cambria Math" w:cs="Cambria Math"/>
        </w:rPr>
        <w:t>𝛽</w:t>
      </w:r>
      <w:r w:rsidRPr="00324BDD">
        <w:rPr>
          <w:rFonts w:ascii="Times New Roman" w:hAnsi="Times New Roman" w:cs="Times New Roman"/>
        </w:rPr>
        <w:t>-coefficients to quantify the effect sizes of predictors, |</w:t>
      </w:r>
      <w:r w:rsidRPr="0027258D">
        <w:rPr>
          <w:rFonts w:ascii="Times New Roman" w:hAnsi="Times New Roman" w:cs="Times New Roman"/>
          <w:i/>
          <w:iCs/>
        </w:rPr>
        <w:t>z</w:t>
      </w:r>
      <w:r w:rsidRPr="00324BDD">
        <w:rPr>
          <w:rFonts w:ascii="Times New Roman" w:hAnsi="Times New Roman" w:cs="Times New Roman"/>
        </w:rPr>
        <w:t>| statistics to quantify variable importance (Cade 2015), and R</w:t>
      </w:r>
      <w:r w:rsidRPr="0027258D">
        <w:rPr>
          <w:rFonts w:ascii="Times New Roman" w:hAnsi="Times New Roman" w:cs="Times New Roman"/>
          <w:vertAlign w:val="superscript"/>
        </w:rPr>
        <w:t>2</w:t>
      </w:r>
      <w:r w:rsidRPr="00324BDD">
        <w:rPr>
          <w:rFonts w:ascii="Times New Roman" w:hAnsi="Times New Roman" w:cs="Times New Roman"/>
        </w:rPr>
        <w:t>adjusted and R</w:t>
      </w:r>
      <w:r w:rsidRPr="0027258D">
        <w:rPr>
          <w:rFonts w:ascii="Times New Roman" w:hAnsi="Times New Roman" w:cs="Times New Roman"/>
          <w:vertAlign w:val="superscript"/>
        </w:rPr>
        <w:t>2</w:t>
      </w:r>
      <w:r w:rsidRPr="00324BDD">
        <w:rPr>
          <w:rFonts w:ascii="Times New Roman" w:hAnsi="Times New Roman" w:cs="Times New Roman"/>
        </w:rPr>
        <w:t>marginal to quantify the variation in CS survey effort explained by fixed-effect predictors in the top-ranked GLM and GLMMs, respectively (Nakagawa and Schielzeth 2013).</w:t>
      </w:r>
    </w:p>
    <w:p w14:paraId="0A52C484" w14:textId="6F4172E6" w:rsidR="000E68AA" w:rsidRPr="00EF5AE7" w:rsidRDefault="000E68AA" w:rsidP="00EF5AE7">
      <w:pPr>
        <w:pStyle w:val="Heading2"/>
        <w:rPr>
          <w:rFonts w:ascii="Times New Roman" w:hAnsi="Times New Roman" w:cs="Times New Roman"/>
          <w:sz w:val="24"/>
          <w:szCs w:val="24"/>
        </w:rPr>
      </w:pPr>
      <w:bookmarkStart w:id="72" w:name="_Toc100607908"/>
      <w:r>
        <w:rPr>
          <w:rFonts w:ascii="Times New Roman" w:hAnsi="Times New Roman" w:cs="Times New Roman"/>
          <w:sz w:val="24"/>
          <w:szCs w:val="24"/>
        </w:rPr>
        <w:t>Results</w:t>
      </w:r>
      <w:bookmarkEnd w:id="72"/>
    </w:p>
    <w:p w14:paraId="14670AE6" w14:textId="67135289" w:rsidR="000E68AA" w:rsidRPr="000E68AA" w:rsidRDefault="000E68AA" w:rsidP="00903483">
      <w:pPr>
        <w:ind w:firstLine="720"/>
        <w:jc w:val="both"/>
        <w:rPr>
          <w:rFonts w:ascii="Times New Roman" w:hAnsi="Times New Roman" w:cs="Times New Roman"/>
        </w:rPr>
      </w:pPr>
      <w:r w:rsidRPr="000E68AA">
        <w:rPr>
          <w:rFonts w:ascii="Times New Roman" w:hAnsi="Times New Roman" w:cs="Times New Roman"/>
        </w:rPr>
        <w:t>We identified 205 freshwater CS programs, 150 of which provided coordinates. Sites (</w:t>
      </w:r>
      <w:r w:rsidRPr="00913B2D">
        <w:rPr>
          <w:rFonts w:ascii="Times New Roman" w:hAnsi="Times New Roman" w:cs="Times New Roman"/>
          <w:i/>
          <w:iCs/>
        </w:rPr>
        <w:t>n</w:t>
      </w:r>
      <w:r w:rsidRPr="000E68AA">
        <w:rPr>
          <w:rFonts w:ascii="Times New Roman" w:hAnsi="Times New Roman" w:cs="Times New Roman"/>
        </w:rPr>
        <w:t xml:space="preserve"> = 181,622) covered 48 states and the District of Columbia, 2447 counties, and 1660 watersheds (</w:t>
      </w:r>
      <w:r w:rsidR="00D72AAF">
        <w:rPr>
          <w:rFonts w:ascii="Times New Roman" w:hAnsi="Times New Roman" w:cs="Times New Roman"/>
        </w:rPr>
        <w:t>Fig. 14</w:t>
      </w:r>
      <w:r w:rsidRPr="000E68AA">
        <w:rPr>
          <w:rFonts w:ascii="Times New Roman" w:hAnsi="Times New Roman" w:cs="Times New Roman"/>
        </w:rPr>
        <w:t>). CS survey effort is spatially heterogeneous at all three scales of analysis (Fig. 1</w:t>
      </w:r>
      <w:r w:rsidR="001F3EBB">
        <w:rPr>
          <w:rFonts w:ascii="Times New Roman" w:hAnsi="Times New Roman" w:cs="Times New Roman"/>
        </w:rPr>
        <w:t>5</w:t>
      </w:r>
      <w:r w:rsidRPr="000E68AA">
        <w:rPr>
          <w:rFonts w:ascii="Times New Roman" w:hAnsi="Times New Roman" w:cs="Times New Roman"/>
        </w:rPr>
        <w:t>). Generally, coastal regions (Atlantic, Pacific, and Gulf Coasts), the Great Lakes region, and Texas were well-sampled compared to inland regions (Fig. 1</w:t>
      </w:r>
      <w:r w:rsidR="001F3EBB">
        <w:rPr>
          <w:rFonts w:ascii="Times New Roman" w:hAnsi="Times New Roman" w:cs="Times New Roman"/>
        </w:rPr>
        <w:t>5</w:t>
      </w:r>
      <w:r w:rsidRPr="000E68AA">
        <w:rPr>
          <w:rFonts w:ascii="Times New Roman" w:hAnsi="Times New Roman" w:cs="Times New Roman"/>
        </w:rPr>
        <w:t>). We provide an interactive web application to explore our database at https://tiny.utk.edu/fwCS.</w:t>
      </w:r>
    </w:p>
    <w:p w14:paraId="5019DA24" w14:textId="3B3D61DD" w:rsidR="000E68AA" w:rsidRPr="000E68AA" w:rsidRDefault="000E68AA" w:rsidP="00903483">
      <w:pPr>
        <w:ind w:firstLine="720"/>
        <w:jc w:val="both"/>
        <w:rPr>
          <w:rFonts w:ascii="Times New Roman" w:hAnsi="Times New Roman" w:cs="Times New Roman"/>
        </w:rPr>
      </w:pPr>
      <w:r w:rsidRPr="000E68AA">
        <w:rPr>
          <w:rFonts w:ascii="Times New Roman" w:hAnsi="Times New Roman" w:cs="Times New Roman"/>
        </w:rPr>
        <w:t xml:space="preserve">CS programs more frequently targeted streams and rivers (77.6% of programs) compared to lakes and reservoirs (43.9%) (Fig. </w:t>
      </w:r>
      <w:r w:rsidR="001F3EBB">
        <w:rPr>
          <w:rFonts w:ascii="Times New Roman" w:hAnsi="Times New Roman" w:cs="Times New Roman"/>
        </w:rPr>
        <w:t>16</w:t>
      </w:r>
      <w:r w:rsidRPr="000E68AA">
        <w:rPr>
          <w:rFonts w:ascii="Times New Roman" w:hAnsi="Times New Roman" w:cs="Times New Roman"/>
        </w:rPr>
        <w:t xml:space="preserve">a), and more frequently sampled water quality (51.2%) and invertebrates (46.3%) relative to other variables (Fig. </w:t>
      </w:r>
      <w:r w:rsidR="001F3EBB">
        <w:rPr>
          <w:rFonts w:ascii="Times New Roman" w:hAnsi="Times New Roman" w:cs="Times New Roman"/>
        </w:rPr>
        <w:t>16</w:t>
      </w:r>
      <w:r w:rsidRPr="000E68AA">
        <w:rPr>
          <w:rFonts w:ascii="Times New Roman" w:hAnsi="Times New Roman" w:cs="Times New Roman"/>
        </w:rPr>
        <w:t xml:space="preserve">a). Riverine habitats showed longer program durations (median = 10 years, IQR = 23) compared to lakes (median = 5, IQR = 26) (Fig. </w:t>
      </w:r>
      <w:r w:rsidR="001F3EBB">
        <w:rPr>
          <w:rFonts w:ascii="Times New Roman" w:hAnsi="Times New Roman" w:cs="Times New Roman"/>
        </w:rPr>
        <w:t>16</w:t>
      </w:r>
      <w:r w:rsidRPr="000E68AA">
        <w:rPr>
          <w:rFonts w:ascii="Times New Roman" w:hAnsi="Times New Roman" w:cs="Times New Roman"/>
        </w:rPr>
        <w:t xml:space="preserve">b). Among variables, water quality (median = 25 years, IQR = 20) and invertebrate (median = 13.5, IQR = 23.5) programs showed the longest durations (Fig. </w:t>
      </w:r>
      <w:r w:rsidR="001F3EBB">
        <w:rPr>
          <w:rFonts w:ascii="Times New Roman" w:hAnsi="Times New Roman" w:cs="Times New Roman"/>
        </w:rPr>
        <w:t>16</w:t>
      </w:r>
      <w:r w:rsidRPr="000E68AA">
        <w:rPr>
          <w:rFonts w:ascii="Times New Roman" w:hAnsi="Times New Roman" w:cs="Times New Roman"/>
        </w:rPr>
        <w:t>c).</w:t>
      </w:r>
    </w:p>
    <w:p w14:paraId="0AD286F3" w14:textId="2FA87181" w:rsidR="000E68AA" w:rsidRPr="000E68AA" w:rsidRDefault="000E68AA" w:rsidP="00903483">
      <w:pPr>
        <w:ind w:firstLine="720"/>
        <w:jc w:val="both"/>
        <w:rPr>
          <w:rFonts w:ascii="Times New Roman" w:hAnsi="Times New Roman" w:cs="Times New Roman"/>
        </w:rPr>
      </w:pPr>
      <w:r w:rsidRPr="000E68AA">
        <w:rPr>
          <w:rFonts w:ascii="Times New Roman" w:hAnsi="Times New Roman" w:cs="Times New Roman"/>
        </w:rPr>
        <w:t>CS programs commonly reported watersheds (39.0% of programs) and states (38.0%) as spatial extents (</w:t>
      </w:r>
      <w:r w:rsidR="004E36A4">
        <w:rPr>
          <w:rFonts w:ascii="Times New Roman" w:hAnsi="Times New Roman" w:cs="Times New Roman"/>
        </w:rPr>
        <w:t>Fig. 17</w:t>
      </w:r>
      <w:r w:rsidRPr="000E68AA">
        <w:rPr>
          <w:rFonts w:ascii="Times New Roman" w:hAnsi="Times New Roman" w:cs="Times New Roman"/>
        </w:rPr>
        <w:t xml:space="preserve">). NGOs coordinated 40.5% of programs of aquatic CS programs, followed by independent projects (26.8%), government (22.9%), and university-affiliated programs (9.8%; </w:t>
      </w:r>
      <w:r w:rsidR="004E36A4">
        <w:rPr>
          <w:rFonts w:ascii="Times New Roman" w:hAnsi="Times New Roman" w:cs="Times New Roman"/>
        </w:rPr>
        <w:t>Fig. 17</w:t>
      </w:r>
      <w:r w:rsidRPr="000E68AA">
        <w:rPr>
          <w:rFonts w:ascii="Times New Roman" w:hAnsi="Times New Roman" w:cs="Times New Roman"/>
        </w:rPr>
        <w:t>). The spatial extent of programs varied among organizing entities. Most NGO programs (73.5%) organized at the watershed scale, whereas academic, government, and independent programs primarily sampled at the state extent (</w:t>
      </w:r>
      <w:r w:rsidR="004E36A4">
        <w:rPr>
          <w:rFonts w:ascii="Times New Roman" w:hAnsi="Times New Roman" w:cs="Times New Roman"/>
        </w:rPr>
        <w:t>Fig. 17</w:t>
      </w:r>
      <w:r w:rsidRPr="000E68AA">
        <w:rPr>
          <w:rFonts w:ascii="Times New Roman" w:hAnsi="Times New Roman" w:cs="Times New Roman"/>
        </w:rPr>
        <w:t>).</w:t>
      </w:r>
    </w:p>
    <w:p w14:paraId="498FD305" w14:textId="2E5D28BD" w:rsidR="000E68AA" w:rsidRPr="000E68AA" w:rsidRDefault="000E68AA" w:rsidP="001F3EBB">
      <w:pPr>
        <w:ind w:firstLine="720"/>
        <w:jc w:val="both"/>
        <w:rPr>
          <w:rFonts w:ascii="Times New Roman" w:hAnsi="Times New Roman" w:cs="Times New Roman"/>
        </w:rPr>
      </w:pPr>
      <w:r w:rsidRPr="000E68AA">
        <w:rPr>
          <w:rFonts w:ascii="Times New Roman" w:hAnsi="Times New Roman" w:cs="Times New Roman"/>
        </w:rPr>
        <w:t>Among states, CS survey effort increased with increasing population density (</w:t>
      </w:r>
      <w:r w:rsidRPr="000E68AA">
        <w:rPr>
          <w:rFonts w:ascii="Cambria Math" w:hAnsi="Cambria Math" w:cs="Cambria Math"/>
        </w:rPr>
        <w:t>𝛽</w:t>
      </w:r>
      <w:r w:rsidRPr="000E68AA">
        <w:rPr>
          <w:rFonts w:ascii="Times New Roman" w:hAnsi="Times New Roman" w:cs="Times New Roman"/>
        </w:rPr>
        <w:t xml:space="preserve"> = 1.25, SE = 0.20, |</w:t>
      </w:r>
      <w:r w:rsidRPr="004E36A4">
        <w:rPr>
          <w:rFonts w:ascii="Times New Roman" w:hAnsi="Times New Roman" w:cs="Times New Roman"/>
          <w:i/>
          <w:iCs/>
        </w:rPr>
        <w:t>z</w:t>
      </w:r>
      <w:r w:rsidRPr="000E68AA">
        <w:rPr>
          <w:rFonts w:ascii="Times New Roman" w:hAnsi="Times New Roman" w:cs="Times New Roman"/>
        </w:rPr>
        <w:t>| = 6.18; Fig. 1</w:t>
      </w:r>
      <w:r w:rsidR="004E36A4">
        <w:rPr>
          <w:rFonts w:ascii="Times New Roman" w:hAnsi="Times New Roman" w:cs="Times New Roman"/>
        </w:rPr>
        <w:t>8</w:t>
      </w:r>
      <w:r w:rsidRPr="000E68AA">
        <w:rPr>
          <w:rFonts w:ascii="Times New Roman" w:hAnsi="Times New Roman" w:cs="Times New Roman"/>
        </w:rPr>
        <w:t>a) and forest land-cover (</w:t>
      </w:r>
      <w:r w:rsidRPr="000E68AA">
        <w:rPr>
          <w:rFonts w:ascii="Cambria Math" w:hAnsi="Cambria Math" w:cs="Cambria Math"/>
        </w:rPr>
        <w:t>𝛽</w:t>
      </w:r>
      <w:r w:rsidRPr="000E68AA">
        <w:rPr>
          <w:rFonts w:ascii="Times New Roman" w:hAnsi="Times New Roman" w:cs="Times New Roman"/>
        </w:rPr>
        <w:t xml:space="preserve"> = 0.47, SE = 0.17, |</w:t>
      </w:r>
      <w:r w:rsidRPr="004E36A4">
        <w:rPr>
          <w:rFonts w:ascii="Times New Roman" w:hAnsi="Times New Roman" w:cs="Times New Roman"/>
          <w:i/>
          <w:iCs/>
        </w:rPr>
        <w:t>z</w:t>
      </w:r>
      <w:r w:rsidRPr="000E68AA">
        <w:rPr>
          <w:rFonts w:ascii="Times New Roman" w:hAnsi="Times New Roman" w:cs="Times New Roman"/>
        </w:rPr>
        <w:t xml:space="preserve">| = 2.77; Fig. </w:t>
      </w:r>
      <w:r w:rsidR="004E36A4">
        <w:rPr>
          <w:rFonts w:ascii="Times New Roman" w:hAnsi="Times New Roman" w:cs="Times New Roman"/>
        </w:rPr>
        <w:t>19</w:t>
      </w:r>
      <w:r w:rsidRPr="000E68AA">
        <w:rPr>
          <w:rFonts w:ascii="Times New Roman" w:hAnsi="Times New Roman" w:cs="Times New Roman"/>
        </w:rPr>
        <w:t>a; R</w:t>
      </w:r>
      <w:r w:rsidRPr="004E36A4">
        <w:rPr>
          <w:rFonts w:ascii="Times New Roman" w:hAnsi="Times New Roman" w:cs="Times New Roman"/>
          <w:vertAlign w:val="superscript"/>
        </w:rPr>
        <w:t>2</w:t>
      </w:r>
      <w:r w:rsidRPr="000E68AA">
        <w:rPr>
          <w:rFonts w:ascii="Times New Roman" w:hAnsi="Times New Roman" w:cs="Times New Roman"/>
        </w:rPr>
        <w:t xml:space="preserve">adjusted = 0.54). </w:t>
      </w:r>
    </w:p>
    <w:p w14:paraId="2D9F503E" w14:textId="4C6A585A" w:rsidR="000E68AA" w:rsidRPr="000E68AA" w:rsidRDefault="000E68AA" w:rsidP="00903483">
      <w:pPr>
        <w:jc w:val="both"/>
        <w:rPr>
          <w:rFonts w:ascii="Times New Roman" w:hAnsi="Times New Roman" w:cs="Times New Roman"/>
        </w:rPr>
      </w:pPr>
      <w:r w:rsidRPr="000E68AA">
        <w:rPr>
          <w:rFonts w:ascii="Times New Roman" w:hAnsi="Times New Roman" w:cs="Times New Roman"/>
        </w:rPr>
        <w:tab/>
        <w:t>Among counties, CS survey effort increased with increasing population density (</w:t>
      </w:r>
      <w:r w:rsidRPr="000E68AA">
        <w:rPr>
          <w:rFonts w:ascii="Cambria Math" w:hAnsi="Cambria Math" w:cs="Cambria Math"/>
        </w:rPr>
        <w:t>𝛽</w:t>
      </w:r>
      <w:r w:rsidRPr="000E68AA">
        <w:rPr>
          <w:rFonts w:ascii="Times New Roman" w:hAnsi="Times New Roman" w:cs="Times New Roman"/>
        </w:rPr>
        <w:t xml:space="preserve"> = 1.09, SE = 0.04, |</w:t>
      </w:r>
      <w:r w:rsidRPr="00A24B57">
        <w:rPr>
          <w:rFonts w:ascii="Times New Roman" w:hAnsi="Times New Roman" w:cs="Times New Roman"/>
          <w:i/>
          <w:iCs/>
        </w:rPr>
        <w:t>z</w:t>
      </w:r>
      <w:r w:rsidRPr="000E68AA">
        <w:rPr>
          <w:rFonts w:ascii="Times New Roman" w:hAnsi="Times New Roman" w:cs="Times New Roman"/>
        </w:rPr>
        <w:t>| = 28.79; Fig. 1</w:t>
      </w:r>
      <w:r w:rsidR="00A24B57">
        <w:rPr>
          <w:rFonts w:ascii="Times New Roman" w:hAnsi="Times New Roman" w:cs="Times New Roman"/>
        </w:rPr>
        <w:t>8</w:t>
      </w:r>
      <w:r w:rsidRPr="000E68AA">
        <w:rPr>
          <w:rFonts w:ascii="Times New Roman" w:hAnsi="Times New Roman" w:cs="Times New Roman"/>
        </w:rPr>
        <w:t>b), educational attainment (</w:t>
      </w:r>
      <w:r w:rsidRPr="000E68AA">
        <w:rPr>
          <w:rFonts w:ascii="Cambria Math" w:hAnsi="Cambria Math" w:cs="Cambria Math"/>
        </w:rPr>
        <w:t>𝛽</w:t>
      </w:r>
      <w:r w:rsidRPr="000E68AA">
        <w:rPr>
          <w:rFonts w:ascii="Times New Roman" w:hAnsi="Times New Roman" w:cs="Times New Roman"/>
        </w:rPr>
        <w:t xml:space="preserve"> = 0.33, SE = 0.03, |</w:t>
      </w:r>
      <w:r w:rsidRPr="00A24B57">
        <w:rPr>
          <w:rFonts w:ascii="Times New Roman" w:hAnsi="Times New Roman" w:cs="Times New Roman"/>
          <w:i/>
          <w:iCs/>
        </w:rPr>
        <w:t>z</w:t>
      </w:r>
      <w:r w:rsidRPr="000E68AA">
        <w:rPr>
          <w:rFonts w:ascii="Times New Roman" w:hAnsi="Times New Roman" w:cs="Times New Roman"/>
        </w:rPr>
        <w:t>| = 12.14), college density (</w:t>
      </w:r>
      <w:r w:rsidRPr="000E68AA">
        <w:rPr>
          <w:rFonts w:ascii="Cambria Math" w:hAnsi="Cambria Math" w:cs="Cambria Math"/>
        </w:rPr>
        <w:t>𝛽</w:t>
      </w:r>
      <w:r w:rsidRPr="000E68AA">
        <w:rPr>
          <w:rFonts w:ascii="Times New Roman" w:hAnsi="Times New Roman" w:cs="Times New Roman"/>
        </w:rPr>
        <w:t xml:space="preserve"> = 0.07, SE = 0.03, |</w:t>
      </w:r>
      <w:r w:rsidRPr="00A24B57">
        <w:rPr>
          <w:rFonts w:ascii="Times New Roman" w:hAnsi="Times New Roman" w:cs="Times New Roman"/>
          <w:i/>
          <w:iCs/>
        </w:rPr>
        <w:t>z</w:t>
      </w:r>
      <w:r w:rsidRPr="000E68AA">
        <w:rPr>
          <w:rFonts w:ascii="Times New Roman" w:hAnsi="Times New Roman" w:cs="Times New Roman"/>
        </w:rPr>
        <w:t>| = 2.12), forest (</w:t>
      </w:r>
      <w:r w:rsidRPr="000E68AA">
        <w:rPr>
          <w:rFonts w:ascii="Cambria Math" w:hAnsi="Cambria Math" w:cs="Cambria Math"/>
        </w:rPr>
        <w:t>𝛽</w:t>
      </w:r>
      <w:r w:rsidRPr="000E68AA">
        <w:rPr>
          <w:rFonts w:ascii="Times New Roman" w:hAnsi="Times New Roman" w:cs="Times New Roman"/>
        </w:rPr>
        <w:t xml:space="preserve"> = 0.29, SE = 0.04, |</w:t>
      </w:r>
      <w:r w:rsidRPr="00A24B57">
        <w:rPr>
          <w:rFonts w:ascii="Times New Roman" w:hAnsi="Times New Roman" w:cs="Times New Roman"/>
          <w:i/>
          <w:iCs/>
        </w:rPr>
        <w:t>z</w:t>
      </w:r>
      <w:r w:rsidRPr="000E68AA">
        <w:rPr>
          <w:rFonts w:ascii="Times New Roman" w:hAnsi="Times New Roman" w:cs="Times New Roman"/>
        </w:rPr>
        <w:t>| = 7.20</w:t>
      </w:r>
      <w:r w:rsidR="00A24B57">
        <w:rPr>
          <w:rFonts w:ascii="Times New Roman" w:hAnsi="Times New Roman" w:cs="Times New Roman"/>
        </w:rPr>
        <w:t>; Fig. 19b</w:t>
      </w:r>
      <w:r w:rsidRPr="000E68AA">
        <w:rPr>
          <w:rFonts w:ascii="Times New Roman" w:hAnsi="Times New Roman" w:cs="Times New Roman"/>
        </w:rPr>
        <w:t>) and wetland land-cover (</w:t>
      </w:r>
      <w:r w:rsidRPr="000E68AA">
        <w:rPr>
          <w:rFonts w:ascii="Cambria Math" w:hAnsi="Cambria Math" w:cs="Cambria Math"/>
        </w:rPr>
        <w:t>𝛽</w:t>
      </w:r>
      <w:r w:rsidRPr="000E68AA">
        <w:rPr>
          <w:rFonts w:ascii="Times New Roman" w:hAnsi="Times New Roman" w:cs="Times New Roman"/>
        </w:rPr>
        <w:t xml:space="preserve"> = 0.08, SE = 0.03, |</w:t>
      </w:r>
      <w:r w:rsidRPr="00A24B57">
        <w:rPr>
          <w:rFonts w:ascii="Times New Roman" w:hAnsi="Times New Roman" w:cs="Times New Roman"/>
          <w:i/>
          <w:iCs/>
        </w:rPr>
        <w:t>z</w:t>
      </w:r>
      <w:r w:rsidRPr="000E68AA">
        <w:rPr>
          <w:rFonts w:ascii="Times New Roman" w:hAnsi="Times New Roman" w:cs="Times New Roman"/>
        </w:rPr>
        <w:t>| = 2.61), and seasonal housing (</w:t>
      </w:r>
      <w:r w:rsidRPr="000E68AA">
        <w:rPr>
          <w:rFonts w:ascii="Cambria Math" w:hAnsi="Cambria Math" w:cs="Cambria Math"/>
        </w:rPr>
        <w:t>𝛽</w:t>
      </w:r>
      <w:r w:rsidRPr="000E68AA">
        <w:rPr>
          <w:rFonts w:ascii="Times New Roman" w:hAnsi="Times New Roman" w:cs="Times New Roman"/>
        </w:rPr>
        <w:t xml:space="preserve"> = 0.34, SE = 0.03, |</w:t>
      </w:r>
      <w:r w:rsidRPr="00A24B57">
        <w:rPr>
          <w:rFonts w:ascii="Times New Roman" w:hAnsi="Times New Roman" w:cs="Times New Roman"/>
          <w:i/>
          <w:iCs/>
        </w:rPr>
        <w:t>z</w:t>
      </w:r>
      <w:r w:rsidRPr="000E68AA">
        <w:rPr>
          <w:rFonts w:ascii="Times New Roman" w:hAnsi="Times New Roman" w:cs="Times New Roman"/>
        </w:rPr>
        <w:t>| = 11.26), and decreased with increasing agricultural land-use (</w:t>
      </w:r>
      <w:r w:rsidRPr="000E68AA">
        <w:rPr>
          <w:rFonts w:ascii="Cambria Math" w:hAnsi="Cambria Math" w:cs="Cambria Math"/>
        </w:rPr>
        <w:t>𝛽</w:t>
      </w:r>
      <w:r w:rsidRPr="000E68AA">
        <w:rPr>
          <w:rFonts w:ascii="Times New Roman" w:hAnsi="Times New Roman" w:cs="Times New Roman"/>
        </w:rPr>
        <w:t xml:space="preserve"> = -0.09, SE = 0.04, |</w:t>
      </w:r>
      <w:r w:rsidRPr="00A24B57">
        <w:rPr>
          <w:rFonts w:ascii="Times New Roman" w:hAnsi="Times New Roman" w:cs="Times New Roman"/>
          <w:i/>
          <w:iCs/>
        </w:rPr>
        <w:t>z</w:t>
      </w:r>
      <w:r w:rsidRPr="000E68AA">
        <w:rPr>
          <w:rFonts w:ascii="Times New Roman" w:hAnsi="Times New Roman" w:cs="Times New Roman"/>
        </w:rPr>
        <w:t>| = 2.51; R</w:t>
      </w:r>
      <w:r w:rsidRPr="00A24B57">
        <w:rPr>
          <w:rFonts w:ascii="Times New Roman" w:hAnsi="Times New Roman" w:cs="Times New Roman"/>
          <w:vertAlign w:val="superscript"/>
        </w:rPr>
        <w:t>2</w:t>
      </w:r>
      <w:r w:rsidRPr="000E68AA">
        <w:rPr>
          <w:rFonts w:ascii="Times New Roman" w:hAnsi="Times New Roman" w:cs="Times New Roman"/>
        </w:rPr>
        <w:t xml:space="preserve">marginal = 0.42).  </w:t>
      </w:r>
    </w:p>
    <w:p w14:paraId="2601E875" w14:textId="77777777" w:rsidR="0027258D" w:rsidRDefault="0027258D">
      <w:pPr>
        <w:rPr>
          <w:rFonts w:ascii="Times New Roman" w:hAnsi="Times New Roman" w:cs="Times New Roman"/>
        </w:rPr>
      </w:pPr>
      <w:r>
        <w:rPr>
          <w:rFonts w:ascii="Times New Roman" w:hAnsi="Times New Roman" w:cs="Times New Roman"/>
        </w:rPr>
        <w:br w:type="page"/>
      </w:r>
    </w:p>
    <w:p w14:paraId="1DBDF816" w14:textId="77777777" w:rsidR="00D72AAF" w:rsidRDefault="00D72AAF" w:rsidP="00D72AAF">
      <w:pPr>
        <w:jc w:val="center"/>
        <w:rPr>
          <w:rFonts w:ascii="Times New Roman" w:hAnsi="Times New Roman" w:cs="Times New Roman"/>
        </w:rPr>
      </w:pPr>
      <w:r>
        <w:rPr>
          <w:noProof/>
        </w:rPr>
        <w:lastRenderedPageBreak/>
        <w:drawing>
          <wp:inline distT="0" distB="0" distL="0" distR="0" wp14:anchorId="2CEAB947" wp14:editId="087D17E6">
            <wp:extent cx="3367952" cy="6829425"/>
            <wp:effectExtent l="0" t="0" r="4445"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22" cstate="print">
                      <a:extLst>
                        <a:ext uri="{28A0092B-C50C-407E-A947-70E740481C1C}">
                          <a14:useLocalDpi xmlns:a14="http://schemas.microsoft.com/office/drawing/2010/main" val="0"/>
                        </a:ext>
                      </a:extLst>
                    </a:blip>
                    <a:srcRect b="15071"/>
                    <a:stretch/>
                  </pic:blipFill>
                  <pic:spPr bwMode="auto">
                    <a:xfrm>
                      <a:off x="0" y="0"/>
                      <a:ext cx="3403668" cy="6901848"/>
                    </a:xfrm>
                    <a:prstGeom prst="rect">
                      <a:avLst/>
                    </a:prstGeom>
                    <a:ln>
                      <a:noFill/>
                    </a:ln>
                    <a:extLst>
                      <a:ext uri="{53640926-AAD7-44D8-BBD7-CCE9431645EC}">
                        <a14:shadowObscured xmlns:a14="http://schemas.microsoft.com/office/drawing/2010/main"/>
                      </a:ext>
                    </a:extLst>
                  </pic:spPr>
                </pic:pic>
              </a:graphicData>
            </a:graphic>
          </wp:inline>
        </w:drawing>
      </w:r>
    </w:p>
    <w:p w14:paraId="6EB07D85" w14:textId="77777777" w:rsidR="00D72AAF" w:rsidRDefault="00D72AAF" w:rsidP="00D72AAF">
      <w:pPr>
        <w:jc w:val="both"/>
        <w:rPr>
          <w:rFonts w:ascii="Times New Roman" w:hAnsi="Times New Roman" w:cs="Times New Roman"/>
        </w:rPr>
      </w:pPr>
      <w:bookmarkStart w:id="73" w:name="_Toc100607943"/>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sidRPr="00D72AAF">
        <w:rPr>
          <w:rFonts w:ascii="Times New Roman" w:hAnsi="Times New Roman" w:cs="Times New Roman"/>
          <w:b/>
          <w:bCs/>
          <w:noProof/>
        </w:rPr>
        <w:t>14</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2A75C4">
        <w:rPr>
          <w:rFonts w:ascii="Times New Roman" w:hAnsi="Times New Roman" w:cs="Times New Roman"/>
          <w:b/>
          <w:bCs/>
        </w:rPr>
        <w:t>Presence or absence of freshwater community science surveys within (a) states, (b) counties, and (c) watersheds</w:t>
      </w:r>
      <w:r>
        <w:rPr>
          <w:rFonts w:ascii="Times New Roman" w:hAnsi="Times New Roman" w:cs="Times New Roman"/>
        </w:rPr>
        <w:t>. Colors indicate sampled (dark green) and unsampled states, counties, and watersheds. The number of sampled and unsampled spatial units for each scale are indicated in the boxes below each map.</w:t>
      </w:r>
      <w:bookmarkEnd w:id="73"/>
    </w:p>
    <w:p w14:paraId="501B6883" w14:textId="77777777" w:rsidR="00D72AAF" w:rsidRDefault="00D72AAF">
      <w:pPr>
        <w:rPr>
          <w:rFonts w:ascii="Times New Roman" w:hAnsi="Times New Roman" w:cs="Times New Roman"/>
        </w:rPr>
      </w:pPr>
      <w:r>
        <w:rPr>
          <w:rFonts w:ascii="Times New Roman" w:hAnsi="Times New Roman" w:cs="Times New Roman"/>
        </w:rPr>
        <w:br w:type="page"/>
      </w:r>
    </w:p>
    <w:p w14:paraId="12065C42" w14:textId="77777777" w:rsidR="00D72AAF" w:rsidRDefault="00D72AAF" w:rsidP="001F3EBB">
      <w:pPr>
        <w:jc w:val="center"/>
        <w:rPr>
          <w:rFonts w:ascii="Times New Roman" w:hAnsi="Times New Roman" w:cs="Times New Roman"/>
        </w:rPr>
      </w:pPr>
      <w:r>
        <w:rPr>
          <w:noProof/>
        </w:rPr>
        <w:lastRenderedPageBreak/>
        <w:drawing>
          <wp:inline distT="0" distB="0" distL="0" distR="0" wp14:anchorId="44EEC657" wp14:editId="19F5C4FD">
            <wp:extent cx="4913493" cy="7143750"/>
            <wp:effectExtent l="0" t="0" r="1905"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23" cstate="print">
                      <a:extLst>
                        <a:ext uri="{28A0092B-C50C-407E-A947-70E740481C1C}">
                          <a14:useLocalDpi xmlns:a14="http://schemas.microsoft.com/office/drawing/2010/main" val="0"/>
                        </a:ext>
                      </a:extLst>
                    </a:blip>
                    <a:srcRect b="9351"/>
                    <a:stretch/>
                  </pic:blipFill>
                  <pic:spPr bwMode="auto">
                    <a:xfrm>
                      <a:off x="0" y="0"/>
                      <a:ext cx="4944406" cy="7188695"/>
                    </a:xfrm>
                    <a:prstGeom prst="rect">
                      <a:avLst/>
                    </a:prstGeom>
                    <a:ln>
                      <a:noFill/>
                    </a:ln>
                    <a:extLst>
                      <a:ext uri="{53640926-AAD7-44D8-BBD7-CCE9431645EC}">
                        <a14:shadowObscured xmlns:a14="http://schemas.microsoft.com/office/drawing/2010/main"/>
                      </a:ext>
                    </a:extLst>
                  </pic:spPr>
                </pic:pic>
              </a:graphicData>
            </a:graphic>
          </wp:inline>
        </w:drawing>
      </w:r>
    </w:p>
    <w:p w14:paraId="0EC1ECDE" w14:textId="68C76A1A" w:rsidR="00D72AAF" w:rsidRDefault="00D72AAF" w:rsidP="00D72AAF">
      <w:pPr>
        <w:jc w:val="both"/>
        <w:rPr>
          <w:rFonts w:ascii="Times New Roman" w:hAnsi="Times New Roman" w:cs="Times New Roman"/>
        </w:rPr>
      </w:pPr>
      <w:bookmarkStart w:id="74" w:name="_Toc100607944"/>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15</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001F3EBB" w:rsidRPr="001F3EBB">
        <w:rPr>
          <w:rFonts w:ascii="Times New Roman" w:hAnsi="Times New Roman" w:cs="Times New Roman"/>
          <w:b/>
          <w:bCs/>
        </w:rPr>
        <w:t>Freshwater CS survey effort across spatial scales.</w:t>
      </w:r>
      <w:r w:rsidR="001F3EBB" w:rsidRPr="00892CAC">
        <w:rPr>
          <w:rFonts w:ascii="Times New Roman" w:hAnsi="Times New Roman" w:cs="Times New Roman"/>
        </w:rPr>
        <w:t xml:space="preserve"> Maps indicate quantiles of CS site count in (a) states, (b) counties, and (c) watersheds (grey indicates no sites available).</w:t>
      </w:r>
      <w:bookmarkEnd w:id="74"/>
    </w:p>
    <w:p w14:paraId="4E2C3283" w14:textId="3C439E93" w:rsidR="0027258D" w:rsidRDefault="0027258D" w:rsidP="00D72AAF">
      <w:pPr>
        <w:rPr>
          <w:rFonts w:ascii="Times New Roman" w:hAnsi="Times New Roman" w:cs="Times New Roman"/>
        </w:rPr>
      </w:pPr>
      <w:r>
        <w:rPr>
          <w:rFonts w:ascii="Times New Roman" w:hAnsi="Times New Roman" w:cs="Times New Roman"/>
        </w:rPr>
        <w:br w:type="page"/>
      </w:r>
    </w:p>
    <w:p w14:paraId="1D869BD5" w14:textId="77777777" w:rsidR="001F3EBB" w:rsidRDefault="001F3EBB">
      <w:pPr>
        <w:rPr>
          <w:rFonts w:ascii="Times New Roman" w:hAnsi="Times New Roman" w:cs="Times New Roman"/>
        </w:rPr>
      </w:pPr>
      <w:r>
        <w:rPr>
          <w:noProof/>
        </w:rPr>
        <w:lastRenderedPageBreak/>
        <w:drawing>
          <wp:inline distT="0" distB="0" distL="0" distR="0" wp14:anchorId="3EDD2F4D" wp14:editId="086C4B16">
            <wp:extent cx="5227175" cy="6781800"/>
            <wp:effectExtent l="0" t="0" r="0" b="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961" cy="6820444"/>
                    </a:xfrm>
                    <a:prstGeom prst="rect">
                      <a:avLst/>
                    </a:prstGeom>
                  </pic:spPr>
                </pic:pic>
              </a:graphicData>
            </a:graphic>
          </wp:inline>
        </w:drawing>
      </w:r>
    </w:p>
    <w:p w14:paraId="501503BC" w14:textId="103A1EE0" w:rsidR="001F3EBB" w:rsidRDefault="001F3EBB" w:rsidP="001F3EBB">
      <w:pPr>
        <w:jc w:val="both"/>
        <w:rPr>
          <w:rFonts w:ascii="Times New Roman" w:hAnsi="Times New Roman" w:cs="Times New Roman"/>
        </w:rPr>
      </w:pPr>
      <w:bookmarkStart w:id="75" w:name="_Toc100607945"/>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16</w:t>
      </w:r>
      <w:r w:rsidRPr="00D72AAF">
        <w:rPr>
          <w:rFonts w:ascii="Times New Roman" w:hAnsi="Times New Roman" w:cs="Times New Roman"/>
          <w:b/>
          <w:bCs/>
        </w:rPr>
        <w:fldChar w:fldCharType="end"/>
      </w:r>
      <w:r w:rsidRPr="00D72AAF">
        <w:rPr>
          <w:rFonts w:ascii="Times New Roman" w:hAnsi="Times New Roman" w:cs="Times New Roman"/>
          <w:b/>
          <w:bCs/>
        </w:rPr>
        <w:t>.</w:t>
      </w:r>
      <w:r w:rsidRPr="00892CAC">
        <w:rPr>
          <w:rFonts w:ascii="Times New Roman" w:hAnsi="Times New Roman" w:cs="Times New Roman"/>
        </w:rPr>
        <w:t xml:space="preserve"> </w:t>
      </w:r>
      <w:r w:rsidRPr="006D5236">
        <w:rPr>
          <w:rFonts w:ascii="Times New Roman" w:hAnsi="Times New Roman" w:cs="Times New Roman"/>
          <w:b/>
          <w:bCs/>
        </w:rPr>
        <w:t>Program-level characteristics.</w:t>
      </w:r>
      <w:r w:rsidRPr="001F3EBB">
        <w:rPr>
          <w:rFonts w:ascii="Times New Roman" w:hAnsi="Times New Roman" w:cs="Times New Roman"/>
        </w:rPr>
        <w:t xml:space="preserve"> (a) Proportion of programs sampling habitats (grey panel) and variables (white panel). (b) Program length of lentic (gold) and lotic (blue) CS programs. (c) CS program duration (number of years operating) for sampled variables with crossbars showing median and IQR.</w:t>
      </w:r>
      <w:bookmarkEnd w:id="75"/>
    </w:p>
    <w:p w14:paraId="01843175" w14:textId="77777777" w:rsidR="00A12C9C" w:rsidRDefault="00A12C9C">
      <w:pPr>
        <w:rPr>
          <w:rFonts w:ascii="Times New Roman" w:hAnsi="Times New Roman" w:cs="Times New Roman"/>
        </w:rPr>
      </w:pPr>
      <w:r>
        <w:rPr>
          <w:rFonts w:ascii="Times New Roman" w:hAnsi="Times New Roman" w:cs="Times New Roman"/>
        </w:rPr>
        <w:br w:type="page"/>
      </w:r>
    </w:p>
    <w:p w14:paraId="6D8C5721" w14:textId="77777777" w:rsidR="00A12C9C" w:rsidRDefault="00A12C9C" w:rsidP="004E36A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C2EDC9A" wp14:editId="7D0C369E">
            <wp:extent cx="4893562" cy="6229350"/>
            <wp:effectExtent l="0" t="0" r="2540" b="0"/>
            <wp:docPr id="13" name="Picture 13"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rotWithShape="1">
                    <a:blip r:embed="rId25" cstate="print">
                      <a:extLst>
                        <a:ext uri="{28A0092B-C50C-407E-A947-70E740481C1C}">
                          <a14:useLocalDpi xmlns:a14="http://schemas.microsoft.com/office/drawing/2010/main" val="0"/>
                        </a:ext>
                      </a:extLst>
                    </a:blip>
                    <a:srcRect r="13141"/>
                    <a:stretch/>
                  </pic:blipFill>
                  <pic:spPr bwMode="auto">
                    <a:xfrm>
                      <a:off x="0" y="0"/>
                      <a:ext cx="4896953" cy="6233667"/>
                    </a:xfrm>
                    <a:prstGeom prst="rect">
                      <a:avLst/>
                    </a:prstGeom>
                    <a:ln>
                      <a:noFill/>
                    </a:ln>
                    <a:extLst>
                      <a:ext uri="{53640926-AAD7-44D8-BBD7-CCE9431645EC}">
                        <a14:shadowObscured xmlns:a14="http://schemas.microsoft.com/office/drawing/2010/main"/>
                      </a:ext>
                    </a:extLst>
                  </pic:spPr>
                </pic:pic>
              </a:graphicData>
            </a:graphic>
          </wp:inline>
        </w:drawing>
      </w:r>
    </w:p>
    <w:p w14:paraId="38461D0F" w14:textId="788AB496" w:rsidR="001F3EBB" w:rsidRDefault="00A12C9C" w:rsidP="00A12C9C">
      <w:pPr>
        <w:jc w:val="both"/>
        <w:rPr>
          <w:rFonts w:ascii="Times New Roman" w:hAnsi="Times New Roman" w:cs="Times New Roman"/>
        </w:rPr>
      </w:pPr>
      <w:bookmarkStart w:id="76" w:name="_Toc100607946"/>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17</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A12C9C">
        <w:rPr>
          <w:rFonts w:ascii="Times New Roman" w:hAnsi="Times New Roman" w:cs="Times New Roman"/>
          <w:b/>
          <w:bCs/>
        </w:rPr>
        <w:t xml:space="preserve">Program characteristics related to organizing entities and spatial extents. </w:t>
      </w:r>
      <w:r w:rsidRPr="00A12C9C">
        <w:rPr>
          <w:rFonts w:ascii="Times New Roman" w:hAnsi="Times New Roman" w:cs="Times New Roman"/>
        </w:rPr>
        <w:t>Plots showing the number of programs classified according to (a) spatial extents, and (b) organizing entities, with numbers indicating the number of programs within each group shown by bar colors. (c) Tree map showing the number of programs grouped by organizing entity and spatial extents. Different grey boxes show organizing entities according to labs. Within each grey box, rectangle colors indicate spatial extents with size representing the number of programs within organizing entities with spatial extents (larger size = larger number of programs indicated by the numbers in boxes). (c) Map of survey sites colored according to organizing entity of the program.</w:t>
      </w:r>
      <w:bookmarkEnd w:id="76"/>
      <w:r w:rsidR="001F3EBB">
        <w:rPr>
          <w:rFonts w:ascii="Times New Roman" w:hAnsi="Times New Roman" w:cs="Times New Roman"/>
        </w:rPr>
        <w:br w:type="page"/>
      </w:r>
    </w:p>
    <w:p w14:paraId="76DCF38E" w14:textId="77777777" w:rsidR="009B45A8" w:rsidRDefault="009B45A8" w:rsidP="009B45A8">
      <w:pPr>
        <w:jc w:val="center"/>
        <w:rPr>
          <w:rFonts w:ascii="Times New Roman" w:hAnsi="Times New Roman" w:cs="Times New Roman"/>
        </w:rPr>
      </w:pPr>
      <w:r>
        <w:rPr>
          <w:noProof/>
        </w:rPr>
        <w:lastRenderedPageBreak/>
        <w:drawing>
          <wp:inline distT="0" distB="0" distL="0" distR="0" wp14:anchorId="657D10A9" wp14:editId="032A76DC">
            <wp:extent cx="4562475" cy="6611101"/>
            <wp:effectExtent l="0" t="0" r="0" b="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93737" cy="6656400"/>
                    </a:xfrm>
                    <a:prstGeom prst="rect">
                      <a:avLst/>
                    </a:prstGeom>
                  </pic:spPr>
                </pic:pic>
              </a:graphicData>
            </a:graphic>
          </wp:inline>
        </w:drawing>
      </w:r>
    </w:p>
    <w:p w14:paraId="04EB33EA" w14:textId="42E4072D" w:rsidR="009B45A8" w:rsidRDefault="009B45A8" w:rsidP="009B45A8">
      <w:pPr>
        <w:jc w:val="both"/>
        <w:rPr>
          <w:rFonts w:ascii="Times New Roman" w:hAnsi="Times New Roman" w:cs="Times New Roman"/>
        </w:rPr>
      </w:pPr>
      <w:bookmarkStart w:id="77" w:name="_Toc100607947"/>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18</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A64455">
        <w:rPr>
          <w:rFonts w:ascii="Times New Roman" w:hAnsi="Times New Roman" w:cs="Times New Roman"/>
          <w:b/>
          <w:bCs/>
        </w:rPr>
        <w:t>Maps of population density and CS site count across spatial scales</w:t>
      </w:r>
      <w:r>
        <w:rPr>
          <w:rFonts w:ascii="Times New Roman" w:hAnsi="Times New Roman" w:cs="Times New Roman"/>
        </w:rPr>
        <w:t xml:space="preserve">. Bivariate color palettes correspond to one-third quantiles [low (0.0% – 33.3%), medium (33.3% – 66.7%), and high (66.7% – 100.0%)] for population density and CS site count within (a) states, (b) counties, and (c) watersheds. The nine color classes indicate the intersection of quantiles for population and site count (e.g., high population density and high site count, upper right) as indicated by labels on the state scale legend. </w:t>
      </w:r>
      <w:r w:rsidRPr="008821FA">
        <w:rPr>
          <w:rFonts w:ascii="Times New Roman" w:hAnsi="Times New Roman" w:cs="Times New Roman"/>
        </w:rPr>
        <w:t>Grey-colored counties and watersheds do not have CS sites</w:t>
      </w:r>
      <w:r>
        <w:rPr>
          <w:rFonts w:ascii="Times New Roman" w:hAnsi="Times New Roman" w:cs="Times New Roman"/>
        </w:rPr>
        <w:t>.</w:t>
      </w:r>
      <w:bookmarkEnd w:id="77"/>
      <w:r>
        <w:rPr>
          <w:rFonts w:ascii="Times New Roman" w:hAnsi="Times New Roman" w:cs="Times New Roman"/>
        </w:rPr>
        <w:br w:type="page"/>
      </w:r>
    </w:p>
    <w:p w14:paraId="78A58EC7" w14:textId="77777777" w:rsidR="009B45A8" w:rsidRDefault="009B45A8" w:rsidP="009B45A8">
      <w:pPr>
        <w:jc w:val="center"/>
        <w:rPr>
          <w:rFonts w:ascii="Times New Roman" w:hAnsi="Times New Roman" w:cs="Times New Roman"/>
        </w:rPr>
      </w:pPr>
      <w:r>
        <w:rPr>
          <w:noProof/>
        </w:rPr>
        <w:lastRenderedPageBreak/>
        <w:drawing>
          <wp:inline distT="0" distB="0" distL="0" distR="0" wp14:anchorId="36D58E1D" wp14:editId="57A9111F">
            <wp:extent cx="5058286" cy="6991350"/>
            <wp:effectExtent l="0" t="0" r="9525"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107733" cy="7059694"/>
                    </a:xfrm>
                    <a:prstGeom prst="rect">
                      <a:avLst/>
                    </a:prstGeom>
                  </pic:spPr>
                </pic:pic>
              </a:graphicData>
            </a:graphic>
          </wp:inline>
        </w:drawing>
      </w:r>
    </w:p>
    <w:p w14:paraId="10FDEE24" w14:textId="712C1960" w:rsidR="009B45A8" w:rsidRDefault="009B45A8" w:rsidP="009B45A8">
      <w:pPr>
        <w:jc w:val="both"/>
        <w:rPr>
          <w:rFonts w:ascii="Times New Roman" w:hAnsi="Times New Roman" w:cs="Times New Roman"/>
        </w:rPr>
      </w:pPr>
      <w:bookmarkStart w:id="78" w:name="_Toc100607948"/>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19</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A64455">
        <w:rPr>
          <w:rFonts w:ascii="Times New Roman" w:hAnsi="Times New Roman" w:cs="Times New Roman"/>
          <w:b/>
          <w:bCs/>
        </w:rPr>
        <w:t>Maps of forest land-cover and CS site count across spatial scales.</w:t>
      </w:r>
      <w:r>
        <w:rPr>
          <w:rFonts w:ascii="Times New Roman" w:hAnsi="Times New Roman" w:cs="Times New Roman"/>
        </w:rPr>
        <w:t xml:space="preserve"> Bivariate color palettes correspond to one-third quantiles [low (0.0% – 33.3%), medium (33.3% – 66.7%), and high (66.7% – 100.0%)] for forested land-cover and CS site count within (a) states, (b) counties, and (c) watersheds. Grey-colored counties and watersheds do not have CS sites.</w:t>
      </w:r>
      <w:bookmarkEnd w:id="78"/>
      <w:r>
        <w:rPr>
          <w:rFonts w:ascii="Times New Roman" w:hAnsi="Times New Roman" w:cs="Times New Roman"/>
        </w:rPr>
        <w:br w:type="page"/>
      </w:r>
    </w:p>
    <w:p w14:paraId="3355AD5B" w14:textId="4D5BB0B9" w:rsidR="000E68AA" w:rsidRDefault="000E68AA" w:rsidP="0027258D">
      <w:pPr>
        <w:ind w:firstLine="720"/>
        <w:jc w:val="both"/>
        <w:rPr>
          <w:rFonts w:ascii="Times New Roman" w:hAnsi="Times New Roman" w:cs="Times New Roman"/>
        </w:rPr>
      </w:pPr>
      <w:r w:rsidRPr="000E68AA">
        <w:rPr>
          <w:rFonts w:ascii="Times New Roman" w:hAnsi="Times New Roman" w:cs="Times New Roman"/>
        </w:rPr>
        <w:lastRenderedPageBreak/>
        <w:t>Among watersheds, CS survey effort increased with increasing population density (</w:t>
      </w:r>
      <w:r w:rsidRPr="000E68AA">
        <w:rPr>
          <w:rFonts w:ascii="Cambria Math" w:hAnsi="Cambria Math" w:cs="Cambria Math"/>
        </w:rPr>
        <w:t>𝛽</w:t>
      </w:r>
      <w:r w:rsidRPr="000E68AA">
        <w:rPr>
          <w:rFonts w:ascii="Times New Roman" w:hAnsi="Times New Roman" w:cs="Times New Roman"/>
        </w:rPr>
        <w:t xml:space="preserve"> = 1.09, SE = 0.05, |</w:t>
      </w:r>
      <w:r w:rsidRPr="00A24B57">
        <w:rPr>
          <w:rFonts w:ascii="Times New Roman" w:hAnsi="Times New Roman" w:cs="Times New Roman"/>
          <w:i/>
          <w:iCs/>
        </w:rPr>
        <w:t>z</w:t>
      </w:r>
      <w:r w:rsidRPr="000E68AA">
        <w:rPr>
          <w:rFonts w:ascii="Times New Roman" w:hAnsi="Times New Roman" w:cs="Times New Roman"/>
        </w:rPr>
        <w:t>| = 20.64; Fig. 1</w:t>
      </w:r>
      <w:r w:rsidR="00A24B57">
        <w:rPr>
          <w:rFonts w:ascii="Times New Roman" w:hAnsi="Times New Roman" w:cs="Times New Roman"/>
        </w:rPr>
        <w:t>8</w:t>
      </w:r>
      <w:r w:rsidRPr="000E68AA">
        <w:rPr>
          <w:rFonts w:ascii="Times New Roman" w:hAnsi="Times New Roman" w:cs="Times New Roman"/>
        </w:rPr>
        <w:t>c), educational attainment (</w:t>
      </w:r>
      <w:r w:rsidRPr="000E68AA">
        <w:rPr>
          <w:rFonts w:ascii="Cambria Math" w:hAnsi="Cambria Math" w:cs="Cambria Math"/>
        </w:rPr>
        <w:t>𝛽</w:t>
      </w:r>
      <w:r w:rsidRPr="000E68AA">
        <w:rPr>
          <w:rFonts w:ascii="Times New Roman" w:hAnsi="Times New Roman" w:cs="Times New Roman"/>
        </w:rPr>
        <w:t xml:space="preserve"> = 0.24, SE = 0.04, |</w:t>
      </w:r>
      <w:r w:rsidRPr="00A24B57">
        <w:rPr>
          <w:rFonts w:ascii="Times New Roman" w:hAnsi="Times New Roman" w:cs="Times New Roman"/>
          <w:i/>
          <w:iCs/>
        </w:rPr>
        <w:t>z</w:t>
      </w:r>
      <w:r w:rsidRPr="000E68AA">
        <w:rPr>
          <w:rFonts w:ascii="Times New Roman" w:hAnsi="Times New Roman" w:cs="Times New Roman"/>
        </w:rPr>
        <w:t>| = 6.61), seasonal housing (</w:t>
      </w:r>
      <w:r w:rsidRPr="000E68AA">
        <w:rPr>
          <w:rFonts w:ascii="Cambria Math" w:hAnsi="Cambria Math" w:cs="Cambria Math"/>
        </w:rPr>
        <w:t>𝛽</w:t>
      </w:r>
      <w:r w:rsidRPr="000E68AA">
        <w:rPr>
          <w:rFonts w:ascii="Times New Roman" w:hAnsi="Times New Roman" w:cs="Times New Roman"/>
        </w:rPr>
        <w:t xml:space="preserve"> = 0.08, SE = 0.05, |z| = 1.60), forest (</w:t>
      </w:r>
      <w:r w:rsidRPr="000E68AA">
        <w:rPr>
          <w:rFonts w:ascii="Cambria Math" w:hAnsi="Cambria Math" w:cs="Cambria Math"/>
        </w:rPr>
        <w:t>𝛽</w:t>
      </w:r>
      <w:r w:rsidRPr="000E68AA">
        <w:rPr>
          <w:rFonts w:ascii="Times New Roman" w:hAnsi="Times New Roman" w:cs="Times New Roman"/>
        </w:rPr>
        <w:t xml:space="preserve"> = 0.58, SE = 0.05, |</w:t>
      </w:r>
      <w:r w:rsidRPr="00A24B57">
        <w:rPr>
          <w:rFonts w:ascii="Times New Roman" w:hAnsi="Times New Roman" w:cs="Times New Roman"/>
          <w:i/>
          <w:iCs/>
        </w:rPr>
        <w:t>z</w:t>
      </w:r>
      <w:r w:rsidRPr="000E68AA">
        <w:rPr>
          <w:rFonts w:ascii="Times New Roman" w:hAnsi="Times New Roman" w:cs="Times New Roman"/>
        </w:rPr>
        <w:t xml:space="preserve">| = 12.61; Fig. </w:t>
      </w:r>
      <w:r w:rsidR="00A24B57">
        <w:rPr>
          <w:rFonts w:ascii="Times New Roman" w:hAnsi="Times New Roman" w:cs="Times New Roman"/>
        </w:rPr>
        <w:t>19</w:t>
      </w:r>
      <w:r w:rsidRPr="000E68AA">
        <w:rPr>
          <w:rFonts w:ascii="Times New Roman" w:hAnsi="Times New Roman" w:cs="Times New Roman"/>
        </w:rPr>
        <w:t>c), open water (</w:t>
      </w:r>
      <w:r w:rsidRPr="000E68AA">
        <w:rPr>
          <w:rFonts w:ascii="Cambria Math" w:hAnsi="Cambria Math" w:cs="Cambria Math"/>
        </w:rPr>
        <w:t>𝛽</w:t>
      </w:r>
      <w:r w:rsidRPr="000E68AA">
        <w:rPr>
          <w:rFonts w:ascii="Times New Roman" w:hAnsi="Times New Roman" w:cs="Times New Roman"/>
        </w:rPr>
        <w:t xml:space="preserve"> = 0.33, SE = 0.04, |</w:t>
      </w:r>
      <w:r w:rsidRPr="00A24B57">
        <w:rPr>
          <w:rFonts w:ascii="Times New Roman" w:hAnsi="Times New Roman" w:cs="Times New Roman"/>
          <w:i/>
          <w:iCs/>
        </w:rPr>
        <w:t>z</w:t>
      </w:r>
      <w:r w:rsidRPr="000E68AA">
        <w:rPr>
          <w:rFonts w:ascii="Times New Roman" w:hAnsi="Times New Roman" w:cs="Times New Roman"/>
        </w:rPr>
        <w:t>| = 8.85), and wetland (</w:t>
      </w:r>
      <w:r w:rsidRPr="000E68AA">
        <w:rPr>
          <w:rFonts w:ascii="Cambria Math" w:hAnsi="Cambria Math" w:cs="Cambria Math"/>
        </w:rPr>
        <w:t>𝛽</w:t>
      </w:r>
      <w:r w:rsidRPr="000E68AA">
        <w:rPr>
          <w:rFonts w:ascii="Times New Roman" w:hAnsi="Times New Roman" w:cs="Times New Roman"/>
        </w:rPr>
        <w:t xml:space="preserve"> = 0.12, SE = 0.04, |</w:t>
      </w:r>
      <w:r w:rsidRPr="00A24B57">
        <w:rPr>
          <w:rFonts w:ascii="Times New Roman" w:hAnsi="Times New Roman" w:cs="Times New Roman"/>
          <w:i/>
          <w:iCs/>
        </w:rPr>
        <w:t>z</w:t>
      </w:r>
      <w:r w:rsidRPr="000E68AA">
        <w:rPr>
          <w:rFonts w:ascii="Times New Roman" w:hAnsi="Times New Roman" w:cs="Times New Roman"/>
        </w:rPr>
        <w:t>| = 2.66) land-cover (R</w:t>
      </w:r>
      <w:r w:rsidRPr="00A24B57">
        <w:rPr>
          <w:rFonts w:ascii="Times New Roman" w:hAnsi="Times New Roman" w:cs="Times New Roman"/>
          <w:vertAlign w:val="superscript"/>
        </w:rPr>
        <w:t>2</w:t>
      </w:r>
      <w:r w:rsidRPr="000E68AA">
        <w:rPr>
          <w:rFonts w:ascii="Times New Roman" w:hAnsi="Times New Roman" w:cs="Times New Roman"/>
        </w:rPr>
        <w:t>marginal = 0.6</w:t>
      </w:r>
      <w:r w:rsidR="00A24B57">
        <w:rPr>
          <w:rFonts w:ascii="Times New Roman" w:hAnsi="Times New Roman" w:cs="Times New Roman"/>
        </w:rPr>
        <w:t>4</w:t>
      </w:r>
      <w:r w:rsidRPr="000E68AA">
        <w:rPr>
          <w:rFonts w:ascii="Times New Roman" w:hAnsi="Times New Roman" w:cs="Times New Roman"/>
        </w:rPr>
        <w:t>)</w:t>
      </w:r>
      <w:r>
        <w:rPr>
          <w:rFonts w:ascii="Times New Roman" w:hAnsi="Times New Roman" w:cs="Times New Roman"/>
        </w:rPr>
        <w:t>.</w:t>
      </w:r>
    </w:p>
    <w:p w14:paraId="788CDAA8" w14:textId="0A495C16" w:rsidR="000E68AA" w:rsidRDefault="000E68AA" w:rsidP="000E68AA">
      <w:pPr>
        <w:pStyle w:val="Heading2"/>
        <w:rPr>
          <w:rFonts w:ascii="Times New Roman" w:hAnsi="Times New Roman" w:cs="Times New Roman"/>
          <w:sz w:val="24"/>
          <w:szCs w:val="24"/>
        </w:rPr>
      </w:pPr>
      <w:bookmarkStart w:id="79" w:name="_Toc100607909"/>
      <w:r>
        <w:rPr>
          <w:rFonts w:ascii="Times New Roman" w:hAnsi="Times New Roman" w:cs="Times New Roman"/>
          <w:sz w:val="24"/>
          <w:szCs w:val="24"/>
        </w:rPr>
        <w:t>Discussion</w:t>
      </w:r>
      <w:bookmarkEnd w:id="79"/>
    </w:p>
    <w:p w14:paraId="40A1943A" w14:textId="2132765B" w:rsidR="00FA5F65" w:rsidRPr="00DF7C87" w:rsidRDefault="00FA5F65" w:rsidP="00FA5F65">
      <w:pPr>
        <w:pStyle w:val="Heading3"/>
        <w:rPr>
          <w:rFonts w:ascii="Times New Roman" w:hAnsi="Times New Roman" w:cs="Times New Roman"/>
          <w:szCs w:val="24"/>
        </w:rPr>
      </w:pPr>
      <w:bookmarkStart w:id="80" w:name="_Toc100607910"/>
      <w:r>
        <w:rPr>
          <w:rFonts w:ascii="Times New Roman" w:hAnsi="Times New Roman" w:cs="Times New Roman"/>
          <w:szCs w:val="24"/>
        </w:rPr>
        <w:t>Opportunities to leverage freshwater CS</w:t>
      </w:r>
      <w:bookmarkEnd w:id="80"/>
    </w:p>
    <w:p w14:paraId="0AA0F43C" w14:textId="77777777" w:rsidR="00FA5F65" w:rsidRPr="00FA5F65" w:rsidRDefault="00FA5F65" w:rsidP="00903483">
      <w:pPr>
        <w:ind w:firstLine="720"/>
        <w:jc w:val="both"/>
        <w:rPr>
          <w:rFonts w:ascii="Times New Roman" w:hAnsi="Times New Roman" w:cs="Times New Roman"/>
        </w:rPr>
      </w:pPr>
      <w:r w:rsidRPr="00FA5F65">
        <w:rPr>
          <w:rFonts w:ascii="Times New Roman" w:hAnsi="Times New Roman" w:cs="Times New Roman"/>
        </w:rPr>
        <w:t xml:space="preserve">Freshwater CS programs commonly collect invertebrates and water quality data likely because these metrics are relevant to public health (English et al. 2018) and are collected easily (Kosmala et al. 2016). These rapidly assessed variables also represent the earliest freshwater CS data; therefore, they can potentially be used to investigate global change impacts. For example, lentic CS datasets reveal long-term water quality trends at spatiotemporal scales unachievable with government datasets alone (Lottig et al. 2014). The quantity and temporal extent of riverine CS programs suggests an emerging opportunity for CS datasets to contribute to global change analyses in riverine systems. For example, macroinvertebrate CS data could augment recently standardized government databases and facilitate macroecological analyses for these traditionally data-poor taxa (Twardochleb et al. 2021). </w:t>
      </w:r>
    </w:p>
    <w:p w14:paraId="5BC64D54" w14:textId="311F89B2" w:rsidR="00FA5F65" w:rsidRPr="00FA5F65" w:rsidRDefault="00FA5F65" w:rsidP="00903483">
      <w:pPr>
        <w:ind w:firstLine="720"/>
        <w:jc w:val="both"/>
        <w:rPr>
          <w:rFonts w:ascii="Times New Roman" w:hAnsi="Times New Roman" w:cs="Times New Roman"/>
        </w:rPr>
      </w:pPr>
      <w:r w:rsidRPr="00FA5F65">
        <w:rPr>
          <w:rFonts w:ascii="Times New Roman" w:hAnsi="Times New Roman" w:cs="Times New Roman"/>
        </w:rPr>
        <w:t xml:space="preserve">The scope and scale of water quality CS surveys can further be leveraged to meet </w:t>
      </w:r>
      <w:r w:rsidR="00D576D0">
        <w:rPr>
          <w:rFonts w:ascii="Times New Roman" w:hAnsi="Times New Roman" w:cs="Times New Roman"/>
        </w:rPr>
        <w:t xml:space="preserve">the </w:t>
      </w:r>
      <w:r w:rsidRPr="00FA5F65">
        <w:rPr>
          <w:rFonts w:ascii="Times New Roman" w:hAnsi="Times New Roman" w:cs="Times New Roman"/>
        </w:rPr>
        <w:t xml:space="preserve">needs </w:t>
      </w:r>
      <w:r w:rsidR="00D576D0">
        <w:rPr>
          <w:rFonts w:ascii="Times New Roman" w:hAnsi="Times New Roman" w:cs="Times New Roman"/>
        </w:rPr>
        <w:t xml:space="preserve">of </w:t>
      </w:r>
      <w:r w:rsidRPr="00FA5F65">
        <w:rPr>
          <w:rFonts w:ascii="Times New Roman" w:hAnsi="Times New Roman" w:cs="Times New Roman"/>
        </w:rPr>
        <w:t>stakeholders including government agencies or nonprofits interested in preserving or improving water quality, and freshwater ecologists investigating large-scale patterns and drivers of aquatic biodiversity. Globally, water temperature and streamflow data are restricted to locations with maintained government gages and gage availability has been decreasing (Ruhi et al. 2018). Community-led monitoring could help close this data gap in regions lacking gages by providing critical data on freshwater resources (Buytaert et al. 2014). For example, CS provides hydrologic data in understudied contexts like intermittent (Allen et al. 2019) and sub-Saharan African (Walker et al. 2016) streams. Daily water temperature records submitted by local community members that regularly engage with water resources can be a relatively easy, safe, and low cost method to supplement gaging station datasets and parameterize hydrometeorological water temperature models (Pohle et al. 2019). National and international funding agencies should prioritize coordination and planning among programs to build water quality monitoring networks comprising sampling sites widely distributed across environmental and land-cover/use gradients. This allows comparable and standardized data to be collected across programs to provide critical information for water resource managers and researchers that require data at national to global scales.</w:t>
      </w:r>
    </w:p>
    <w:p w14:paraId="4EAD5246" w14:textId="72EDD2F8" w:rsidR="000E68AA" w:rsidRDefault="00FA5F65" w:rsidP="00903483">
      <w:pPr>
        <w:ind w:firstLine="720"/>
        <w:jc w:val="both"/>
        <w:rPr>
          <w:rFonts w:ascii="Times New Roman" w:hAnsi="Times New Roman" w:cs="Times New Roman"/>
        </w:rPr>
      </w:pPr>
      <w:r w:rsidRPr="00FA5F65">
        <w:rPr>
          <w:rFonts w:ascii="Times New Roman" w:hAnsi="Times New Roman" w:cs="Times New Roman"/>
        </w:rPr>
        <w:t>States and watersheds are the most common spatial extents of CS programs. NGOs tend to sample within watersheds, whereas other entities commonly organize at larger extents, indicating that different entities complement one another in data collection. This also demonstrates the importance of NGOs in filling data gaps at locations unsampled by broader (e.g., state-level) programs.</w:t>
      </w:r>
    </w:p>
    <w:p w14:paraId="6B4910D6" w14:textId="7191EA26" w:rsidR="00BC6921" w:rsidRPr="00DF7C87" w:rsidRDefault="00BC6921" w:rsidP="00BC6921">
      <w:pPr>
        <w:pStyle w:val="Heading3"/>
        <w:rPr>
          <w:rFonts w:ascii="Times New Roman" w:hAnsi="Times New Roman" w:cs="Times New Roman"/>
          <w:szCs w:val="24"/>
        </w:rPr>
      </w:pPr>
      <w:bookmarkStart w:id="81" w:name="_Toc100607911"/>
      <w:r>
        <w:rPr>
          <w:rFonts w:ascii="Times New Roman" w:hAnsi="Times New Roman" w:cs="Times New Roman"/>
          <w:szCs w:val="24"/>
        </w:rPr>
        <w:lastRenderedPageBreak/>
        <w:t>Broadening coverage and participation in freshwater CS</w:t>
      </w:r>
      <w:bookmarkEnd w:id="81"/>
    </w:p>
    <w:p w14:paraId="64B2D433" w14:textId="77777777" w:rsidR="00BC6921" w:rsidRPr="00BC6921" w:rsidRDefault="00BC6921" w:rsidP="00903483">
      <w:pPr>
        <w:ind w:firstLine="720"/>
        <w:jc w:val="both"/>
        <w:rPr>
          <w:rFonts w:ascii="Times New Roman" w:hAnsi="Times New Roman" w:cs="Times New Roman"/>
        </w:rPr>
      </w:pPr>
      <w:r w:rsidRPr="00BC6921">
        <w:rPr>
          <w:rFonts w:ascii="Times New Roman" w:hAnsi="Times New Roman" w:cs="Times New Roman"/>
        </w:rPr>
        <w:t xml:space="preserve">One topical sampling gap in freshwater CS is the relative paucity of programs collecting fish data. Increasing CS fish survey effort could help fill temporal gaps created by government surveys which are typically conducted in the summer when hydrologic conditions permit electrofishing. Prioritizing non-summer fish CS observations can help address critical knowledge gaps on fish phenology, migration, and winter activity for these taxa (Shuter et al. 2012; Hampton et al. 2017; Woods et al. 2021). Employing newer sampling methods such as environmental DNA (Larson et al. 2020b) can reduce accessibility and safety barriers for public participation in sampling. This also presents an opportunity to engage recreational anglers whose sampling catch data or photographs can provide cost-effective, high-resolution data for fish conservation and management at relatively fine temporal grains (Karlsson and Kari 2020). </w:t>
      </w:r>
    </w:p>
    <w:p w14:paraId="3B83A1C3" w14:textId="77777777" w:rsidR="00BC6921" w:rsidRPr="00BC6921" w:rsidRDefault="00BC6921" w:rsidP="00903483">
      <w:pPr>
        <w:ind w:firstLine="720"/>
        <w:jc w:val="both"/>
        <w:rPr>
          <w:rFonts w:ascii="Times New Roman" w:hAnsi="Times New Roman" w:cs="Times New Roman"/>
        </w:rPr>
      </w:pPr>
      <w:r w:rsidRPr="00BC6921">
        <w:rPr>
          <w:rFonts w:ascii="Times New Roman" w:hAnsi="Times New Roman" w:cs="Times New Roman"/>
        </w:rPr>
        <w:t xml:space="preserve">Population density and forest land-cover have consistent effects (i.e., they increase CS survey effort) across spatial scales. The range of environments characterized by high CS survey effort shows that these datasets can be leveraged to elucidate land-use/land-cover (LULC) impacts on freshwater resources. CS programs could incorporate activities that monitor LULC impacts on freshwater resources to engage local stakeholders in environments lacking high CS survey effort (e.g., agricultural areas). For example, a local-scale program in Ecuador monitored deforestation effects on water loss which increased support for fog forest conservation among community members (Becker et al. 2005). Such community-led initiatives often result in relatively prompt changes in conservation attitudes, behaviors, and management decisions relative to professional monitoring (Stepenuck and Green 2015). This interplay between public awareness and decision-making illustrates how CS can result in tangible management outcomes compared to sampling schemes lacking community engagement (McKinley et al. 2017). Therefore, CS could be an important avenue toward mitigating LULC impacts on freshwater resources considering the public health and food security services derived from these ecosystems. </w:t>
      </w:r>
    </w:p>
    <w:p w14:paraId="43E18BA2" w14:textId="77777777" w:rsidR="00BC6921" w:rsidRPr="00BC6921" w:rsidRDefault="00BC6921" w:rsidP="00903483">
      <w:pPr>
        <w:ind w:firstLine="720"/>
        <w:jc w:val="both"/>
        <w:rPr>
          <w:rFonts w:ascii="Times New Roman" w:hAnsi="Times New Roman" w:cs="Times New Roman"/>
        </w:rPr>
      </w:pPr>
      <w:r w:rsidRPr="00BC6921">
        <w:rPr>
          <w:rFonts w:ascii="Times New Roman" w:hAnsi="Times New Roman" w:cs="Times New Roman"/>
        </w:rPr>
        <w:t>Whereas state-level patterns are driven by differences in population density and land-use/land-cover (LULC), socioeconomic characteristics drive variation in CS programs among watersheds and counties. After controlling for population density, freshwater CS survey effort increases in areas with proportionally more college-educated residents, higher education facilities, and seasonal housing. Therefore, freshwater CS participants may represent a limited subset of the public with access to higher education and/or time and monetary resources for leisure activities (Church et al. 2019). This suggests that there is a need for CS programs to engage broader sectors of the public. Increasing engagement in communities where CS projects are currently underrepresented can help promote scientific skills, knowledge, and literacy which may in turn increase participants’ interest in and behavior towards conservation (Schuttler et al. 2018). Additionally, broader public inclusion in CS can facilitate representation of different perspectives in decision making and ensure that benefits of conservation actions are more equitable (McKinley et al. 2017).</w:t>
      </w:r>
    </w:p>
    <w:p w14:paraId="0617BBA3" w14:textId="1F3AA7E8" w:rsidR="00FA5F65" w:rsidRDefault="00BC6921" w:rsidP="00903483">
      <w:pPr>
        <w:ind w:firstLine="720"/>
        <w:jc w:val="both"/>
        <w:rPr>
          <w:rFonts w:ascii="Times New Roman" w:hAnsi="Times New Roman" w:cs="Times New Roman"/>
        </w:rPr>
      </w:pPr>
      <w:r w:rsidRPr="00BC6921">
        <w:rPr>
          <w:rFonts w:ascii="Times New Roman" w:hAnsi="Times New Roman" w:cs="Times New Roman"/>
        </w:rPr>
        <w:t xml:space="preserve">To broaden CS participation, programs could reduce barriers by incorporating multi-generational family-friendly activities and providing transportation to CS activities (Pandya 2012; Larson et al. 2020a). NGOs such as watershed conservation groups, which </w:t>
      </w:r>
      <w:r w:rsidRPr="00BC6921">
        <w:rPr>
          <w:rFonts w:ascii="Times New Roman" w:hAnsi="Times New Roman" w:cs="Times New Roman"/>
        </w:rPr>
        <w:lastRenderedPageBreak/>
        <w:t>tend to organize CS surveys at the watershed-scale, are well-placed to increase local participation through these activities. Larger-scale organizations such as governments, funding agencies, and universities can partner with local NGOs to organize programs that incorporative incentives and sampling procedures aligned with local communities’ needs and availabilities (Buytaert et al. 2014). Such integrative approaches have led to successful participant recruitment in regions lacking prior CS programs, globally (Buytaert et al. 2014). For participant retention, we urge existing CS programs to provide public access to datasets, if possible, because impacting research can motivate continued CS participation (Larson et al. 2020a)</w:t>
      </w:r>
      <w:r>
        <w:rPr>
          <w:rFonts w:ascii="Times New Roman" w:hAnsi="Times New Roman" w:cs="Times New Roman"/>
        </w:rPr>
        <w:t>.</w:t>
      </w:r>
    </w:p>
    <w:p w14:paraId="779482A8" w14:textId="5F758C11" w:rsidR="00BC6921" w:rsidRPr="00DF7C87" w:rsidRDefault="00BC6921" w:rsidP="00BC6921">
      <w:pPr>
        <w:pStyle w:val="Heading3"/>
        <w:rPr>
          <w:rFonts w:ascii="Times New Roman" w:hAnsi="Times New Roman" w:cs="Times New Roman"/>
          <w:szCs w:val="24"/>
        </w:rPr>
      </w:pPr>
      <w:bookmarkStart w:id="82" w:name="_Toc100607912"/>
      <w:r>
        <w:rPr>
          <w:rFonts w:ascii="Times New Roman" w:hAnsi="Times New Roman" w:cs="Times New Roman"/>
          <w:szCs w:val="24"/>
        </w:rPr>
        <w:t>Conclusion</w:t>
      </w:r>
      <w:bookmarkEnd w:id="82"/>
    </w:p>
    <w:p w14:paraId="6F7A0EAB" w14:textId="77777777" w:rsidR="00BC6921" w:rsidRPr="00BC6921" w:rsidRDefault="00BC6921" w:rsidP="00903483">
      <w:pPr>
        <w:ind w:firstLine="720"/>
        <w:jc w:val="both"/>
        <w:rPr>
          <w:rFonts w:ascii="Times New Roman" w:hAnsi="Times New Roman" w:cs="Times New Roman"/>
        </w:rPr>
      </w:pPr>
      <w:r w:rsidRPr="00BC6921">
        <w:rPr>
          <w:rFonts w:ascii="Times New Roman" w:hAnsi="Times New Roman" w:cs="Times New Roman"/>
        </w:rPr>
        <w:t xml:space="preserve">Our synthesis highlights opportunities to leverage existing CS datasets in freshwater research and identifies survey gaps that could be filled to expand the scope of freshwater CS. For water quality and macroinvertebrates, our analysis indicates that ample data relevant to global change, public health, and environmental justice are available. Emerging CS programs should consider collecting data on fish, streamflow, and water temperature to help fill spatial coverage gaps in academic, federal, and state surveys for these variables. </w:t>
      </w:r>
    </w:p>
    <w:p w14:paraId="0F81C2B2" w14:textId="37598084" w:rsidR="00FA5F65" w:rsidRDefault="00BC6921" w:rsidP="00903483">
      <w:pPr>
        <w:ind w:firstLine="720"/>
        <w:jc w:val="both"/>
        <w:rPr>
          <w:rFonts w:ascii="Times New Roman" w:hAnsi="Times New Roman" w:cs="Times New Roman"/>
        </w:rPr>
      </w:pPr>
      <w:r w:rsidRPr="00BC6921">
        <w:rPr>
          <w:rFonts w:ascii="Times New Roman" w:hAnsi="Times New Roman" w:cs="Times New Roman"/>
        </w:rPr>
        <w:t>Our work reveals broad sampling gaps in freshwater CS survey efforts skewed toward accessible (densely populated) or attractive (forested or wetland) environments. We also identify local participation gaps reflecting disproportionate involvement of educated community members with time to engage in volunteer activities. Spatial survey gaps in freshwater CS can be bridged by broadening community participation of groups and locations that are currently underrepresented in CS, such as communities with proportionately fewer college graduates or agricultural areas. These findings also indicate a need for more research on what motivates and hinders public participation in CS, specifically in freshwaters. Meeting this goal will require coordination between community leaders and educators, local NGOs, and larger-scale academic and government entities.</w:t>
      </w:r>
    </w:p>
    <w:p w14:paraId="03B4562A" w14:textId="385A3910" w:rsidR="009D5611" w:rsidRDefault="009D5611" w:rsidP="009D5611">
      <w:pPr>
        <w:rPr>
          <w:rFonts w:ascii="Times New Roman" w:hAnsi="Times New Roman" w:cs="Times New Roman"/>
        </w:rPr>
      </w:pPr>
      <w:r>
        <w:rPr>
          <w:rFonts w:ascii="Times New Roman" w:hAnsi="Times New Roman" w:cs="Times New Roman"/>
        </w:rPr>
        <w:br w:type="page"/>
      </w:r>
    </w:p>
    <w:p w14:paraId="08C49A41" w14:textId="3CE1D70B" w:rsidR="009D5611" w:rsidRPr="00DF7C87" w:rsidRDefault="009D5611" w:rsidP="00EF5AE7">
      <w:pPr>
        <w:pStyle w:val="Heading2"/>
        <w:rPr>
          <w:rFonts w:ascii="Times New Roman" w:hAnsi="Times New Roman" w:cs="Times New Roman"/>
        </w:rPr>
      </w:pPr>
      <w:bookmarkStart w:id="83" w:name="_Toc100607913"/>
      <w:r w:rsidRPr="00DF7C87">
        <w:rPr>
          <w:rFonts w:ascii="Times New Roman" w:hAnsi="Times New Roman" w:cs="Times New Roman"/>
        </w:rPr>
        <w:lastRenderedPageBreak/>
        <w:t>R</w:t>
      </w:r>
      <w:r w:rsidR="00DF6E72">
        <w:rPr>
          <w:rFonts w:ascii="Times New Roman" w:hAnsi="Times New Roman" w:cs="Times New Roman"/>
        </w:rPr>
        <w:t>eferences</w:t>
      </w:r>
      <w:bookmarkEnd w:id="83"/>
    </w:p>
    <w:p w14:paraId="43917942" w14:textId="2FF4C869"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Allen DC, Kopp DA, Costigan KH, et al. 2019. Citizen scientists document long-term streamflow declines in intermittent rivers of the desert southwest, USA. Freshw Sci 38: 244–56.</w:t>
      </w:r>
    </w:p>
    <w:p w14:paraId="3EE5B1D8"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Becker CD, Agreda A, Astudillo E, et al. 2005. Community-based monitoring of fog capture and biodiversity at Loma Alta, Ecuador enhance social capital and institutional cooperation. Biodivers Conserv 14: 2695–707.</w:t>
      </w:r>
    </w:p>
    <w:p w14:paraId="0CE46F48"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Buytaert W, Zulkafli Z, Grainger S, et al. 2014. Citizen science in hydrology and water resources: Opportunities for knowledge generation, ecosystem service management, and sustainable development. Front Earth Sci 2: 26.</w:t>
      </w:r>
    </w:p>
    <w:p w14:paraId="328DDF65"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Chandler M, See L, Copas K, et al. 2017. Contribution of citizen science towards international biodiversity monitoring. Biol Conserv 213: 280–94.</w:t>
      </w:r>
    </w:p>
    <w:p w14:paraId="07BFEF0D" w14:textId="77777777" w:rsidR="009D5611" w:rsidRPr="0069153B" w:rsidRDefault="009D5611" w:rsidP="00903483">
      <w:pPr>
        <w:ind w:left="720" w:hanging="720"/>
        <w:jc w:val="both"/>
        <w:rPr>
          <w:rFonts w:ascii="Times New Roman" w:hAnsi="Times New Roman" w:cs="Times New Roman"/>
          <w:lang w:val="fr-FR"/>
        </w:rPr>
      </w:pPr>
      <w:r w:rsidRPr="009D5611">
        <w:rPr>
          <w:rFonts w:ascii="Times New Roman" w:hAnsi="Times New Roman" w:cs="Times New Roman"/>
        </w:rPr>
        <w:t xml:space="preserve">Church SP, Payne LB, Peel S, and Prokopy LS. 2019. Beyond water data: benefits to volunteers and to local water from a citizen science program. </w:t>
      </w:r>
      <w:r w:rsidRPr="0069153B">
        <w:rPr>
          <w:rFonts w:ascii="Times New Roman" w:hAnsi="Times New Roman" w:cs="Times New Roman"/>
          <w:lang w:val="fr-FR"/>
        </w:rPr>
        <w:t>J Environ Plan Manag 62: 306–26.</w:t>
      </w:r>
    </w:p>
    <w:p w14:paraId="69427287"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lang w:val="fr-FR"/>
        </w:rPr>
        <w:t xml:space="preserve">Dickinson JL, Shirk J, Bonter D, et al. 2012. </w:t>
      </w:r>
      <w:r w:rsidRPr="009D5611">
        <w:rPr>
          <w:rFonts w:ascii="Times New Roman" w:hAnsi="Times New Roman" w:cs="Times New Roman"/>
        </w:rPr>
        <w:t>The current state of citizen science as a tool for ecological research and public engagement. Front Ecol Environ 10: 291–7.</w:t>
      </w:r>
    </w:p>
    <w:p w14:paraId="353096B6"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English PB, Richardson MJ, and Garzón-Galvis C. 2018. From Crowdsourcing to Extreme Citizen Science: Participatory Research for Environmental Health. Annu Rev Public Health 39: 335–50.</w:t>
      </w:r>
    </w:p>
    <w:p w14:paraId="24128CA6"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Forister ML, Halsch CA, Nice CC, et al. 2021. Fewer butterflies seen by community scientists across the warming and drying landscapes of the American West. Science (80- ) 371: 1042–5.</w:t>
      </w:r>
    </w:p>
    <w:p w14:paraId="76AA8F8C"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Hampton SE, Galloway AWE, Powers SM, et al. 2017. Ecology under lake ice. Ecol Lett 20: 98–111.</w:t>
      </w:r>
    </w:p>
    <w:p w14:paraId="0851E67F" w14:textId="77777777" w:rsidR="009D5611" w:rsidRPr="009D5611" w:rsidRDefault="009D5611" w:rsidP="00903483">
      <w:pPr>
        <w:ind w:left="720" w:hanging="720"/>
        <w:jc w:val="both"/>
        <w:rPr>
          <w:rFonts w:ascii="Times New Roman" w:hAnsi="Times New Roman" w:cs="Times New Roman"/>
          <w:lang w:val="fr-FR"/>
        </w:rPr>
      </w:pPr>
      <w:r w:rsidRPr="009D5611">
        <w:rPr>
          <w:rFonts w:ascii="Times New Roman" w:hAnsi="Times New Roman" w:cs="Times New Roman"/>
        </w:rPr>
        <w:t xml:space="preserve">Hegarty S, Hayes A, Regan F, et al. 2021. Using citizen science to understand river water quality while filling data gaps to meet United Nations Sustainable Development Goal 6 objectives. </w:t>
      </w:r>
      <w:r w:rsidRPr="009D5611">
        <w:rPr>
          <w:rFonts w:ascii="Times New Roman" w:hAnsi="Times New Roman" w:cs="Times New Roman"/>
          <w:lang w:val="fr-FR"/>
        </w:rPr>
        <w:t>Sci Total Environ 783: 146953.</w:t>
      </w:r>
    </w:p>
    <w:p w14:paraId="49045AB2"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lang w:val="fr-FR"/>
        </w:rPr>
        <w:t xml:space="preserve">Hochachka WM, Fink D, Hutchinson RA, et al. 2012. </w:t>
      </w:r>
      <w:r w:rsidRPr="009D5611">
        <w:rPr>
          <w:rFonts w:ascii="Times New Roman" w:hAnsi="Times New Roman" w:cs="Times New Roman"/>
        </w:rPr>
        <w:t>Data-intensive science applied to broad-scale citizen science. Trends Ecol Evol 27: 130–7.</w:t>
      </w:r>
    </w:p>
    <w:p w14:paraId="47184038"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Isaac NJB and Pocock MJO. 2015. Bias and information in biological records. Biol J Linn Soc 115: 522–31.</w:t>
      </w:r>
    </w:p>
    <w:p w14:paraId="08649138"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Johnston A, Moran N, Musgrove A, et al. 2020. Estimating species distributions from spatially biased citizen science data. Ecol Modell 422: 108927.</w:t>
      </w:r>
    </w:p>
    <w:p w14:paraId="1523C1E6"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Karlsson K and Kari E. 2020. Recreational anglers as citizen scientists can provide data to estimate population size of pike, Esox lucius. Fish Manag Ecol 27: 367–80.</w:t>
      </w:r>
    </w:p>
    <w:p w14:paraId="17D26302"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Kosmala M, Wiggins A, Swanson A, and Simmons B. 2016. Assessing data quality in citizen science. Front Ecol Environ 14: 551–60.</w:t>
      </w:r>
    </w:p>
    <w:p w14:paraId="7D2CFE04"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Larson LR, Cooper CB, Futch S, et al. 2020a. The diverse motivations of citizen scientists: Does conservation emphasis grow as volunteer participation progresses? Biol Conserv 242: 108428.</w:t>
      </w:r>
    </w:p>
    <w:p w14:paraId="4219EBCB" w14:textId="77777777" w:rsidR="009D5611" w:rsidRPr="009D5611" w:rsidRDefault="009D5611" w:rsidP="00903483">
      <w:pPr>
        <w:ind w:left="720" w:hanging="720"/>
        <w:jc w:val="both"/>
        <w:rPr>
          <w:rFonts w:ascii="Times New Roman" w:hAnsi="Times New Roman" w:cs="Times New Roman"/>
          <w:lang w:val="fr-FR"/>
        </w:rPr>
      </w:pPr>
      <w:r w:rsidRPr="009D5611">
        <w:rPr>
          <w:rFonts w:ascii="Times New Roman" w:hAnsi="Times New Roman" w:cs="Times New Roman"/>
        </w:rPr>
        <w:t xml:space="preserve">Larson ER, Graham BM, Achury R, et al. 2020b. From eDNA to citizen science: emerging tools for the early detection of invasive species. </w:t>
      </w:r>
      <w:r w:rsidRPr="009D5611">
        <w:rPr>
          <w:rFonts w:ascii="Times New Roman" w:hAnsi="Times New Roman" w:cs="Times New Roman"/>
          <w:lang w:val="fr-FR"/>
        </w:rPr>
        <w:t>Front Ecol Environ 18: 194–202.</w:t>
      </w:r>
    </w:p>
    <w:p w14:paraId="7777ACD3"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lang w:val="fr-FR"/>
        </w:rPr>
        <w:lastRenderedPageBreak/>
        <w:t xml:space="preserve">Lottig NR, Wagner T, Henry EN, et al. 2014. </w:t>
      </w:r>
      <w:r w:rsidRPr="009D5611">
        <w:rPr>
          <w:rFonts w:ascii="Times New Roman" w:hAnsi="Times New Roman" w:cs="Times New Roman"/>
        </w:rPr>
        <w:t>Long-term citizen-collected data reveal geographical patterns and temporal trends in lake water clarity. PLoS One 9.</w:t>
      </w:r>
    </w:p>
    <w:p w14:paraId="452E11F0"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MacLeod CJ and Scott K. 2021. Mechanisms for enhancing public engagement with citizen science results. People Nat 3: 32–50.</w:t>
      </w:r>
    </w:p>
    <w:p w14:paraId="137304A0"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McKinley DC, Miller-Rushing AJ, Ballard HL, et al. 2017. Citizen science can improve conservation science, natural resource management, and environmental protection. Biol Conserv 208: 15–28.</w:t>
      </w:r>
    </w:p>
    <w:p w14:paraId="3E8518D6"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Pandya RE. 2012. A framework for engaging diverse communities in Citizen science in the US. Front Ecol Environ 10: 314–7.</w:t>
      </w:r>
    </w:p>
    <w:p w14:paraId="131691C0" w14:textId="77777777" w:rsidR="009D5611" w:rsidRPr="009D5611" w:rsidRDefault="009D5611" w:rsidP="00903483">
      <w:pPr>
        <w:ind w:left="720" w:hanging="720"/>
        <w:jc w:val="both"/>
        <w:rPr>
          <w:rFonts w:ascii="Times New Roman" w:hAnsi="Times New Roman" w:cs="Times New Roman"/>
          <w:lang w:val="fr-FR"/>
        </w:rPr>
      </w:pPr>
      <w:r w:rsidRPr="009D5611">
        <w:rPr>
          <w:rFonts w:ascii="Times New Roman" w:hAnsi="Times New Roman" w:cs="Times New Roman"/>
        </w:rPr>
        <w:t xml:space="preserve">Pohle I, Helliwell R, Aube C, et al. 2019. Citizen science evidence from the past century shows that Scottish rivers are warming. </w:t>
      </w:r>
      <w:r w:rsidRPr="009D5611">
        <w:rPr>
          <w:rFonts w:ascii="Times New Roman" w:hAnsi="Times New Roman" w:cs="Times New Roman"/>
          <w:lang w:val="fr-FR"/>
        </w:rPr>
        <w:t>Sci Total Environ 659: 53–65.</w:t>
      </w:r>
    </w:p>
    <w:p w14:paraId="63E23B94"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lang w:val="fr-FR"/>
        </w:rPr>
        <w:t xml:space="preserve">Poisson AC, McCullough IM, Cheruvelil KS, et al. 2019. </w:t>
      </w:r>
      <w:r w:rsidRPr="009D5611">
        <w:rPr>
          <w:rFonts w:ascii="Times New Roman" w:hAnsi="Times New Roman" w:cs="Times New Roman"/>
        </w:rPr>
        <w:t>Quantifying the contribution of citizen science to broad-scale ecological databases. Front Ecol Environ 18: 19–26.</w:t>
      </w:r>
    </w:p>
    <w:p w14:paraId="79148BE2"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Rosenberg K V., Dokter AM, Blancher PJ, et al. 2019. Decline of the North American avifauna. Science (80- ) 366: 120–4.</w:t>
      </w:r>
    </w:p>
    <w:p w14:paraId="24474541"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Ruhi A, Messager M, and Olden JD. 2018. Tracking the pulse of the Earth’s fresh waters. Nat Sustain 1: 198–203.</w:t>
      </w:r>
    </w:p>
    <w:p w14:paraId="5D3894AB" w14:textId="77777777" w:rsidR="009D5611" w:rsidRPr="009D5611" w:rsidRDefault="009D5611" w:rsidP="00903483">
      <w:pPr>
        <w:ind w:left="720" w:hanging="720"/>
        <w:jc w:val="both"/>
        <w:rPr>
          <w:rFonts w:ascii="Times New Roman" w:hAnsi="Times New Roman" w:cs="Times New Roman"/>
          <w:lang w:val="fr-FR"/>
        </w:rPr>
      </w:pPr>
      <w:r w:rsidRPr="009D5611">
        <w:rPr>
          <w:rFonts w:ascii="Times New Roman" w:hAnsi="Times New Roman" w:cs="Times New Roman"/>
        </w:rPr>
        <w:t xml:space="preserve">Schuttler SG, Sorensen AE, Jordan RC, et al. 2018. Bridging the nature gap: can citizen science reverse the extinction of experience? </w:t>
      </w:r>
      <w:r w:rsidRPr="009D5611">
        <w:rPr>
          <w:rFonts w:ascii="Times New Roman" w:hAnsi="Times New Roman" w:cs="Times New Roman"/>
          <w:lang w:val="fr-FR"/>
        </w:rPr>
        <w:t>Front Ecol Environ 16: 405–11.</w:t>
      </w:r>
    </w:p>
    <w:p w14:paraId="5EAC5DF4"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lang w:val="fr-FR"/>
        </w:rPr>
        <w:t xml:space="preserve">Shuter BJ, Finstad AG, Helland IP, et al. 2012. </w:t>
      </w:r>
      <w:r w:rsidRPr="009D5611">
        <w:rPr>
          <w:rFonts w:ascii="Times New Roman" w:hAnsi="Times New Roman" w:cs="Times New Roman"/>
        </w:rPr>
        <w:t>The role of winter phenology in shaping the ecology of freshwater fish and their sensitivities to climate change. Aquat Sci 74: 637–57.</w:t>
      </w:r>
    </w:p>
    <w:p w14:paraId="159D40D2"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Sorte FA La and Somveille M. 2020. Survey completeness of a global citizen-science database of bird occurrence. Ecography (Cop) 43: 34–43.</w:t>
      </w:r>
    </w:p>
    <w:p w14:paraId="4CCC7056"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Stepenuck KF and Green LT. 2015. Individual-and community-level impacts of volunteer environmental monitoring: A synthesis of peer-reviewed literature. Ecol Soc 20.</w:t>
      </w:r>
    </w:p>
    <w:p w14:paraId="59FE67FC"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Troia MJ and McManamay RA. 2017. Completeness and coverage of open-access freshwater fish distribution data in the United States. Divers Distrib 23: 1482–98.</w:t>
      </w:r>
    </w:p>
    <w:p w14:paraId="0FE81919"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Twardochleb L, Hiltner E, Pyne M, and Zarnetske P. 2021. Freshwater insects CONUS: A database of freshwater insect occurrences and traits for the contiguous United States. Glob Ecol Biogeogr 30: 826–41.</w:t>
      </w:r>
    </w:p>
    <w:p w14:paraId="561792CC"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Walker D, Forsythe N, Parkin G, and Gowing J. 2016. Filling the observational void: Scientific value and quantitative validation of hydrometeorological data from a community-based monitoring programme. J Hydrol 538: 713–25.</w:t>
      </w:r>
    </w:p>
    <w:p w14:paraId="61677738" w14:textId="77777777" w:rsidR="009D5611" w:rsidRP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Woods T, Kaz A, and Giam X. 2021. Phenology in freshwaters: a review and recommendations for future research. Ecography (Cop).</w:t>
      </w:r>
    </w:p>
    <w:p w14:paraId="59559AC0" w14:textId="22C3CB54" w:rsidR="009D5611" w:rsidRDefault="009D5611" w:rsidP="00903483">
      <w:pPr>
        <w:ind w:left="720" w:hanging="720"/>
        <w:jc w:val="both"/>
        <w:rPr>
          <w:rFonts w:ascii="Times New Roman" w:hAnsi="Times New Roman" w:cs="Times New Roman"/>
        </w:rPr>
      </w:pPr>
      <w:r w:rsidRPr="009D5611">
        <w:rPr>
          <w:rFonts w:ascii="Times New Roman" w:hAnsi="Times New Roman" w:cs="Times New Roman"/>
        </w:rPr>
        <w:t>Zipkin EF, Zylstra E, Wright AD, et al. 2021. Addressing data integration challenges to link ecological processes across scales. Front Ecol Environ 19: 30–8.</w:t>
      </w:r>
    </w:p>
    <w:p w14:paraId="4C5C22B1" w14:textId="35A2492C" w:rsidR="00BF2473" w:rsidRDefault="00BF2473">
      <w:pPr>
        <w:rPr>
          <w:rFonts w:ascii="Times New Roman" w:hAnsi="Times New Roman" w:cs="Times New Roman"/>
        </w:rPr>
      </w:pPr>
      <w:r>
        <w:rPr>
          <w:rFonts w:ascii="Times New Roman" w:hAnsi="Times New Roman" w:cs="Times New Roman"/>
        </w:rPr>
        <w:br w:type="page"/>
      </w:r>
    </w:p>
    <w:p w14:paraId="000C530F" w14:textId="00EFE0DF" w:rsidR="006003A8" w:rsidRDefault="00BF2473" w:rsidP="00903483">
      <w:pPr>
        <w:pStyle w:val="Heading2"/>
        <w:rPr>
          <w:rFonts w:ascii="Times New Roman" w:hAnsi="Times New Roman" w:cs="Times New Roman"/>
        </w:rPr>
      </w:pPr>
      <w:bookmarkStart w:id="84" w:name="_Toc100607914"/>
      <w:r w:rsidRPr="00DF7C87">
        <w:rPr>
          <w:rFonts w:ascii="Times New Roman" w:hAnsi="Times New Roman" w:cs="Times New Roman"/>
        </w:rPr>
        <w:lastRenderedPageBreak/>
        <w:t>A</w:t>
      </w:r>
      <w:r w:rsidR="00DF6E72">
        <w:rPr>
          <w:rFonts w:ascii="Times New Roman" w:hAnsi="Times New Roman" w:cs="Times New Roman"/>
        </w:rPr>
        <w:t>ppendix</w:t>
      </w:r>
      <w:bookmarkEnd w:id="84"/>
    </w:p>
    <w:p w14:paraId="0D92798C" w14:textId="77777777" w:rsidR="007C6E2D" w:rsidRPr="007C6E2D" w:rsidRDefault="007C6E2D" w:rsidP="007C6E2D"/>
    <w:p w14:paraId="41821309" w14:textId="766E70A7" w:rsidR="006003A8" w:rsidRDefault="006003A8" w:rsidP="008F4AA9">
      <w:pPr>
        <w:jc w:val="center"/>
        <w:rPr>
          <w:rFonts w:ascii="Times New Roman" w:hAnsi="Times New Roman" w:cs="Times New Roman"/>
        </w:rPr>
      </w:pPr>
      <w:r>
        <w:rPr>
          <w:noProof/>
        </w:rPr>
        <w:drawing>
          <wp:inline distT="0" distB="0" distL="0" distR="0" wp14:anchorId="04289A08" wp14:editId="1F0AB055">
            <wp:extent cx="4192280" cy="6540500"/>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30973" cy="6600866"/>
                    </a:xfrm>
                    <a:prstGeom prst="rect">
                      <a:avLst/>
                    </a:prstGeom>
                  </pic:spPr>
                </pic:pic>
              </a:graphicData>
            </a:graphic>
          </wp:inline>
        </w:drawing>
      </w:r>
    </w:p>
    <w:p w14:paraId="3A015C20" w14:textId="391FAC4E" w:rsidR="008F4AA9" w:rsidRDefault="007515F4" w:rsidP="007515F4">
      <w:pPr>
        <w:jc w:val="both"/>
        <w:rPr>
          <w:rFonts w:ascii="Times New Roman" w:hAnsi="Times New Roman" w:cs="Times New Roman"/>
        </w:rPr>
      </w:pPr>
      <w:bookmarkStart w:id="85" w:name="_Toc100607949"/>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20</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3468C4">
        <w:rPr>
          <w:rFonts w:ascii="Times New Roman" w:hAnsi="Times New Roman" w:cs="Times New Roman"/>
          <w:b/>
          <w:bCs/>
        </w:rPr>
        <w:t>Model diagnostic plots.</w:t>
      </w:r>
      <w:r>
        <w:rPr>
          <w:rFonts w:ascii="Times New Roman" w:hAnsi="Times New Roman" w:cs="Times New Roman"/>
        </w:rPr>
        <w:t xml:space="preserve"> For the a) state, b) county, and c) watershed scale models, we show quantile-quantile (QQ) plots (left column) and plots of residuals versus predicted values (right column). Plots were interpreted for significant deviations from assumptions as described in the main text.</w:t>
      </w:r>
      <w:bookmarkEnd w:id="85"/>
    </w:p>
    <w:p w14:paraId="6FE18106" w14:textId="3193C9FF" w:rsidR="007C4379" w:rsidRPr="007515F4" w:rsidRDefault="008F4AA9" w:rsidP="002941D4">
      <w:pPr>
        <w:rPr>
          <w:rFonts w:ascii="Times New Roman" w:hAnsi="Times New Roman" w:cs="Times New Roman"/>
        </w:rPr>
      </w:pPr>
      <w:r>
        <w:rPr>
          <w:rFonts w:ascii="Times New Roman" w:hAnsi="Times New Roman" w:cs="Times New Roman"/>
        </w:rPr>
        <w:br w:type="page"/>
      </w:r>
    </w:p>
    <w:p w14:paraId="61381DAD" w14:textId="128DD224" w:rsidR="007C4379" w:rsidRPr="00DF7C87" w:rsidRDefault="007C4379" w:rsidP="007C4379">
      <w:pPr>
        <w:pStyle w:val="Heading1"/>
        <w:rPr>
          <w:rFonts w:ascii="Times New Roman" w:hAnsi="Times New Roman" w:cs="Times New Roman"/>
          <w:szCs w:val="28"/>
        </w:rPr>
      </w:pPr>
      <w:bookmarkStart w:id="86" w:name="_Toc100607915"/>
      <w:r w:rsidRPr="00DF7C87">
        <w:rPr>
          <w:rFonts w:ascii="Times New Roman" w:hAnsi="Times New Roman" w:cs="Times New Roman"/>
          <w:szCs w:val="28"/>
        </w:rPr>
        <w:lastRenderedPageBreak/>
        <w:t xml:space="preserve">CHAPTER </w:t>
      </w:r>
      <w:r w:rsidR="0088689E">
        <w:rPr>
          <w:rFonts w:ascii="Times New Roman" w:hAnsi="Times New Roman" w:cs="Times New Roman"/>
          <w:szCs w:val="28"/>
        </w:rPr>
        <w:t>4</w:t>
      </w:r>
      <w:r w:rsidRPr="00DF7C87">
        <w:rPr>
          <w:rFonts w:ascii="Times New Roman" w:hAnsi="Times New Roman" w:cs="Times New Roman"/>
          <w:szCs w:val="28"/>
        </w:rPr>
        <w:br/>
      </w:r>
      <w:r>
        <w:rPr>
          <w:rFonts w:ascii="Times New Roman" w:hAnsi="Times New Roman" w:cs="Times New Roman"/>
          <w:szCs w:val="28"/>
        </w:rPr>
        <w:t>UNIFYING PATTERNS AND MECHANISMS IN AQUATIC ECTOTHERM BODY SIZE ACROSS BIOLOGICAL SCALES</w:t>
      </w:r>
      <w:bookmarkEnd w:id="86"/>
    </w:p>
    <w:p w14:paraId="40D75ED3" w14:textId="77777777" w:rsidR="007C4379" w:rsidRPr="00DF7C87" w:rsidRDefault="007C4379" w:rsidP="007C4379">
      <w:pPr>
        <w:rPr>
          <w:rFonts w:ascii="Times New Roman" w:hAnsi="Times New Roman" w:cs="Times New Roman"/>
          <w:sz w:val="28"/>
          <w:szCs w:val="28"/>
        </w:rPr>
      </w:pPr>
      <w:r w:rsidRPr="00DF7C87">
        <w:rPr>
          <w:rFonts w:ascii="Times New Roman" w:hAnsi="Times New Roman" w:cs="Times New Roman"/>
          <w:sz w:val="28"/>
          <w:szCs w:val="28"/>
        </w:rPr>
        <w:br w:type="page"/>
      </w:r>
    </w:p>
    <w:p w14:paraId="1C969BFA" w14:textId="1AB2325C" w:rsidR="007C4379" w:rsidRPr="00DF7C87" w:rsidRDefault="007C4379" w:rsidP="00D512FC">
      <w:pPr>
        <w:jc w:val="both"/>
        <w:rPr>
          <w:rFonts w:ascii="Times New Roman" w:hAnsi="Times New Roman" w:cs="Times New Roman"/>
        </w:rPr>
      </w:pPr>
      <w:r>
        <w:rPr>
          <w:rFonts w:ascii="Times New Roman" w:hAnsi="Times New Roman" w:cs="Times New Roman"/>
        </w:rPr>
        <w:lastRenderedPageBreak/>
        <w:t>This</w:t>
      </w:r>
      <w:r w:rsidRPr="00DF7C87">
        <w:rPr>
          <w:rFonts w:ascii="Times New Roman" w:hAnsi="Times New Roman" w:cs="Times New Roman"/>
        </w:rPr>
        <w:t xml:space="preserve"> chapter </w:t>
      </w:r>
      <w:r>
        <w:rPr>
          <w:rFonts w:ascii="Times New Roman" w:hAnsi="Times New Roman" w:cs="Times New Roman"/>
        </w:rPr>
        <w:t>is currently in preparation for submission</w:t>
      </w:r>
      <w:r w:rsidRPr="00DF7C87">
        <w:rPr>
          <w:rFonts w:ascii="Times New Roman" w:hAnsi="Times New Roman" w:cs="Times New Roman"/>
        </w:rPr>
        <w:t xml:space="preserve"> by </w:t>
      </w:r>
      <w:r>
        <w:rPr>
          <w:rFonts w:ascii="Times New Roman" w:hAnsi="Times New Roman" w:cs="Times New Roman"/>
        </w:rPr>
        <w:t>Taylor Woods and Xingli Giam.</w:t>
      </w:r>
      <w:r w:rsidRPr="00DF7C87">
        <w:rPr>
          <w:rFonts w:ascii="Times New Roman" w:hAnsi="Times New Roman" w:cs="Times New Roman"/>
        </w:rPr>
        <w:t xml:space="preserve"> </w:t>
      </w:r>
    </w:p>
    <w:p w14:paraId="58EA92FF" w14:textId="77777777" w:rsidR="007C4379" w:rsidRPr="00DF7C87" w:rsidRDefault="007C4379" w:rsidP="00D512FC">
      <w:pPr>
        <w:jc w:val="both"/>
        <w:rPr>
          <w:rFonts w:ascii="Times New Roman" w:hAnsi="Times New Roman" w:cs="Times New Roman"/>
        </w:rPr>
      </w:pPr>
    </w:p>
    <w:p w14:paraId="3A161DEC" w14:textId="66DC0647" w:rsidR="007C4379" w:rsidRPr="00DF7C87" w:rsidRDefault="007C4379" w:rsidP="00D512FC">
      <w:pPr>
        <w:ind w:firstLine="720"/>
        <w:jc w:val="both"/>
        <w:rPr>
          <w:rFonts w:ascii="Times New Roman" w:hAnsi="Times New Roman" w:cs="Times New Roman"/>
        </w:rPr>
      </w:pPr>
      <w:r w:rsidRPr="00DF7C87">
        <w:rPr>
          <w:rFonts w:ascii="Times New Roman" w:hAnsi="Times New Roman" w:cs="Times New Roman"/>
        </w:rPr>
        <w:t>T</w:t>
      </w:r>
      <w:r>
        <w:rPr>
          <w:rFonts w:ascii="Times New Roman" w:hAnsi="Times New Roman" w:cs="Times New Roman"/>
        </w:rPr>
        <w:t xml:space="preserve">aylor Woods and Xingli Giam conceptualized the project. Taylor Woods led the data collection, analysis and created figures with input from Xingli Giam. Taylor Woods led writing of the first draft </w:t>
      </w:r>
      <w:r w:rsidR="000E2416">
        <w:rPr>
          <w:rFonts w:ascii="Times New Roman" w:hAnsi="Times New Roman" w:cs="Times New Roman"/>
        </w:rPr>
        <w:t xml:space="preserve">and revisions, </w:t>
      </w:r>
      <w:r>
        <w:rPr>
          <w:rFonts w:ascii="Times New Roman" w:hAnsi="Times New Roman" w:cs="Times New Roman"/>
        </w:rPr>
        <w:t>and Xingli Giam contributed to manuscript revisions and editing.</w:t>
      </w:r>
    </w:p>
    <w:p w14:paraId="7D86C60A" w14:textId="77777777" w:rsidR="007C4379" w:rsidRDefault="007C4379" w:rsidP="007C4379">
      <w:pPr>
        <w:pStyle w:val="Heading2"/>
        <w:jc w:val="left"/>
        <w:rPr>
          <w:rFonts w:ascii="Times New Roman" w:hAnsi="Times New Roman" w:cs="Times New Roman"/>
          <w:sz w:val="24"/>
          <w:szCs w:val="24"/>
        </w:rPr>
      </w:pPr>
    </w:p>
    <w:p w14:paraId="36686FA2" w14:textId="77777777" w:rsidR="007C4379" w:rsidRPr="00DF7C87" w:rsidRDefault="007C4379" w:rsidP="007C4379">
      <w:pPr>
        <w:pStyle w:val="Heading2"/>
        <w:rPr>
          <w:rFonts w:ascii="Times New Roman" w:hAnsi="Times New Roman" w:cs="Times New Roman"/>
          <w:sz w:val="24"/>
          <w:szCs w:val="24"/>
        </w:rPr>
      </w:pPr>
      <w:bookmarkStart w:id="87" w:name="_Toc100607916"/>
      <w:r w:rsidRPr="00DF7C87">
        <w:rPr>
          <w:rFonts w:ascii="Times New Roman" w:hAnsi="Times New Roman" w:cs="Times New Roman"/>
          <w:sz w:val="24"/>
          <w:szCs w:val="24"/>
        </w:rPr>
        <w:t>Abstract</w:t>
      </w:r>
      <w:bookmarkEnd w:id="87"/>
    </w:p>
    <w:p w14:paraId="1E309525" w14:textId="32ABF936" w:rsidR="007C4379" w:rsidRPr="00DF7C87" w:rsidRDefault="005D663C" w:rsidP="006C693D">
      <w:pPr>
        <w:ind w:firstLine="720"/>
        <w:jc w:val="both"/>
        <w:rPr>
          <w:rFonts w:ascii="Times New Roman" w:hAnsi="Times New Roman" w:cs="Times New Roman"/>
        </w:rPr>
      </w:pPr>
      <w:r w:rsidRPr="005D663C">
        <w:rPr>
          <w:rFonts w:ascii="Times New Roman" w:hAnsi="Times New Roman" w:cs="Times New Roman"/>
        </w:rPr>
        <w:t>Patterns and associated mechanisms in body size are the foc</w:t>
      </w:r>
      <w:r w:rsidR="00804C8A">
        <w:rPr>
          <w:rFonts w:ascii="Times New Roman" w:hAnsi="Times New Roman" w:cs="Times New Roman"/>
        </w:rPr>
        <w:t>us</w:t>
      </w:r>
      <w:r w:rsidRPr="005D663C">
        <w:rPr>
          <w:rFonts w:ascii="Times New Roman" w:hAnsi="Times New Roman" w:cs="Times New Roman"/>
        </w:rPr>
        <w:t xml:space="preserve"> of much macroecological research. However, our understanding of these patterns and processes is incomplete for many taxa, especially ectotherms. Here, we aim to narrow knowledge gaps on proximate drivers underlying macroecological body size patterns in one such understudied ecological context, riverine fishes. Specifically, we use a comprehensive individual mass dataset and analyze patterns and mechanisms in body size across biological scales (assemblage, species, and populations). At each scale, we assess indirect geographic (latitude and elevation) mass patterns and identify underlying proximate environmental drivers (anthropogenic factors, area, climate, productivity, and seasonality) and intrinsic mechanisms (thermal traits) that mediate these patterns. Across scales, we find indirect positive patterns between mass and (absolute) latitude and elevation. These indirect patterns are strongly mediated by inverse relationships between environmental temperature and species critical thermal limits and body size.</w:t>
      </w:r>
    </w:p>
    <w:p w14:paraId="48D67F89" w14:textId="77777777" w:rsidR="007C4379" w:rsidRPr="00DF7C87" w:rsidRDefault="007C4379" w:rsidP="007C4379">
      <w:pPr>
        <w:pStyle w:val="Heading2"/>
        <w:rPr>
          <w:rFonts w:ascii="Times New Roman" w:hAnsi="Times New Roman" w:cs="Times New Roman"/>
          <w:sz w:val="24"/>
          <w:szCs w:val="24"/>
        </w:rPr>
      </w:pPr>
      <w:bookmarkStart w:id="88" w:name="_Toc100607917"/>
      <w:r w:rsidRPr="00DF7C87">
        <w:rPr>
          <w:rFonts w:ascii="Times New Roman" w:hAnsi="Times New Roman" w:cs="Times New Roman"/>
          <w:sz w:val="24"/>
          <w:szCs w:val="24"/>
        </w:rPr>
        <w:t>Introduction</w:t>
      </w:r>
      <w:bookmarkEnd w:id="88"/>
    </w:p>
    <w:p w14:paraId="4712CAAA" w14:textId="6E64509F" w:rsidR="005D663C" w:rsidRPr="005D663C" w:rsidRDefault="005D663C" w:rsidP="00D512FC">
      <w:pPr>
        <w:ind w:firstLine="720"/>
        <w:jc w:val="both"/>
        <w:rPr>
          <w:rFonts w:ascii="Times New Roman" w:hAnsi="Times New Roman" w:cs="Times New Roman"/>
        </w:rPr>
      </w:pPr>
      <w:r w:rsidRPr="005D663C">
        <w:rPr>
          <w:rFonts w:ascii="Times New Roman" w:hAnsi="Times New Roman" w:cs="Times New Roman"/>
        </w:rPr>
        <w:t xml:space="preserve">Body size underpins many ecological processes (e.g., metabolism; West et al. 1997) and properties (e.g., abundance; Damuth 1981). Because body size responds to proximate environmental factors (e.g., temperature; Daufresne et al. 2009), global change may affect ecosystem functioning via changes to body size. Therefore, elucidating drivers underlying contemporary body size patterns is a </w:t>
      </w:r>
      <w:r w:rsidR="00804C8A" w:rsidRPr="005D663C">
        <w:rPr>
          <w:rFonts w:ascii="Times New Roman" w:hAnsi="Times New Roman" w:cs="Times New Roman"/>
        </w:rPr>
        <w:t>focus</w:t>
      </w:r>
      <w:r w:rsidRPr="005D663C">
        <w:rPr>
          <w:rFonts w:ascii="Times New Roman" w:hAnsi="Times New Roman" w:cs="Times New Roman"/>
        </w:rPr>
        <w:t xml:space="preserve"> of macroecological research (Gaston &amp; Blackburn 2000; Gaston et al. 2008). Generally, evidence supports a pattern of increasing body size with increasing absolute latitude and elevation (Blackburn &amp; Ruggiero 2001; Meiri et al. 2007; Meiri 2011). However, notable exceptions also indicate negative relationships between body size and latitude or elevation (Geist 1987; Meiri et al. 2004). Therefore, size patterns may vary depending on the environmental or taxonomic context considered and thus warrant broad investigation to synthesize patterns and drivers among ecological contexts (Watt et al. 2010; Olalla-Tárraga 2011).</w:t>
      </w:r>
    </w:p>
    <w:p w14:paraId="36F5C389" w14:textId="77777777" w:rsidR="005D663C" w:rsidRPr="005D663C" w:rsidRDefault="005D663C" w:rsidP="00D512FC">
      <w:pPr>
        <w:ind w:firstLine="720"/>
        <w:jc w:val="both"/>
        <w:rPr>
          <w:rFonts w:ascii="Times New Roman" w:hAnsi="Times New Roman" w:cs="Times New Roman"/>
        </w:rPr>
      </w:pPr>
      <w:r w:rsidRPr="005D663C">
        <w:rPr>
          <w:rFonts w:ascii="Times New Roman" w:hAnsi="Times New Roman" w:cs="Times New Roman"/>
        </w:rPr>
        <w:t xml:space="preserve">Many, potentially interacting, proximate drivers mediate indirect latitudinal and elevational (hereafter, ‘geographic’) size patterns. Larger-bodied organisms may require greater local habitat areas which can explain poleward increases in body size in the Northern hemisphere (Hawkins &amp; Diniz-filho 2006; Rodríguez et al. 2008). But local habitat areas decrease at higher elevations, thus predicting inverse relationships between size and elevation if this area mechanism is invoked. Higher ecosystem productivity may relax energetic constraints on maximum achievable size, therefore larger sizes can be </w:t>
      </w:r>
      <w:r w:rsidRPr="005D663C">
        <w:rPr>
          <w:rFonts w:ascii="Times New Roman" w:hAnsi="Times New Roman" w:cs="Times New Roman"/>
        </w:rPr>
        <w:lastRenderedPageBreak/>
        <w:t>expected in more productive lower latitudes or elevations (Rosenzweig 1968). In contrast, larger-bodied organisms may be more resistant to starvation in less productive environments which would predict indirect positive relationships between size and latitude or elevation (Lindstedt &amp; Boyce 1985). Reduced growing seasons in more seasonal environments can limit development time which predicts indirect negative relationships between size and latitude or elevation (Mousseau 1997). Finally, larger body sizes may be advantageous in colder environments owed to greater mass-specific heat retention abilities which can predict positive patterns between size and latitude or elevation (Freckleton et al. 2003; Rodríguez et al. 2008; Blanchet et al. 2010; Brehm et al. 2018).</w:t>
      </w:r>
    </w:p>
    <w:p w14:paraId="0D5B2834" w14:textId="77777777" w:rsidR="005D663C" w:rsidRPr="005D663C" w:rsidRDefault="005D663C" w:rsidP="00D512FC">
      <w:pPr>
        <w:ind w:firstLine="720"/>
        <w:jc w:val="both"/>
        <w:rPr>
          <w:rFonts w:ascii="Times New Roman" w:hAnsi="Times New Roman" w:cs="Times New Roman"/>
        </w:rPr>
      </w:pPr>
      <w:r w:rsidRPr="005D663C">
        <w:rPr>
          <w:rFonts w:ascii="Times New Roman" w:hAnsi="Times New Roman" w:cs="Times New Roman"/>
        </w:rPr>
        <w:t xml:space="preserve">Body size patterns and drivers are particularly well-researched in terrestrial endotherms, especially for birds (Blackburn &amp; Gaston 1996; Yom-Tov 2001; Ashton 2002; Meiri &amp; Dayan 2003) and mammals (Ashton &amp; Queiroz 2000; Freckleton et al. 2003; Rodríguez et al. 2008). However, size patterns in ectothermic organisms are also noteworthy because these species represent a disproportionate portion of Earth’s biodiversity and may be more threatened by global change, relative to endotherms (Daufresne et al. 2009). Mechanisms underpinning ectothermic body size patterns may also differ from those established for endotherms (Zamora-Camacho et al. 2014). For example, a heat conservation mechanism cannot explain inverse relationships between body size and temperature in thermoconforming ectotherms. Instead, larger-bodied ectotherms may exhibit a greater thermal inertia than smaller-bodied species and may thus be better adapted to seasonal environments (Rohr et al. 2018). Ectothermic species with lower thermal limits may also exhibit counter-gradient growth (i.e., higher growth rates at higher latitudes) which could underlie inverse temperature-mass relationships in these taxa (Rypel 2014). </w:t>
      </w:r>
    </w:p>
    <w:p w14:paraId="7D2206AA" w14:textId="77777777" w:rsidR="005D663C" w:rsidRPr="005D663C" w:rsidRDefault="005D663C" w:rsidP="00D512FC">
      <w:pPr>
        <w:ind w:firstLine="720"/>
        <w:jc w:val="both"/>
        <w:rPr>
          <w:rFonts w:ascii="Times New Roman" w:hAnsi="Times New Roman" w:cs="Times New Roman"/>
        </w:rPr>
      </w:pPr>
      <w:r w:rsidRPr="005D663C">
        <w:rPr>
          <w:rFonts w:ascii="Times New Roman" w:hAnsi="Times New Roman" w:cs="Times New Roman"/>
        </w:rPr>
        <w:t>One group of ectothermic organisms whose macroecological body size patterns warrant further investigation is freshwater fishes. These taxa are an interesting study system owed to their remarkable biodiversity and substantial body size variation (Dudgeon et al. 2006). Prior research on size patterns for these species is inconclusive, perhaps owed to methodology discrepancies among studies. First, studies use differing biological scales to aggregate size and evaluate patterns, including assemblages (Knouft 2004; Blanchet et al. 2010; Griffiths 2013), species or higher taxonomic rank (e.g., family; Lindsey 1966), and populations (e.g., intraspecific; Belk &amp; Houston 2002; Rypel 2014). These varying biological scales make it difficult to synthesize findings among studies. Second, size patterns are often investigated without consideration of proximate drivers that underlie them (Shelomi 2012). Robust analyses of size patterns for freshwater fishes should account for proximate drivers, especially those which are unique to the environmental context considered (e.g., streamflow). Finally, studies often base size patterns on literature estimates of species maximum total length (Blanchet et al. 2010; Griffiths 2013), but individual mass data may provide more rigorous assessments of body size.</w:t>
      </w:r>
    </w:p>
    <w:p w14:paraId="73FD175F" w14:textId="037A9A65" w:rsidR="007C4379" w:rsidRPr="00DF7C87" w:rsidRDefault="005D663C" w:rsidP="00D512FC">
      <w:pPr>
        <w:ind w:firstLine="720"/>
        <w:jc w:val="both"/>
        <w:rPr>
          <w:rFonts w:ascii="Times New Roman" w:hAnsi="Times New Roman" w:cs="Times New Roman"/>
        </w:rPr>
      </w:pPr>
      <w:r w:rsidRPr="005D663C">
        <w:rPr>
          <w:rFonts w:ascii="Times New Roman" w:hAnsi="Times New Roman" w:cs="Times New Roman"/>
        </w:rPr>
        <w:t xml:space="preserve">Here, we seek to narrow these prior shortcomings with a robust assessment of macroecological body size patterns in contiguous United States (CONUS) riverine fishes. We do so with a comprehensive, standardized individual body size dataset to examine geographic patterns and underlying proximate drivers of mass across biological scales. We ask the following questions at the assemblage, species, and population scales: (1) how does body size vary along geographic (latitude and elevation) gradients, (2) what proximate </w:t>
      </w:r>
      <w:r w:rsidRPr="005D663C">
        <w:rPr>
          <w:rFonts w:ascii="Times New Roman" w:hAnsi="Times New Roman" w:cs="Times New Roman"/>
        </w:rPr>
        <w:lastRenderedPageBreak/>
        <w:t>environmental drivers underlie body size patterns, (3) do thermal mechanisms explain these relationships, and (4) after controlling for proximate drivers and thermal mechanisms, is there evidence for additional factors or mechanisms contributing to geographic size patterns?</w:t>
      </w:r>
    </w:p>
    <w:p w14:paraId="14A40DD9" w14:textId="2F3C479F" w:rsidR="007C4379" w:rsidRPr="00082EE5" w:rsidRDefault="007C4379" w:rsidP="00082EE5">
      <w:pPr>
        <w:pStyle w:val="Heading2"/>
        <w:rPr>
          <w:rFonts w:ascii="Times New Roman" w:hAnsi="Times New Roman" w:cs="Times New Roman"/>
          <w:sz w:val="24"/>
          <w:szCs w:val="24"/>
        </w:rPr>
      </w:pPr>
      <w:bookmarkStart w:id="89" w:name="_Toc100607918"/>
      <w:r>
        <w:rPr>
          <w:rFonts w:ascii="Times New Roman" w:hAnsi="Times New Roman" w:cs="Times New Roman"/>
          <w:sz w:val="24"/>
          <w:szCs w:val="24"/>
        </w:rPr>
        <w:t>Methods</w:t>
      </w:r>
      <w:bookmarkEnd w:id="89"/>
    </w:p>
    <w:p w14:paraId="74B40CCE" w14:textId="15F8DCF0" w:rsidR="007C4379" w:rsidRDefault="007C4379" w:rsidP="007C4379">
      <w:pPr>
        <w:pStyle w:val="Heading3"/>
        <w:rPr>
          <w:rFonts w:ascii="Times New Roman" w:hAnsi="Times New Roman" w:cs="Times New Roman"/>
          <w:szCs w:val="24"/>
        </w:rPr>
      </w:pPr>
      <w:bookmarkStart w:id="90" w:name="_Toc100607919"/>
      <w:r>
        <w:rPr>
          <w:rFonts w:ascii="Times New Roman" w:hAnsi="Times New Roman" w:cs="Times New Roman"/>
          <w:szCs w:val="24"/>
        </w:rPr>
        <w:t>Data collection</w:t>
      </w:r>
      <w:bookmarkEnd w:id="90"/>
    </w:p>
    <w:p w14:paraId="0740B191" w14:textId="2179AA92" w:rsidR="00251718" w:rsidRPr="00251718" w:rsidRDefault="00251718" w:rsidP="00251718">
      <w:pPr>
        <w:pStyle w:val="Heading3"/>
        <w:rPr>
          <w:rFonts w:ascii="Times New Roman" w:hAnsi="Times New Roman" w:cs="Times New Roman"/>
          <w:szCs w:val="24"/>
        </w:rPr>
      </w:pPr>
      <w:bookmarkStart w:id="91" w:name="_Toc100607920"/>
      <w:r>
        <w:rPr>
          <w:rFonts w:ascii="Times New Roman" w:hAnsi="Times New Roman" w:cs="Times New Roman"/>
          <w:szCs w:val="24"/>
        </w:rPr>
        <w:t>Fish dataset cleaning and preparation</w:t>
      </w:r>
      <w:bookmarkEnd w:id="91"/>
    </w:p>
    <w:p w14:paraId="4C9D6D98" w14:textId="77777777"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t>We obtained fish data from the US Geologic Survey’s National Water-Quality Assessment (NAWQA; &lt; https://aquatic.biodata.usgs.gov/ &gt;). This program collects a representative sample of ichthyofauna at a given site in which species relative abundances reflect the actual relative abundances in the community (Moulton II et al. 2002). The data generated from this program is uniquely pertinent for examining patterns in size because it aims to characterize the body size distribution of each species in an assemblage by recording individual body length [total length (TL; mm)] and mass (g) of individual fish. All individuals of a species were measured if the sample comprised 30 or fewer individuals; for species with &gt;30 individuals, 30 individuals representing the range of body lengths present in the sample were measured. This dataset therefore provides a standardized and accurate sample of body sizes within each assemblage, thus allowing comparisons across different species and locations. We removed records that lacked mass measurements and removed sampling events (</w:t>
      </w:r>
      <w:r w:rsidRPr="00F62030">
        <w:rPr>
          <w:rFonts w:ascii="Times New Roman" w:hAnsi="Times New Roman" w:cs="Times New Roman"/>
          <w:i/>
          <w:iCs/>
        </w:rPr>
        <w:t>n</w:t>
      </w:r>
      <w:r w:rsidRPr="00251718">
        <w:rPr>
          <w:rFonts w:ascii="Times New Roman" w:hAnsi="Times New Roman" w:cs="Times New Roman"/>
        </w:rPr>
        <w:t xml:space="preserve"> = 19) where size measures were submitted in aggregate among many individuals for at least one species. This occurred when small (&lt; 1.0 g) individuals of a species were measured collectively (Moulton II et al. 2002). This step was necessary because aggregated mass measures would bias our estimates of body size statistics from individual-level data (see ‘dataset aggregation and filtering’).</w:t>
      </w:r>
    </w:p>
    <w:p w14:paraId="4E823F74" w14:textId="4C688664"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t xml:space="preserve">We georeferenced NAQWA sites to stream reaches using the National Hydrography Dataset Version 2 Plus (NHD; McKay et al. 2012) accessed in the ‘nhdR’ R package (Stachelek 2019; R Core Team 2020; Fig. 1a). We removed sites on artificial stream segments (e.g., canals or ditches; Giam and Olden 2016) and referenced reaches to Watershed Boundary Dataset (USGS 2012) regions [2-digit hydrologic unit (HU2)] and basins [8-digit hydrologic unit (HU8)]. To prevent pseudoreplication, we kept only the most recent NAWQA survey from each stream reach. To minimize potential biases from sampling efficacy and selectivity of different gear types, we omitted surveys sampled by boat electrofishing in nonwadeable streams (Fig. </w:t>
      </w:r>
      <w:r w:rsidR="00F62030">
        <w:rPr>
          <w:rFonts w:ascii="Times New Roman" w:hAnsi="Times New Roman" w:cs="Times New Roman"/>
        </w:rPr>
        <w:t>2</w:t>
      </w:r>
      <w:r w:rsidRPr="00251718">
        <w:rPr>
          <w:rFonts w:ascii="Times New Roman" w:hAnsi="Times New Roman" w:cs="Times New Roman"/>
        </w:rPr>
        <w:t xml:space="preserve">1a). </w:t>
      </w:r>
      <w:r w:rsidR="00A849F3">
        <w:rPr>
          <w:rFonts w:ascii="Times New Roman" w:hAnsi="Times New Roman" w:cs="Times New Roman"/>
        </w:rPr>
        <w:t xml:space="preserve">Although this approach may omit the largest individuals in nonwadeable streams, </w:t>
      </w:r>
      <w:r w:rsidR="004C7D8B">
        <w:rPr>
          <w:rFonts w:ascii="Times New Roman" w:hAnsi="Times New Roman" w:cs="Times New Roman"/>
        </w:rPr>
        <w:t xml:space="preserve">boat electrofishing may not </w:t>
      </w:r>
      <w:r w:rsidR="00810227">
        <w:rPr>
          <w:rFonts w:ascii="Times New Roman" w:hAnsi="Times New Roman" w:cs="Times New Roman"/>
        </w:rPr>
        <w:t>adequately provide area-standardized,</w:t>
      </w:r>
      <w:r w:rsidR="004C7D8B">
        <w:rPr>
          <w:rFonts w:ascii="Times New Roman" w:hAnsi="Times New Roman" w:cs="Times New Roman"/>
        </w:rPr>
        <w:t xml:space="preserve"> representative samples of nonwadeable fish communities</w:t>
      </w:r>
      <w:r w:rsidR="00810227">
        <w:rPr>
          <w:rFonts w:ascii="Times New Roman" w:hAnsi="Times New Roman" w:cs="Times New Roman"/>
        </w:rPr>
        <w:t xml:space="preserve"> (</w:t>
      </w:r>
      <w:r w:rsidR="00810227" w:rsidRPr="00251718">
        <w:rPr>
          <w:rFonts w:ascii="Times New Roman" w:hAnsi="Times New Roman" w:cs="Times New Roman"/>
        </w:rPr>
        <w:t>Moulton II et al. 2002</w:t>
      </w:r>
      <w:r w:rsidR="00810227">
        <w:rPr>
          <w:rFonts w:ascii="Times New Roman" w:hAnsi="Times New Roman" w:cs="Times New Roman"/>
        </w:rPr>
        <w:t>)</w:t>
      </w:r>
      <w:r w:rsidR="004C7D8B">
        <w:rPr>
          <w:rFonts w:ascii="Times New Roman" w:hAnsi="Times New Roman" w:cs="Times New Roman"/>
        </w:rPr>
        <w:t>. Therefore, t</w:t>
      </w:r>
      <w:r w:rsidRPr="00251718">
        <w:rPr>
          <w:rFonts w:ascii="Times New Roman" w:hAnsi="Times New Roman" w:cs="Times New Roman"/>
        </w:rPr>
        <w:t xml:space="preserve">he remaining survey methods consisted of any combination of backpack electrofishing, towed barge, and seining methods along a specified length of stream reach and therefore represent area-standardized sampling methods in wadeable streams. </w:t>
      </w:r>
    </w:p>
    <w:p w14:paraId="24C12802" w14:textId="77777777" w:rsidR="00F62030" w:rsidRDefault="00F62030">
      <w:pPr>
        <w:rPr>
          <w:rFonts w:ascii="Times New Roman" w:hAnsi="Times New Roman" w:cs="Times New Roman"/>
        </w:rPr>
      </w:pPr>
      <w:r>
        <w:rPr>
          <w:rFonts w:ascii="Times New Roman" w:hAnsi="Times New Roman" w:cs="Times New Roman"/>
        </w:rPr>
        <w:br w:type="page"/>
      </w:r>
    </w:p>
    <w:p w14:paraId="252B4C1C" w14:textId="77777777" w:rsidR="00F62030" w:rsidRDefault="00F62030">
      <w:pPr>
        <w:rPr>
          <w:rFonts w:ascii="Times New Roman" w:hAnsi="Times New Roman" w:cs="Times New Roman"/>
        </w:rPr>
      </w:pPr>
      <w:r>
        <w:rPr>
          <w:noProof/>
        </w:rPr>
        <w:lastRenderedPageBreak/>
        <w:drawing>
          <wp:inline distT="0" distB="0" distL="0" distR="0" wp14:anchorId="7528071E" wp14:editId="0565A503">
            <wp:extent cx="5441159" cy="5886450"/>
            <wp:effectExtent l="0" t="0" r="762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52162" cy="5898353"/>
                    </a:xfrm>
                    <a:prstGeom prst="rect">
                      <a:avLst/>
                    </a:prstGeom>
                  </pic:spPr>
                </pic:pic>
              </a:graphicData>
            </a:graphic>
          </wp:inline>
        </w:drawing>
      </w:r>
    </w:p>
    <w:p w14:paraId="47E8B905" w14:textId="77777777" w:rsidR="00B71943" w:rsidRDefault="00B71943" w:rsidP="00F62030">
      <w:pPr>
        <w:jc w:val="both"/>
        <w:rPr>
          <w:rFonts w:ascii="Times New Roman" w:hAnsi="Times New Roman" w:cs="Times New Roman"/>
          <w:b/>
          <w:bCs/>
        </w:rPr>
      </w:pPr>
    </w:p>
    <w:p w14:paraId="0913A338" w14:textId="567B012B" w:rsidR="00F62030" w:rsidRDefault="00F62030" w:rsidP="00F62030">
      <w:pPr>
        <w:jc w:val="both"/>
        <w:rPr>
          <w:rFonts w:ascii="Times New Roman" w:hAnsi="Times New Roman" w:cs="Times New Roman"/>
        </w:rPr>
      </w:pPr>
      <w:bookmarkStart w:id="92" w:name="_Toc100607950"/>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21</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3A0E8D">
        <w:rPr>
          <w:rFonts w:ascii="Times New Roman" w:hAnsi="Times New Roman" w:cs="Times New Roman"/>
          <w:b/>
          <w:bCs/>
          <w:iCs/>
        </w:rPr>
        <w:t>Methods flowchart.</w:t>
      </w:r>
      <w:r>
        <w:rPr>
          <w:rFonts w:ascii="Times New Roman" w:hAnsi="Times New Roman" w:cs="Times New Roman"/>
          <w:iCs/>
        </w:rPr>
        <w:t xml:space="preserve"> A visual summary of methods for a) fish dataset cleaning and preparation, b) data collection of proximate drivers, c) dataset aggregation and filtering, and d) data analysis as described in the main text. In c) colors represent different species and indicate how our individual mass dataset and environmental datasets were aggregated for differing biological scales of analysis.</w:t>
      </w:r>
      <w:bookmarkEnd w:id="92"/>
    </w:p>
    <w:p w14:paraId="2BE11A59" w14:textId="73CD470A" w:rsidR="00F62030" w:rsidRDefault="00F62030">
      <w:pPr>
        <w:rPr>
          <w:rFonts w:ascii="Times New Roman" w:hAnsi="Times New Roman" w:cs="Times New Roman"/>
        </w:rPr>
      </w:pPr>
      <w:r>
        <w:rPr>
          <w:rFonts w:ascii="Times New Roman" w:hAnsi="Times New Roman" w:cs="Times New Roman"/>
        </w:rPr>
        <w:br w:type="page"/>
      </w:r>
    </w:p>
    <w:p w14:paraId="75C919CE" w14:textId="48070680"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lastRenderedPageBreak/>
        <w:t xml:space="preserve">We standardized taxonomy to valid species names in the Integrated Taxonomic Information System with the ‘ritis’ package (Chamberlain 2021) and removed occurrences without species-level identifications (Fig. </w:t>
      </w:r>
      <w:r w:rsidR="00F62030">
        <w:rPr>
          <w:rFonts w:ascii="Times New Roman" w:hAnsi="Times New Roman" w:cs="Times New Roman"/>
        </w:rPr>
        <w:t>2</w:t>
      </w:r>
      <w:r w:rsidRPr="00251718">
        <w:rPr>
          <w:rFonts w:ascii="Times New Roman" w:hAnsi="Times New Roman" w:cs="Times New Roman"/>
        </w:rPr>
        <w:t>1a). We referenced species to a ray-finned fish phylogeny in the ‘fishtree’ package (Rabosky et al. 2018; Chang et al. 2019) and removed species not found in the phylogeny (</w:t>
      </w:r>
      <w:r w:rsidRPr="00F62030">
        <w:rPr>
          <w:rFonts w:ascii="Times New Roman" w:hAnsi="Times New Roman" w:cs="Times New Roman"/>
          <w:i/>
          <w:iCs/>
        </w:rPr>
        <w:t>n</w:t>
      </w:r>
      <w:r w:rsidRPr="00251718">
        <w:rPr>
          <w:rFonts w:ascii="Times New Roman" w:hAnsi="Times New Roman" w:cs="Times New Roman"/>
        </w:rPr>
        <w:t xml:space="preserve"> = 26 out of 388). These species were either beyond the scope of the phylogeny (e.g., lampreys, class Cephalaspidomorphi; </w:t>
      </w:r>
      <w:r w:rsidRPr="00F62030">
        <w:rPr>
          <w:rFonts w:ascii="Times New Roman" w:hAnsi="Times New Roman" w:cs="Times New Roman"/>
          <w:i/>
          <w:iCs/>
        </w:rPr>
        <w:t>n</w:t>
      </w:r>
      <w:r w:rsidRPr="00251718">
        <w:rPr>
          <w:rFonts w:ascii="Times New Roman" w:hAnsi="Times New Roman" w:cs="Times New Roman"/>
        </w:rPr>
        <w:t xml:space="preserve"> = 13 species) or from speciose families well-represented in our analysis (e.g., Cyprinidae, Catostomidae; n = 13 species). Therefore, removal of these occurrences was unlikely to influence our analysis.</w:t>
      </w:r>
    </w:p>
    <w:p w14:paraId="3EEFFDC8" w14:textId="50912AF3"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t xml:space="preserve">We assigned native status (‘native’ or ‘introduced’) to each occurrence at the basin (HU8) scale using the NatureServe native fish distribution (NatureServe 2010) and US Geological Survey Nonindigenous Aquatic Species (NAS; U.S. Geological Survey 2019) databases (Fig. </w:t>
      </w:r>
      <w:r w:rsidR="00F62030">
        <w:rPr>
          <w:rFonts w:ascii="Times New Roman" w:hAnsi="Times New Roman" w:cs="Times New Roman"/>
        </w:rPr>
        <w:t>2</w:t>
      </w:r>
      <w:r w:rsidRPr="00251718">
        <w:rPr>
          <w:rFonts w:ascii="Times New Roman" w:hAnsi="Times New Roman" w:cs="Times New Roman"/>
        </w:rPr>
        <w:t>1a). The NatureServe dataset contains distribution data for native (i.e., species native to the US) freshwater fish species at the HU8 scale. NAS contains data on introduced (native transplant and exotic) aquatic species occurrences from site (i.e., coordinates of introductions) to HU2 (i.e., regional introduced species lists) scales. First, we queried NAS and the NatureServe datasets to label species (</w:t>
      </w:r>
      <w:r w:rsidRPr="00F62030">
        <w:rPr>
          <w:rFonts w:ascii="Times New Roman" w:hAnsi="Times New Roman" w:cs="Times New Roman"/>
          <w:i/>
          <w:iCs/>
        </w:rPr>
        <w:t>n</w:t>
      </w:r>
      <w:r w:rsidRPr="00251718">
        <w:rPr>
          <w:rFonts w:ascii="Times New Roman" w:hAnsi="Times New Roman" w:cs="Times New Roman"/>
        </w:rPr>
        <w:t xml:space="preserve"> = 362) as ‘native’ (native to all basins in the US), ‘native transplant’ (native to the US, but introduced in at least one basin), or ‘exotic’ (introduced in all US basins of occurrence). Next, for species found in the NatureServe database (</w:t>
      </w:r>
      <w:r w:rsidRPr="00F62030">
        <w:rPr>
          <w:rFonts w:ascii="Times New Roman" w:hAnsi="Times New Roman" w:cs="Times New Roman"/>
          <w:i/>
          <w:iCs/>
        </w:rPr>
        <w:t>n</w:t>
      </w:r>
      <w:r w:rsidRPr="00251718">
        <w:rPr>
          <w:rFonts w:ascii="Times New Roman" w:hAnsi="Times New Roman" w:cs="Times New Roman"/>
        </w:rPr>
        <w:t xml:space="preserve"> = 352), we georeferenced coordinates to species’ distributions and labelled these occurrences as native to the basin, or unknown (i.e., an occurrence beyond the extent of the NatureServe native range for that species). For the latter, we assumed unknown occurrences for native species were native and those for native transplants were introduced. For those species not in the NatureServe dataset (</w:t>
      </w:r>
      <w:r w:rsidRPr="00F62030">
        <w:rPr>
          <w:rFonts w:ascii="Times New Roman" w:hAnsi="Times New Roman" w:cs="Times New Roman"/>
          <w:i/>
          <w:iCs/>
        </w:rPr>
        <w:t>n</w:t>
      </w:r>
      <w:r w:rsidRPr="00251718">
        <w:rPr>
          <w:rFonts w:ascii="Times New Roman" w:hAnsi="Times New Roman" w:cs="Times New Roman"/>
        </w:rPr>
        <w:t xml:space="preserve"> = 10), we assigned all occurrences for exotic species (</w:t>
      </w:r>
      <w:r w:rsidRPr="00F62030">
        <w:rPr>
          <w:rFonts w:ascii="Times New Roman" w:hAnsi="Times New Roman" w:cs="Times New Roman"/>
          <w:i/>
          <w:iCs/>
        </w:rPr>
        <w:t>n</w:t>
      </w:r>
      <w:r w:rsidRPr="00251718">
        <w:rPr>
          <w:rFonts w:ascii="Times New Roman" w:hAnsi="Times New Roman" w:cs="Times New Roman"/>
        </w:rPr>
        <w:t xml:space="preserve"> = 3) as introduced and further queried NAS to label the remaining species occurrences as native or introduced at the HU8 scale.</w:t>
      </w:r>
    </w:p>
    <w:p w14:paraId="19EFE9F3" w14:textId="6C298CEF" w:rsidR="007C4379" w:rsidRPr="00DF7C87" w:rsidRDefault="00251718" w:rsidP="00D512FC">
      <w:pPr>
        <w:ind w:firstLine="720"/>
        <w:jc w:val="both"/>
        <w:rPr>
          <w:rFonts w:ascii="Times New Roman" w:hAnsi="Times New Roman" w:cs="Times New Roman"/>
        </w:rPr>
      </w:pPr>
      <w:r w:rsidRPr="00251718">
        <w:rPr>
          <w:rFonts w:ascii="Times New Roman" w:hAnsi="Times New Roman" w:cs="Times New Roman"/>
        </w:rPr>
        <w:t xml:space="preserve">We collected data on species critical thermal maxima (CTmax) to assess thermal mechanisms underlying body size patterns (Fig. </w:t>
      </w:r>
      <w:r w:rsidR="00F62030">
        <w:rPr>
          <w:rFonts w:ascii="Times New Roman" w:hAnsi="Times New Roman" w:cs="Times New Roman"/>
        </w:rPr>
        <w:t>2</w:t>
      </w:r>
      <w:r w:rsidRPr="00251718">
        <w:rPr>
          <w:rFonts w:ascii="Times New Roman" w:hAnsi="Times New Roman" w:cs="Times New Roman"/>
        </w:rPr>
        <w:t>1a). We used an extensive dataset of modelled CTmax for marine and freshwater fishes from Comte &amp; Olden (2017) and restricted this dataset to freshwater fishes found in the ‘fishtree’ phylogenetic dataset (</w:t>
      </w:r>
      <w:r w:rsidRPr="00F62030">
        <w:rPr>
          <w:rFonts w:ascii="Times New Roman" w:hAnsi="Times New Roman" w:cs="Times New Roman"/>
          <w:i/>
          <w:iCs/>
        </w:rPr>
        <w:t>n</w:t>
      </w:r>
      <w:r w:rsidRPr="00251718">
        <w:rPr>
          <w:rFonts w:ascii="Times New Roman" w:hAnsi="Times New Roman" w:cs="Times New Roman"/>
        </w:rPr>
        <w:t xml:space="preserve"> = 2169). We found high phylogenetic correlation in CTmax values for these species (Pagel’s λ = 0.97, </w:t>
      </w:r>
      <w:r w:rsidRPr="00555570">
        <w:rPr>
          <w:rFonts w:ascii="Times New Roman" w:hAnsi="Times New Roman" w:cs="Times New Roman"/>
          <w:i/>
          <w:iCs/>
        </w:rPr>
        <w:t>p</w:t>
      </w:r>
      <w:r w:rsidRPr="00251718">
        <w:rPr>
          <w:rFonts w:ascii="Times New Roman" w:hAnsi="Times New Roman" w:cs="Times New Roman"/>
        </w:rPr>
        <w:t xml:space="preserve"> &lt; 0.001). Therefore, we used the ‘Rphylopars’ package (Goolsby et al. 2017, 2021) and performed phylogenetic imputation based on ancestral reconstruction for species in our dataset not found in the CTmax dataset (</w:t>
      </w:r>
      <w:r w:rsidRPr="00555570">
        <w:rPr>
          <w:rFonts w:ascii="Times New Roman" w:hAnsi="Times New Roman" w:cs="Times New Roman"/>
          <w:i/>
          <w:iCs/>
        </w:rPr>
        <w:t>n</w:t>
      </w:r>
      <w:r w:rsidRPr="00251718">
        <w:rPr>
          <w:rFonts w:ascii="Times New Roman" w:hAnsi="Times New Roman" w:cs="Times New Roman"/>
        </w:rPr>
        <w:t xml:space="preserve"> = 51). This is an appropriate method for phylogenetic imputation of traits with strong phylogenetic signal (Johnson et al. 2021)</w:t>
      </w:r>
      <w:r w:rsidR="007C4379" w:rsidRPr="001E2792">
        <w:rPr>
          <w:rFonts w:ascii="Times New Roman" w:hAnsi="Times New Roman" w:cs="Times New Roman"/>
        </w:rPr>
        <w:t>.</w:t>
      </w:r>
    </w:p>
    <w:p w14:paraId="51ABD435" w14:textId="0CE52905" w:rsidR="00251718" w:rsidRPr="00251718" w:rsidRDefault="00251718" w:rsidP="00251718">
      <w:pPr>
        <w:pStyle w:val="Heading3"/>
        <w:rPr>
          <w:rFonts w:ascii="Times New Roman" w:hAnsi="Times New Roman" w:cs="Times New Roman"/>
          <w:szCs w:val="24"/>
        </w:rPr>
      </w:pPr>
      <w:bookmarkStart w:id="93" w:name="_Toc100607921"/>
      <w:r>
        <w:rPr>
          <w:rFonts w:ascii="Times New Roman" w:hAnsi="Times New Roman" w:cs="Times New Roman"/>
          <w:szCs w:val="24"/>
        </w:rPr>
        <w:t>Proximate drivers</w:t>
      </w:r>
      <w:bookmarkEnd w:id="93"/>
    </w:p>
    <w:p w14:paraId="0EE04EDB" w14:textId="4E742A2F"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t>We formulated hypothesized geographic patterns and proximate drivers of riverine fish body size based on a review of literature and a priori knowledge of riverine ecosystems (Table 1</w:t>
      </w:r>
      <w:r w:rsidR="00555570">
        <w:rPr>
          <w:rFonts w:ascii="Times New Roman" w:hAnsi="Times New Roman" w:cs="Times New Roman"/>
        </w:rPr>
        <w:t>2</w:t>
      </w:r>
      <w:r w:rsidRPr="00251718">
        <w:rPr>
          <w:rFonts w:ascii="Times New Roman" w:hAnsi="Times New Roman" w:cs="Times New Roman"/>
        </w:rPr>
        <w:t>). We identified proximate drivers of geographic patterns in body size as: anthropogenic factors, area, climate, productivity, and seasonality. Therefore, we collected information to summarize these aspects in riverine environments at the stream reach and associated catchment (terrestrial area directly draining into a reach) or watershed (upstream accumulated terrestrial catchments for a given reach) scales.</w:t>
      </w:r>
    </w:p>
    <w:p w14:paraId="1048812B" w14:textId="105DF9DC" w:rsidR="00555570" w:rsidRDefault="00555570" w:rsidP="00122678">
      <w:pPr>
        <w:jc w:val="both"/>
        <w:rPr>
          <w:rFonts w:ascii="Times New Roman" w:hAnsi="Times New Roman" w:cs="Times New Roman"/>
        </w:rPr>
      </w:pPr>
      <w:bookmarkStart w:id="94" w:name="_Toc93411183"/>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12</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ED5A04">
        <w:rPr>
          <w:rFonts w:ascii="Times New Roman" w:hAnsi="Times New Roman" w:cs="Times New Roman"/>
          <w:b/>
        </w:rPr>
        <w:t xml:space="preserve">Hypothesized </w:t>
      </w:r>
      <w:r>
        <w:rPr>
          <w:rFonts w:ascii="Times New Roman" w:hAnsi="Times New Roman" w:cs="Times New Roman"/>
          <w:b/>
        </w:rPr>
        <w:t>relationships with</w:t>
      </w:r>
      <w:r w:rsidRPr="00ED5A04">
        <w:rPr>
          <w:rFonts w:ascii="Times New Roman" w:hAnsi="Times New Roman" w:cs="Times New Roman"/>
          <w:b/>
        </w:rPr>
        <w:t xml:space="preserve"> body size.</w:t>
      </w:r>
      <w:r>
        <w:rPr>
          <w:rFonts w:ascii="Times New Roman" w:hAnsi="Times New Roman" w:cs="Times New Roman"/>
        </w:rPr>
        <w:t xml:space="preserve"> For each geographic, proximate, and thermal variable, we provide the abbreviation (following the main text), class of driver (area, anthropogenic, climate, geography, productivity, seasonality, and thermal), predictions (pred.) for the directional effect [(+) increase or (</w:t>
      </w:r>
      <w:r>
        <w:rPr>
          <w:rFonts w:ascii="Times New Roman" w:hAnsi="Times New Roman" w:cs="Times New Roman"/>
          <w:b/>
        </w:rPr>
        <w:t>–</w:t>
      </w:r>
      <w:r>
        <w:rPr>
          <w:rFonts w:ascii="Times New Roman" w:hAnsi="Times New Roman" w:cs="Times New Roman"/>
        </w:rPr>
        <w:t>) decrease] of each variable relative to increasing body size, and a description of our hypotheses from the literature or a priori knowledge of stream systems, with references, if applicable.</w:t>
      </w:r>
      <w:bookmarkEnd w:id="94"/>
    </w:p>
    <w:tbl>
      <w:tblPr>
        <w:tblStyle w:val="TableGrid"/>
        <w:tblW w:w="0" w:type="auto"/>
        <w:jc w:val="center"/>
        <w:tblLook w:val="04A0" w:firstRow="1" w:lastRow="0" w:firstColumn="1" w:lastColumn="0" w:noHBand="0" w:noVBand="1"/>
      </w:tblPr>
      <w:tblGrid>
        <w:gridCol w:w="1937"/>
        <w:gridCol w:w="1390"/>
        <w:gridCol w:w="1656"/>
        <w:gridCol w:w="770"/>
        <w:gridCol w:w="2887"/>
      </w:tblGrid>
      <w:tr w:rsidR="00555570" w:rsidRPr="00405BA5" w14:paraId="7863B1E1" w14:textId="77777777" w:rsidTr="00122678">
        <w:trPr>
          <w:jc w:val="center"/>
        </w:trPr>
        <w:tc>
          <w:tcPr>
            <w:tcW w:w="0" w:type="auto"/>
            <w:tcBorders>
              <w:top w:val="single" w:sz="4" w:space="0" w:color="auto"/>
              <w:left w:val="nil"/>
              <w:bottom w:val="single" w:sz="4" w:space="0" w:color="auto"/>
              <w:right w:val="nil"/>
            </w:tcBorders>
          </w:tcPr>
          <w:p w14:paraId="68655D1E" w14:textId="77777777" w:rsidR="00555570" w:rsidRPr="00405BA5" w:rsidRDefault="00555570" w:rsidP="00555570">
            <w:pPr>
              <w:rPr>
                <w:rFonts w:ascii="Times New Roman" w:hAnsi="Times New Roman" w:cs="Times New Roman"/>
                <w:b/>
                <w:bCs/>
              </w:rPr>
            </w:pPr>
            <w:r w:rsidRPr="00405BA5">
              <w:rPr>
                <w:rFonts w:ascii="Times New Roman" w:hAnsi="Times New Roman" w:cs="Times New Roman"/>
                <w:b/>
                <w:bCs/>
              </w:rPr>
              <w:t>Variable</w:t>
            </w:r>
          </w:p>
        </w:tc>
        <w:tc>
          <w:tcPr>
            <w:tcW w:w="0" w:type="auto"/>
            <w:tcBorders>
              <w:top w:val="single" w:sz="4" w:space="0" w:color="auto"/>
              <w:left w:val="nil"/>
              <w:bottom w:val="single" w:sz="4" w:space="0" w:color="auto"/>
              <w:right w:val="nil"/>
            </w:tcBorders>
          </w:tcPr>
          <w:p w14:paraId="13B24269" w14:textId="77777777" w:rsidR="00555570" w:rsidRPr="00405BA5" w:rsidRDefault="00555570" w:rsidP="00555570">
            <w:pPr>
              <w:rPr>
                <w:rFonts w:ascii="Times New Roman" w:hAnsi="Times New Roman" w:cs="Times New Roman"/>
                <w:b/>
                <w:bCs/>
              </w:rPr>
            </w:pPr>
            <w:r w:rsidRPr="00405BA5">
              <w:rPr>
                <w:rFonts w:ascii="Times New Roman" w:hAnsi="Times New Roman" w:cs="Times New Roman"/>
                <w:b/>
                <w:bCs/>
              </w:rPr>
              <w:t>Abbrev.</w:t>
            </w:r>
          </w:p>
        </w:tc>
        <w:tc>
          <w:tcPr>
            <w:tcW w:w="0" w:type="auto"/>
            <w:tcBorders>
              <w:top w:val="single" w:sz="4" w:space="0" w:color="auto"/>
              <w:left w:val="nil"/>
              <w:bottom w:val="single" w:sz="4" w:space="0" w:color="auto"/>
              <w:right w:val="nil"/>
            </w:tcBorders>
          </w:tcPr>
          <w:p w14:paraId="38AA68F2" w14:textId="77777777" w:rsidR="00555570" w:rsidRPr="00405BA5" w:rsidRDefault="00555570" w:rsidP="00555570">
            <w:pPr>
              <w:rPr>
                <w:rFonts w:ascii="Times New Roman" w:hAnsi="Times New Roman" w:cs="Times New Roman"/>
                <w:b/>
                <w:bCs/>
              </w:rPr>
            </w:pPr>
            <w:r w:rsidRPr="00405BA5">
              <w:rPr>
                <w:rFonts w:ascii="Times New Roman" w:hAnsi="Times New Roman" w:cs="Times New Roman"/>
                <w:b/>
                <w:bCs/>
              </w:rPr>
              <w:t>Class</w:t>
            </w:r>
          </w:p>
        </w:tc>
        <w:tc>
          <w:tcPr>
            <w:tcW w:w="0" w:type="auto"/>
            <w:tcBorders>
              <w:top w:val="single" w:sz="4" w:space="0" w:color="auto"/>
              <w:left w:val="nil"/>
              <w:bottom w:val="single" w:sz="4" w:space="0" w:color="auto"/>
              <w:right w:val="nil"/>
            </w:tcBorders>
          </w:tcPr>
          <w:p w14:paraId="7C88EB98" w14:textId="77777777" w:rsidR="00555570" w:rsidRPr="00405BA5" w:rsidRDefault="00555570" w:rsidP="00555570">
            <w:pPr>
              <w:rPr>
                <w:rFonts w:ascii="Times New Roman" w:hAnsi="Times New Roman" w:cs="Times New Roman"/>
                <w:b/>
                <w:bCs/>
              </w:rPr>
            </w:pPr>
            <w:r w:rsidRPr="00405BA5">
              <w:rPr>
                <w:rFonts w:ascii="Times New Roman" w:hAnsi="Times New Roman" w:cs="Times New Roman"/>
                <w:b/>
                <w:bCs/>
              </w:rPr>
              <w:t>Pred.</w:t>
            </w:r>
          </w:p>
        </w:tc>
        <w:tc>
          <w:tcPr>
            <w:tcW w:w="0" w:type="auto"/>
            <w:tcBorders>
              <w:top w:val="single" w:sz="4" w:space="0" w:color="auto"/>
              <w:left w:val="nil"/>
              <w:bottom w:val="single" w:sz="4" w:space="0" w:color="auto"/>
              <w:right w:val="nil"/>
            </w:tcBorders>
          </w:tcPr>
          <w:p w14:paraId="2BC324B3" w14:textId="77777777" w:rsidR="00555570" w:rsidRPr="00405BA5" w:rsidRDefault="00555570" w:rsidP="00555570">
            <w:pPr>
              <w:rPr>
                <w:rFonts w:ascii="Times New Roman" w:hAnsi="Times New Roman" w:cs="Times New Roman"/>
                <w:b/>
                <w:bCs/>
              </w:rPr>
            </w:pPr>
            <w:r w:rsidRPr="00405BA5">
              <w:rPr>
                <w:rFonts w:ascii="Times New Roman" w:hAnsi="Times New Roman" w:cs="Times New Roman"/>
                <w:b/>
                <w:bCs/>
              </w:rPr>
              <w:t>Description</w:t>
            </w:r>
          </w:p>
        </w:tc>
      </w:tr>
      <w:tr w:rsidR="00555570" w14:paraId="7AA6CDC5" w14:textId="77777777" w:rsidTr="00122678">
        <w:trPr>
          <w:jc w:val="center"/>
        </w:trPr>
        <w:tc>
          <w:tcPr>
            <w:tcW w:w="0" w:type="auto"/>
            <w:tcBorders>
              <w:top w:val="single" w:sz="4" w:space="0" w:color="auto"/>
              <w:left w:val="nil"/>
              <w:bottom w:val="nil"/>
              <w:right w:val="nil"/>
            </w:tcBorders>
          </w:tcPr>
          <w:p w14:paraId="23ABF030" w14:textId="77777777" w:rsidR="00555570" w:rsidRDefault="00555570" w:rsidP="00555570">
            <w:pPr>
              <w:rPr>
                <w:rFonts w:ascii="Times New Roman" w:hAnsi="Times New Roman" w:cs="Times New Roman"/>
              </w:rPr>
            </w:pPr>
            <w:r>
              <w:rPr>
                <w:rFonts w:ascii="Times New Roman" w:hAnsi="Times New Roman" w:cs="Times New Roman"/>
              </w:rPr>
              <w:t>Catchment agricultural land-use</w:t>
            </w:r>
          </w:p>
        </w:tc>
        <w:tc>
          <w:tcPr>
            <w:tcW w:w="0" w:type="auto"/>
            <w:tcBorders>
              <w:top w:val="single" w:sz="4" w:space="0" w:color="auto"/>
              <w:left w:val="nil"/>
              <w:bottom w:val="nil"/>
              <w:right w:val="nil"/>
            </w:tcBorders>
          </w:tcPr>
          <w:p w14:paraId="162A2733" w14:textId="77777777" w:rsidR="00555570" w:rsidRDefault="00555570" w:rsidP="00555570">
            <w:pPr>
              <w:rPr>
                <w:rFonts w:ascii="Times New Roman" w:hAnsi="Times New Roman" w:cs="Times New Roman"/>
              </w:rPr>
            </w:pPr>
            <w:r>
              <w:rPr>
                <w:rFonts w:ascii="Times New Roman" w:hAnsi="Times New Roman" w:cs="Times New Roman"/>
              </w:rPr>
              <w:t>AGRCAT</w:t>
            </w:r>
          </w:p>
        </w:tc>
        <w:tc>
          <w:tcPr>
            <w:tcW w:w="0" w:type="auto"/>
            <w:tcBorders>
              <w:top w:val="single" w:sz="4" w:space="0" w:color="auto"/>
              <w:left w:val="nil"/>
              <w:bottom w:val="nil"/>
              <w:right w:val="nil"/>
            </w:tcBorders>
          </w:tcPr>
          <w:p w14:paraId="6A2E871F" w14:textId="77777777" w:rsidR="00555570" w:rsidRDefault="00555570" w:rsidP="00555570">
            <w:pPr>
              <w:rPr>
                <w:rFonts w:ascii="Times New Roman" w:hAnsi="Times New Roman" w:cs="Times New Roman"/>
              </w:rPr>
            </w:pPr>
            <w:r>
              <w:rPr>
                <w:rFonts w:ascii="Times New Roman" w:hAnsi="Times New Roman" w:cs="Times New Roman"/>
              </w:rPr>
              <w:t>Anthropogenic</w:t>
            </w:r>
          </w:p>
        </w:tc>
        <w:tc>
          <w:tcPr>
            <w:tcW w:w="0" w:type="auto"/>
            <w:tcBorders>
              <w:top w:val="single" w:sz="4" w:space="0" w:color="auto"/>
              <w:left w:val="nil"/>
              <w:bottom w:val="nil"/>
              <w:right w:val="nil"/>
            </w:tcBorders>
          </w:tcPr>
          <w:p w14:paraId="1602A7ED"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vMerge w:val="restart"/>
            <w:tcBorders>
              <w:top w:val="single" w:sz="4" w:space="0" w:color="auto"/>
              <w:left w:val="nil"/>
              <w:bottom w:val="nil"/>
              <w:right w:val="nil"/>
            </w:tcBorders>
          </w:tcPr>
          <w:p w14:paraId="7EF0E5A4" w14:textId="77777777" w:rsidR="00555570" w:rsidRDefault="00555570" w:rsidP="00555570">
            <w:pPr>
              <w:rPr>
                <w:rFonts w:ascii="Times New Roman" w:hAnsi="Times New Roman" w:cs="Times New Roman"/>
              </w:rPr>
            </w:pPr>
            <w:r>
              <w:rPr>
                <w:rFonts w:ascii="Times New Roman" w:hAnsi="Times New Roman" w:cs="Times New Roman"/>
              </w:rPr>
              <w:t>Anthropogenic environments are characterized by larger-bodied generalists</w:t>
            </w:r>
          </w:p>
        </w:tc>
      </w:tr>
      <w:tr w:rsidR="00555570" w14:paraId="45F43CCA" w14:textId="77777777" w:rsidTr="00122678">
        <w:trPr>
          <w:jc w:val="center"/>
        </w:trPr>
        <w:tc>
          <w:tcPr>
            <w:tcW w:w="0" w:type="auto"/>
            <w:tcBorders>
              <w:top w:val="nil"/>
              <w:left w:val="nil"/>
              <w:bottom w:val="nil"/>
              <w:right w:val="nil"/>
            </w:tcBorders>
          </w:tcPr>
          <w:p w14:paraId="6C30EEE2" w14:textId="77777777" w:rsidR="00555570" w:rsidRDefault="00555570" w:rsidP="00555570">
            <w:pPr>
              <w:rPr>
                <w:rFonts w:ascii="Times New Roman" w:hAnsi="Times New Roman" w:cs="Times New Roman"/>
              </w:rPr>
            </w:pPr>
            <w:r>
              <w:rPr>
                <w:rFonts w:ascii="Times New Roman" w:hAnsi="Times New Roman" w:cs="Times New Roman"/>
              </w:rPr>
              <w:t>Upstream watershed agricultural land-use</w:t>
            </w:r>
          </w:p>
        </w:tc>
        <w:tc>
          <w:tcPr>
            <w:tcW w:w="0" w:type="auto"/>
            <w:tcBorders>
              <w:top w:val="nil"/>
              <w:left w:val="nil"/>
              <w:bottom w:val="nil"/>
              <w:right w:val="nil"/>
            </w:tcBorders>
          </w:tcPr>
          <w:p w14:paraId="2C4938BB" w14:textId="77777777" w:rsidR="00555570" w:rsidRDefault="00555570" w:rsidP="00555570">
            <w:pPr>
              <w:rPr>
                <w:rFonts w:ascii="Times New Roman" w:hAnsi="Times New Roman" w:cs="Times New Roman"/>
              </w:rPr>
            </w:pPr>
            <w:r>
              <w:rPr>
                <w:rFonts w:ascii="Times New Roman" w:hAnsi="Times New Roman" w:cs="Times New Roman"/>
              </w:rPr>
              <w:t>AGRWS</w:t>
            </w:r>
          </w:p>
        </w:tc>
        <w:tc>
          <w:tcPr>
            <w:tcW w:w="0" w:type="auto"/>
            <w:tcBorders>
              <w:top w:val="nil"/>
              <w:left w:val="nil"/>
              <w:bottom w:val="nil"/>
              <w:right w:val="nil"/>
            </w:tcBorders>
          </w:tcPr>
          <w:p w14:paraId="101235AE" w14:textId="77777777" w:rsidR="00555570" w:rsidRDefault="00555570" w:rsidP="00555570">
            <w:pPr>
              <w:rPr>
                <w:rFonts w:ascii="Times New Roman" w:hAnsi="Times New Roman" w:cs="Times New Roman"/>
              </w:rPr>
            </w:pPr>
            <w:r>
              <w:rPr>
                <w:rFonts w:ascii="Times New Roman" w:hAnsi="Times New Roman" w:cs="Times New Roman"/>
              </w:rPr>
              <w:t>Anthropogenic</w:t>
            </w:r>
          </w:p>
        </w:tc>
        <w:tc>
          <w:tcPr>
            <w:tcW w:w="0" w:type="auto"/>
            <w:tcBorders>
              <w:top w:val="nil"/>
              <w:left w:val="nil"/>
              <w:bottom w:val="nil"/>
              <w:right w:val="nil"/>
            </w:tcBorders>
          </w:tcPr>
          <w:p w14:paraId="25A1FC39"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vMerge/>
            <w:tcBorders>
              <w:top w:val="nil"/>
              <w:left w:val="nil"/>
              <w:bottom w:val="nil"/>
              <w:right w:val="nil"/>
            </w:tcBorders>
          </w:tcPr>
          <w:p w14:paraId="5255F065" w14:textId="77777777" w:rsidR="00555570" w:rsidRDefault="00555570" w:rsidP="00555570">
            <w:pPr>
              <w:rPr>
                <w:rFonts w:ascii="Times New Roman" w:hAnsi="Times New Roman" w:cs="Times New Roman"/>
              </w:rPr>
            </w:pPr>
          </w:p>
        </w:tc>
      </w:tr>
      <w:tr w:rsidR="00555570" w14:paraId="3C18C30B" w14:textId="77777777" w:rsidTr="00122678">
        <w:trPr>
          <w:jc w:val="center"/>
        </w:trPr>
        <w:tc>
          <w:tcPr>
            <w:tcW w:w="0" w:type="auto"/>
            <w:tcBorders>
              <w:top w:val="nil"/>
              <w:left w:val="nil"/>
              <w:bottom w:val="nil"/>
              <w:right w:val="nil"/>
            </w:tcBorders>
          </w:tcPr>
          <w:p w14:paraId="45CCF304" w14:textId="77777777" w:rsidR="00555570" w:rsidRDefault="00555570" w:rsidP="00555570">
            <w:pPr>
              <w:rPr>
                <w:rFonts w:ascii="Times New Roman" w:hAnsi="Times New Roman" w:cs="Times New Roman"/>
              </w:rPr>
            </w:pPr>
            <w:r>
              <w:rPr>
                <w:rFonts w:ascii="Times New Roman" w:hAnsi="Times New Roman" w:cs="Times New Roman"/>
              </w:rPr>
              <w:t>Accumulated upstream catchment area</w:t>
            </w:r>
          </w:p>
        </w:tc>
        <w:tc>
          <w:tcPr>
            <w:tcW w:w="0" w:type="auto"/>
            <w:tcBorders>
              <w:top w:val="nil"/>
              <w:left w:val="nil"/>
              <w:bottom w:val="nil"/>
              <w:right w:val="nil"/>
            </w:tcBorders>
          </w:tcPr>
          <w:p w14:paraId="6293ADED" w14:textId="77777777" w:rsidR="00555570" w:rsidRDefault="00555570" w:rsidP="00555570">
            <w:pPr>
              <w:rPr>
                <w:rFonts w:ascii="Times New Roman" w:hAnsi="Times New Roman" w:cs="Times New Roman"/>
              </w:rPr>
            </w:pPr>
            <w:r>
              <w:rPr>
                <w:rFonts w:ascii="Times New Roman" w:hAnsi="Times New Roman" w:cs="Times New Roman"/>
              </w:rPr>
              <w:t>AREA</w:t>
            </w:r>
          </w:p>
        </w:tc>
        <w:tc>
          <w:tcPr>
            <w:tcW w:w="0" w:type="auto"/>
            <w:tcBorders>
              <w:top w:val="nil"/>
              <w:left w:val="nil"/>
              <w:bottom w:val="nil"/>
              <w:right w:val="nil"/>
            </w:tcBorders>
          </w:tcPr>
          <w:p w14:paraId="56845641" w14:textId="77777777" w:rsidR="00555570" w:rsidRDefault="00555570" w:rsidP="00555570">
            <w:pPr>
              <w:rPr>
                <w:rFonts w:ascii="Times New Roman" w:hAnsi="Times New Roman" w:cs="Times New Roman"/>
              </w:rPr>
            </w:pPr>
            <w:r>
              <w:rPr>
                <w:rFonts w:ascii="Times New Roman" w:hAnsi="Times New Roman" w:cs="Times New Roman"/>
              </w:rPr>
              <w:t>Area</w:t>
            </w:r>
          </w:p>
        </w:tc>
        <w:tc>
          <w:tcPr>
            <w:tcW w:w="0" w:type="auto"/>
            <w:tcBorders>
              <w:top w:val="nil"/>
              <w:left w:val="nil"/>
              <w:bottom w:val="nil"/>
              <w:right w:val="nil"/>
            </w:tcBorders>
          </w:tcPr>
          <w:p w14:paraId="2DEDF0CD"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nil"/>
              <w:right w:val="nil"/>
            </w:tcBorders>
          </w:tcPr>
          <w:p w14:paraId="1C3BC59C" w14:textId="77777777" w:rsidR="00555570" w:rsidRDefault="00555570" w:rsidP="00555570">
            <w:pPr>
              <w:rPr>
                <w:rFonts w:ascii="Times New Roman" w:hAnsi="Times New Roman" w:cs="Times New Roman"/>
              </w:rPr>
            </w:pPr>
            <w:r>
              <w:rPr>
                <w:rFonts w:ascii="Times New Roman" w:hAnsi="Times New Roman" w:cs="Times New Roman"/>
              </w:rPr>
              <w:t>Increasing habitat area allows larger-bodied species to establish</w:t>
            </w:r>
          </w:p>
        </w:tc>
      </w:tr>
      <w:tr w:rsidR="00555570" w14:paraId="7A7F8695" w14:textId="77777777" w:rsidTr="00122678">
        <w:trPr>
          <w:jc w:val="center"/>
        </w:trPr>
        <w:tc>
          <w:tcPr>
            <w:tcW w:w="0" w:type="auto"/>
            <w:tcBorders>
              <w:top w:val="nil"/>
              <w:left w:val="nil"/>
              <w:bottom w:val="nil"/>
              <w:right w:val="nil"/>
            </w:tcBorders>
          </w:tcPr>
          <w:p w14:paraId="1CFF60E1" w14:textId="77777777" w:rsidR="00555570" w:rsidRDefault="00555570" w:rsidP="00555570">
            <w:pPr>
              <w:rPr>
                <w:rFonts w:ascii="Times New Roman" w:hAnsi="Times New Roman" w:cs="Times New Roman"/>
              </w:rPr>
            </w:pPr>
            <w:r>
              <w:rPr>
                <w:rFonts w:ascii="Times New Roman" w:hAnsi="Times New Roman" w:cs="Times New Roman"/>
              </w:rPr>
              <w:t>Community thermal index</w:t>
            </w:r>
          </w:p>
        </w:tc>
        <w:tc>
          <w:tcPr>
            <w:tcW w:w="0" w:type="auto"/>
            <w:tcBorders>
              <w:top w:val="nil"/>
              <w:left w:val="nil"/>
              <w:bottom w:val="nil"/>
              <w:right w:val="nil"/>
            </w:tcBorders>
          </w:tcPr>
          <w:p w14:paraId="0C345016" w14:textId="77777777" w:rsidR="00555570" w:rsidRDefault="00555570" w:rsidP="00555570">
            <w:pPr>
              <w:rPr>
                <w:rFonts w:ascii="Times New Roman" w:hAnsi="Times New Roman" w:cs="Times New Roman"/>
              </w:rPr>
            </w:pPr>
            <w:r>
              <w:rPr>
                <w:rFonts w:ascii="Times New Roman" w:hAnsi="Times New Roman" w:cs="Times New Roman"/>
              </w:rPr>
              <w:t>CTI</w:t>
            </w:r>
          </w:p>
        </w:tc>
        <w:tc>
          <w:tcPr>
            <w:tcW w:w="0" w:type="auto"/>
            <w:tcBorders>
              <w:top w:val="nil"/>
              <w:left w:val="nil"/>
              <w:bottom w:val="nil"/>
              <w:right w:val="nil"/>
            </w:tcBorders>
          </w:tcPr>
          <w:p w14:paraId="4DF1263F" w14:textId="77777777" w:rsidR="00555570" w:rsidRDefault="00555570" w:rsidP="00555570">
            <w:pPr>
              <w:rPr>
                <w:rFonts w:ascii="Times New Roman" w:hAnsi="Times New Roman" w:cs="Times New Roman"/>
              </w:rPr>
            </w:pPr>
            <w:r>
              <w:rPr>
                <w:rFonts w:ascii="Times New Roman" w:hAnsi="Times New Roman" w:cs="Times New Roman"/>
              </w:rPr>
              <w:t>Thermal</w:t>
            </w:r>
          </w:p>
        </w:tc>
        <w:tc>
          <w:tcPr>
            <w:tcW w:w="0" w:type="auto"/>
            <w:tcBorders>
              <w:top w:val="nil"/>
              <w:left w:val="nil"/>
              <w:bottom w:val="nil"/>
              <w:right w:val="nil"/>
            </w:tcBorders>
          </w:tcPr>
          <w:p w14:paraId="375518F4" w14:textId="77777777" w:rsidR="00555570" w:rsidRDefault="00555570" w:rsidP="00555570">
            <w:pPr>
              <w:jc w:val="center"/>
              <w:rPr>
                <w:rFonts w:ascii="Times New Roman" w:hAnsi="Times New Roman" w:cs="Times New Roman"/>
              </w:rPr>
            </w:pPr>
            <w:r>
              <w:rPr>
                <w:rFonts w:ascii="Times New Roman" w:hAnsi="Times New Roman" w:cs="Times New Roman"/>
                <w:b/>
              </w:rPr>
              <w:t>–</w:t>
            </w:r>
          </w:p>
        </w:tc>
        <w:tc>
          <w:tcPr>
            <w:tcW w:w="0" w:type="auto"/>
            <w:vMerge w:val="restart"/>
            <w:tcBorders>
              <w:top w:val="nil"/>
              <w:left w:val="nil"/>
              <w:right w:val="nil"/>
            </w:tcBorders>
          </w:tcPr>
          <w:p w14:paraId="56AB08DA" w14:textId="77777777" w:rsidR="00555570" w:rsidRDefault="00555570" w:rsidP="00555570">
            <w:pPr>
              <w:rPr>
                <w:rFonts w:ascii="Times New Roman" w:hAnsi="Times New Roman" w:cs="Times New Roman"/>
              </w:rPr>
            </w:pPr>
            <w:r>
              <w:rPr>
                <w:rFonts w:ascii="Times New Roman" w:hAnsi="Times New Roman" w:cs="Times New Roman"/>
              </w:rPr>
              <w:t>Low thermal limits allow ectotherms to reach large body sizes at higher latitudes or elevations</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{"citationItems":[{"id":"ITEM-1","itemData":{"DOI":"10.1111/ele.13107","ISSN":"14610248","PMID":"30009486","abstract":"Thermal acclimation capacity, the degree to which organisms can alter their optimal performance temperature and critical thermal limits with changing temperatures, reflects their ability to respond to temperature variability and thus might be important for coping with global climate change. Here, we combine simulation modelling with analysis of published data on thermal acclimation and breadth (range of temperatures over which organisms perform well) to develop a framework for predicting thermal plasticity across taxa, latitudes, body sizes, traits, habitats and methodological factors. Our synthesis includes &gt; 2000 measures of acclimation capacities from &gt; 500 species of ectotherms spanning fungi, invertebrates, and vertebrates from freshwater, marine and terrestrial habitats. We find that body size, latitude, and methodological factors often interact to shape acclimation responses and that acclimation rate scales negatively with body size, contributing to a general negative association between body size and thermal breadth across species. Additionally, we reveal that acclimation capacity increases with body size, increases with latitude (to mid-latitudinal zones) and seasonality for smaller but not larger organisms, decreases with thermal safety margin (upper lethal temperature minus maximum environmental temperatures), and is regularly underestimated because of experimental artefacts. We then demonstrate that our framework can predict the contribution of acclimation plasticity to the IUCN threat status of amphibians globally, suggesting that phenotypic plasticity is already buffering some species from climate change.","author":[{"dropping-particle":"","family":"Rohr","given":"Jason R.","non-dropping-particle":"","parse-names":false,"suffix":""},{"dropping-particle":"","family":"Civitello","given":"David J.","non-dropping-particle":"","parse-names":false,"suffix":""},{"dropping-particle":"","family":"Cohen","given":"Jeremy M.","non-dropping-particle":"","parse-names":false,"suffix":""},{"dropping-particle":"","family":"Roznik","given":"Elizabeth A.","non-dropping-particle":"","parse-names":false,"suffix":""},{"dropping-particle":"","family":"Sinervo","given":"Barry","non-dropping-particle":"","parse-names":false,"suffix":""},{"dropping-particle":"","family":"Dell","given":"Anthony I.","non-dropping-particle":"","parse-names":false,"suffix":""}],"container-title":"Ecology Letters","id":"ITEM-1","issue":"9","issued":{"date-parts":[["2018"]]},"page":"1425-1439","title":"The complex drivers of thermal acclimation and breadth in ectotherms","type":"article-journal","volume":"21"},"uris":["http://www.mendeley.com/documents/?uuid=0c0b53bc-594f-481d-b064-7b1c66008583"]}],"mendeley":{"formattedCitation":"(Rohr &lt;i&gt;et al.&lt;/i&gt; 2018)","manualFormatting":"(","plainTextFormattedCitation":"(Rohr et al. 2018)"},"properties":{"noteIndex":0},"schema":"https://github.com/citation-style-language/schema/raw/master/csl-citation.json"}</w:instrText>
            </w:r>
            <w:r w:rsidR="001C7F13">
              <w:rPr>
                <w:rFonts w:ascii="Times New Roman" w:hAnsi="Times New Roman" w:cs="Times New Roman"/>
              </w:rPr>
              <w:fldChar w:fldCharType="separate"/>
            </w:r>
            <w:r>
              <w:rPr>
                <w:rFonts w:ascii="Times New Roman" w:hAnsi="Times New Roman" w:cs="Times New Roman"/>
              </w:rPr>
              <w:fldChar w:fldCharType="end"/>
            </w:r>
          </w:p>
        </w:tc>
      </w:tr>
      <w:tr w:rsidR="00555570" w14:paraId="79404275" w14:textId="77777777" w:rsidTr="00122678">
        <w:trPr>
          <w:jc w:val="center"/>
        </w:trPr>
        <w:tc>
          <w:tcPr>
            <w:tcW w:w="0" w:type="auto"/>
            <w:tcBorders>
              <w:top w:val="nil"/>
              <w:left w:val="nil"/>
              <w:bottom w:val="nil"/>
              <w:right w:val="nil"/>
            </w:tcBorders>
          </w:tcPr>
          <w:p w14:paraId="095AF7D8" w14:textId="77777777" w:rsidR="00555570" w:rsidRDefault="00555570" w:rsidP="00555570">
            <w:pPr>
              <w:rPr>
                <w:rFonts w:ascii="Times New Roman" w:hAnsi="Times New Roman" w:cs="Times New Roman"/>
              </w:rPr>
            </w:pPr>
            <w:r>
              <w:rPr>
                <w:rFonts w:ascii="Times New Roman" w:hAnsi="Times New Roman" w:cs="Times New Roman"/>
              </w:rPr>
              <w:t>Critical thermal maximum</w:t>
            </w:r>
          </w:p>
        </w:tc>
        <w:tc>
          <w:tcPr>
            <w:tcW w:w="0" w:type="auto"/>
            <w:tcBorders>
              <w:top w:val="nil"/>
              <w:left w:val="nil"/>
              <w:bottom w:val="nil"/>
              <w:right w:val="nil"/>
            </w:tcBorders>
          </w:tcPr>
          <w:p w14:paraId="01E2DABC" w14:textId="77777777" w:rsidR="00555570" w:rsidRDefault="00555570" w:rsidP="00555570">
            <w:pPr>
              <w:rPr>
                <w:rFonts w:ascii="Times New Roman" w:hAnsi="Times New Roman" w:cs="Times New Roman"/>
              </w:rPr>
            </w:pPr>
            <w:r>
              <w:rPr>
                <w:rFonts w:ascii="Times New Roman" w:hAnsi="Times New Roman" w:cs="Times New Roman"/>
              </w:rPr>
              <w:t>CTmax</w:t>
            </w:r>
          </w:p>
        </w:tc>
        <w:tc>
          <w:tcPr>
            <w:tcW w:w="0" w:type="auto"/>
            <w:tcBorders>
              <w:top w:val="nil"/>
              <w:left w:val="nil"/>
              <w:bottom w:val="nil"/>
              <w:right w:val="nil"/>
            </w:tcBorders>
          </w:tcPr>
          <w:p w14:paraId="76EE19C9" w14:textId="77777777" w:rsidR="00555570" w:rsidRDefault="00555570" w:rsidP="00555570">
            <w:pPr>
              <w:rPr>
                <w:rFonts w:ascii="Times New Roman" w:hAnsi="Times New Roman" w:cs="Times New Roman"/>
              </w:rPr>
            </w:pPr>
            <w:r>
              <w:rPr>
                <w:rFonts w:ascii="Times New Roman" w:hAnsi="Times New Roman" w:cs="Times New Roman"/>
              </w:rPr>
              <w:t>Thermal</w:t>
            </w:r>
          </w:p>
        </w:tc>
        <w:tc>
          <w:tcPr>
            <w:tcW w:w="0" w:type="auto"/>
            <w:tcBorders>
              <w:top w:val="nil"/>
              <w:left w:val="nil"/>
              <w:bottom w:val="nil"/>
              <w:right w:val="nil"/>
            </w:tcBorders>
          </w:tcPr>
          <w:p w14:paraId="27603CC5" w14:textId="77777777" w:rsidR="00555570" w:rsidRDefault="00555570" w:rsidP="00555570">
            <w:pPr>
              <w:jc w:val="center"/>
              <w:rPr>
                <w:rFonts w:ascii="Times New Roman" w:hAnsi="Times New Roman" w:cs="Times New Roman"/>
                <w:b/>
              </w:rPr>
            </w:pPr>
            <w:r>
              <w:rPr>
                <w:rFonts w:ascii="Times New Roman" w:hAnsi="Times New Roman" w:cs="Times New Roman"/>
                <w:b/>
              </w:rPr>
              <w:t>–</w:t>
            </w:r>
          </w:p>
        </w:tc>
        <w:tc>
          <w:tcPr>
            <w:tcW w:w="0" w:type="auto"/>
            <w:vMerge/>
            <w:tcBorders>
              <w:left w:val="nil"/>
              <w:bottom w:val="nil"/>
              <w:right w:val="nil"/>
            </w:tcBorders>
          </w:tcPr>
          <w:p w14:paraId="320808A4" w14:textId="77777777" w:rsidR="00555570" w:rsidRDefault="00555570" w:rsidP="00555570">
            <w:pPr>
              <w:rPr>
                <w:rFonts w:ascii="Times New Roman" w:hAnsi="Times New Roman" w:cs="Times New Roman"/>
              </w:rPr>
            </w:pPr>
          </w:p>
        </w:tc>
      </w:tr>
      <w:tr w:rsidR="00555570" w14:paraId="50383FFC" w14:textId="77777777" w:rsidTr="00122678">
        <w:trPr>
          <w:jc w:val="center"/>
        </w:trPr>
        <w:tc>
          <w:tcPr>
            <w:tcW w:w="0" w:type="auto"/>
            <w:tcBorders>
              <w:top w:val="nil"/>
              <w:left w:val="nil"/>
              <w:bottom w:val="nil"/>
              <w:right w:val="nil"/>
            </w:tcBorders>
          </w:tcPr>
          <w:p w14:paraId="31427C43" w14:textId="77777777" w:rsidR="00555570" w:rsidRDefault="00555570" w:rsidP="00555570">
            <w:pPr>
              <w:rPr>
                <w:rFonts w:ascii="Times New Roman" w:hAnsi="Times New Roman" w:cs="Times New Roman"/>
              </w:rPr>
            </w:pPr>
            <w:r>
              <w:rPr>
                <w:rFonts w:ascii="Times New Roman" w:hAnsi="Times New Roman" w:cs="Times New Roman"/>
              </w:rPr>
              <w:t>Catchment reservoir volume</w:t>
            </w:r>
          </w:p>
        </w:tc>
        <w:tc>
          <w:tcPr>
            <w:tcW w:w="0" w:type="auto"/>
            <w:tcBorders>
              <w:top w:val="nil"/>
              <w:left w:val="nil"/>
              <w:bottom w:val="nil"/>
              <w:right w:val="nil"/>
            </w:tcBorders>
          </w:tcPr>
          <w:p w14:paraId="5EA5F69F" w14:textId="77777777" w:rsidR="00555570" w:rsidRDefault="00555570" w:rsidP="00555570">
            <w:pPr>
              <w:rPr>
                <w:rFonts w:ascii="Times New Roman" w:hAnsi="Times New Roman" w:cs="Times New Roman"/>
              </w:rPr>
            </w:pPr>
            <w:r>
              <w:rPr>
                <w:rFonts w:ascii="Times New Roman" w:hAnsi="Times New Roman" w:cs="Times New Roman"/>
              </w:rPr>
              <w:t>DAMSTOR</w:t>
            </w:r>
          </w:p>
        </w:tc>
        <w:tc>
          <w:tcPr>
            <w:tcW w:w="0" w:type="auto"/>
            <w:tcBorders>
              <w:top w:val="nil"/>
              <w:left w:val="nil"/>
              <w:bottom w:val="nil"/>
              <w:right w:val="nil"/>
            </w:tcBorders>
          </w:tcPr>
          <w:p w14:paraId="1FF31B43" w14:textId="77777777" w:rsidR="00555570" w:rsidRDefault="00555570" w:rsidP="00555570">
            <w:pPr>
              <w:rPr>
                <w:rFonts w:ascii="Times New Roman" w:hAnsi="Times New Roman" w:cs="Times New Roman"/>
              </w:rPr>
            </w:pPr>
            <w:r>
              <w:rPr>
                <w:rFonts w:ascii="Times New Roman" w:hAnsi="Times New Roman" w:cs="Times New Roman"/>
              </w:rPr>
              <w:t>Anthropogenic</w:t>
            </w:r>
          </w:p>
        </w:tc>
        <w:tc>
          <w:tcPr>
            <w:tcW w:w="0" w:type="auto"/>
            <w:tcBorders>
              <w:top w:val="nil"/>
              <w:left w:val="nil"/>
              <w:bottom w:val="nil"/>
              <w:right w:val="nil"/>
            </w:tcBorders>
          </w:tcPr>
          <w:p w14:paraId="4C69A996"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nil"/>
              <w:right w:val="nil"/>
            </w:tcBorders>
          </w:tcPr>
          <w:p w14:paraId="0C9BCDF1" w14:textId="77777777" w:rsidR="00555570" w:rsidRDefault="00555570" w:rsidP="00555570">
            <w:pPr>
              <w:rPr>
                <w:rFonts w:ascii="Times New Roman" w:hAnsi="Times New Roman" w:cs="Times New Roman"/>
              </w:rPr>
            </w:pPr>
            <w:r>
              <w:rPr>
                <w:rFonts w:ascii="Times New Roman" w:hAnsi="Times New Roman" w:cs="Times New Roman"/>
              </w:rPr>
              <w:t>Larger-bodied species characterize reservoir environments</w:t>
            </w:r>
          </w:p>
        </w:tc>
      </w:tr>
      <w:tr w:rsidR="00555570" w14:paraId="5A413E1A" w14:textId="77777777" w:rsidTr="00122678">
        <w:trPr>
          <w:jc w:val="center"/>
        </w:trPr>
        <w:tc>
          <w:tcPr>
            <w:tcW w:w="0" w:type="auto"/>
            <w:tcBorders>
              <w:top w:val="nil"/>
              <w:left w:val="nil"/>
              <w:bottom w:val="nil"/>
              <w:right w:val="nil"/>
            </w:tcBorders>
          </w:tcPr>
          <w:p w14:paraId="18FB918C" w14:textId="77777777" w:rsidR="00555570" w:rsidRDefault="00555570" w:rsidP="00555570">
            <w:pPr>
              <w:rPr>
                <w:rFonts w:ascii="Times New Roman" w:hAnsi="Times New Roman" w:cs="Times New Roman"/>
              </w:rPr>
            </w:pPr>
            <w:r>
              <w:rPr>
                <w:rFonts w:ascii="Times New Roman" w:hAnsi="Times New Roman" w:cs="Times New Roman"/>
              </w:rPr>
              <w:t>Mean catchment elevation</w:t>
            </w:r>
          </w:p>
        </w:tc>
        <w:tc>
          <w:tcPr>
            <w:tcW w:w="0" w:type="auto"/>
            <w:tcBorders>
              <w:top w:val="nil"/>
              <w:left w:val="nil"/>
              <w:bottom w:val="nil"/>
              <w:right w:val="nil"/>
            </w:tcBorders>
          </w:tcPr>
          <w:p w14:paraId="060B6A06" w14:textId="77777777" w:rsidR="00555570" w:rsidRDefault="00555570" w:rsidP="00555570">
            <w:pPr>
              <w:rPr>
                <w:rFonts w:ascii="Times New Roman" w:hAnsi="Times New Roman" w:cs="Times New Roman"/>
              </w:rPr>
            </w:pPr>
            <w:r>
              <w:rPr>
                <w:rFonts w:ascii="Times New Roman" w:hAnsi="Times New Roman" w:cs="Times New Roman"/>
              </w:rPr>
              <w:t>ELEV</w:t>
            </w:r>
          </w:p>
        </w:tc>
        <w:tc>
          <w:tcPr>
            <w:tcW w:w="0" w:type="auto"/>
            <w:tcBorders>
              <w:top w:val="nil"/>
              <w:left w:val="nil"/>
              <w:bottom w:val="nil"/>
              <w:right w:val="nil"/>
            </w:tcBorders>
          </w:tcPr>
          <w:p w14:paraId="7EEF2A90" w14:textId="77777777" w:rsidR="00555570" w:rsidRDefault="00555570" w:rsidP="00555570">
            <w:pPr>
              <w:rPr>
                <w:rFonts w:ascii="Times New Roman" w:hAnsi="Times New Roman" w:cs="Times New Roman"/>
              </w:rPr>
            </w:pPr>
            <w:r>
              <w:rPr>
                <w:rFonts w:ascii="Times New Roman" w:hAnsi="Times New Roman" w:cs="Times New Roman"/>
              </w:rPr>
              <w:t>Geography</w:t>
            </w:r>
          </w:p>
        </w:tc>
        <w:tc>
          <w:tcPr>
            <w:tcW w:w="0" w:type="auto"/>
            <w:tcBorders>
              <w:top w:val="nil"/>
              <w:left w:val="nil"/>
              <w:bottom w:val="nil"/>
              <w:right w:val="nil"/>
            </w:tcBorders>
          </w:tcPr>
          <w:p w14:paraId="3840D3F8"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nil"/>
              <w:right w:val="nil"/>
            </w:tcBorders>
          </w:tcPr>
          <w:p w14:paraId="2A109C19" w14:textId="77777777" w:rsidR="00555570" w:rsidRDefault="00555570" w:rsidP="00555570">
            <w:pPr>
              <w:rPr>
                <w:rFonts w:ascii="Times New Roman" w:hAnsi="Times New Roman" w:cs="Times New Roman"/>
              </w:rPr>
            </w:pPr>
            <w:r>
              <w:rPr>
                <w:rFonts w:ascii="Times New Roman" w:hAnsi="Times New Roman" w:cs="Times New Roman"/>
              </w:rPr>
              <w:t xml:space="preserve">Higher latitudes are characterized by larger-bodied species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{"citationItems":[{"id":"ITEM-1","itemData":{"author":[{"dropping-particle":"","family":"Blackburn","given":"Tim M","non-dropping-particle":"","parse-names":false,"suffix":""},{"dropping-particle":"","family":"Ruggiero","given":"Adriana","non-dropping-particle":"","parse-names":false,"suffix":""}],"container-title":"Global Ecology &amp; Biogeography","id":"ITEM-1","issue":"3","issued":{"date-parts":[["2001"]]},"page":"245-259","title":"Latitude, Elevation and Body Mass Variation in Andean Passerine Birds","type":"article-journal","volume":"10"},"uris":["http://www.mendeley.com/documents/?uuid=2bbcc9f1-5da5-4a26-bd5c-af0f4a1304d8"]}],"mendeley":{"formattedCitation":"(Blackburn &amp; Ruggiero 2001)","plainTextFormattedCitation":"(Blackburn &amp; Ruggiero 2001)","previouslyFormattedCitation":"(Blackburn &amp; Ruggiero 2001)"},"properties":{"noteIndex":0},"schema":"https://github.com/citation-style-language/schema/raw/master/csl-citation.json"}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(Blackburn &amp; Ruggiero 2001)</w:t>
            </w:r>
            <w:r>
              <w:rPr>
                <w:rFonts w:ascii="Times New Roman" w:hAnsi="Times New Roman" w:cs="Times New Roman"/>
              </w:rPr>
              <w:fldChar w:fldCharType="end"/>
            </w:r>
          </w:p>
        </w:tc>
      </w:tr>
      <w:tr w:rsidR="00555570" w14:paraId="226E353D" w14:textId="77777777" w:rsidTr="00122678">
        <w:trPr>
          <w:jc w:val="center"/>
        </w:trPr>
        <w:tc>
          <w:tcPr>
            <w:tcW w:w="0" w:type="auto"/>
            <w:tcBorders>
              <w:top w:val="nil"/>
              <w:left w:val="nil"/>
              <w:bottom w:val="nil"/>
              <w:right w:val="nil"/>
            </w:tcBorders>
          </w:tcPr>
          <w:p w14:paraId="13F84F2E" w14:textId="77777777" w:rsidR="00555570" w:rsidRDefault="00555570" w:rsidP="00555570">
            <w:pPr>
              <w:rPr>
                <w:rFonts w:ascii="Times New Roman" w:hAnsi="Times New Roman" w:cs="Times New Roman"/>
              </w:rPr>
            </w:pPr>
            <w:r>
              <w:rPr>
                <w:rFonts w:ascii="Times New Roman" w:hAnsi="Times New Roman" w:cs="Times New Roman"/>
              </w:rPr>
              <w:t>Catchment forested land-cover</w:t>
            </w:r>
          </w:p>
        </w:tc>
        <w:tc>
          <w:tcPr>
            <w:tcW w:w="0" w:type="auto"/>
            <w:tcBorders>
              <w:top w:val="nil"/>
              <w:left w:val="nil"/>
              <w:bottom w:val="nil"/>
              <w:right w:val="nil"/>
            </w:tcBorders>
          </w:tcPr>
          <w:p w14:paraId="3802421F" w14:textId="77777777" w:rsidR="00555570" w:rsidRDefault="00555570" w:rsidP="00555570">
            <w:pPr>
              <w:rPr>
                <w:rFonts w:ascii="Times New Roman" w:hAnsi="Times New Roman" w:cs="Times New Roman"/>
              </w:rPr>
            </w:pPr>
            <w:r>
              <w:rPr>
                <w:rFonts w:ascii="Times New Roman" w:hAnsi="Times New Roman" w:cs="Times New Roman"/>
              </w:rPr>
              <w:t>FORCAT</w:t>
            </w:r>
          </w:p>
        </w:tc>
        <w:tc>
          <w:tcPr>
            <w:tcW w:w="0" w:type="auto"/>
            <w:tcBorders>
              <w:top w:val="nil"/>
              <w:left w:val="nil"/>
              <w:bottom w:val="nil"/>
              <w:right w:val="nil"/>
            </w:tcBorders>
          </w:tcPr>
          <w:p w14:paraId="49AF71C2" w14:textId="77777777" w:rsidR="00555570" w:rsidRDefault="00555570" w:rsidP="00555570">
            <w:pPr>
              <w:rPr>
                <w:rFonts w:ascii="Times New Roman" w:hAnsi="Times New Roman" w:cs="Times New Roman"/>
              </w:rPr>
            </w:pPr>
            <w:r>
              <w:rPr>
                <w:rFonts w:ascii="Times New Roman" w:hAnsi="Times New Roman" w:cs="Times New Roman"/>
              </w:rPr>
              <w:t>Productivity</w:t>
            </w:r>
          </w:p>
        </w:tc>
        <w:tc>
          <w:tcPr>
            <w:tcW w:w="0" w:type="auto"/>
            <w:tcBorders>
              <w:top w:val="nil"/>
              <w:left w:val="nil"/>
              <w:bottom w:val="nil"/>
              <w:right w:val="nil"/>
            </w:tcBorders>
          </w:tcPr>
          <w:p w14:paraId="6AABF8CA"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vMerge w:val="restart"/>
            <w:tcBorders>
              <w:top w:val="nil"/>
              <w:left w:val="nil"/>
              <w:bottom w:val="nil"/>
              <w:right w:val="nil"/>
            </w:tcBorders>
          </w:tcPr>
          <w:p w14:paraId="62744B00" w14:textId="77777777" w:rsidR="00555570" w:rsidRDefault="00555570" w:rsidP="00555570">
            <w:pPr>
              <w:rPr>
                <w:rFonts w:ascii="Times New Roman" w:hAnsi="Times New Roman" w:cs="Times New Roman"/>
              </w:rPr>
            </w:pPr>
            <w:r>
              <w:rPr>
                <w:rFonts w:ascii="Times New Roman" w:hAnsi="Times New Roman" w:cs="Times New Roman"/>
              </w:rPr>
              <w:t>Greater allochthonous resources increase freshwater ecosystem productivity</w:t>
            </w:r>
          </w:p>
        </w:tc>
      </w:tr>
      <w:tr w:rsidR="00555570" w14:paraId="70335F85" w14:textId="77777777" w:rsidTr="00122678">
        <w:trPr>
          <w:jc w:val="center"/>
        </w:trPr>
        <w:tc>
          <w:tcPr>
            <w:tcW w:w="0" w:type="auto"/>
            <w:tcBorders>
              <w:top w:val="nil"/>
              <w:left w:val="nil"/>
              <w:bottom w:val="nil"/>
              <w:right w:val="nil"/>
            </w:tcBorders>
          </w:tcPr>
          <w:p w14:paraId="78FD30C2" w14:textId="77777777" w:rsidR="00555570" w:rsidRDefault="00555570" w:rsidP="00555570">
            <w:pPr>
              <w:rPr>
                <w:rFonts w:ascii="Times New Roman" w:hAnsi="Times New Roman" w:cs="Times New Roman"/>
              </w:rPr>
            </w:pPr>
            <w:r>
              <w:rPr>
                <w:rFonts w:ascii="Times New Roman" w:hAnsi="Times New Roman" w:cs="Times New Roman"/>
              </w:rPr>
              <w:t>Upstream watershed forested land-cover</w:t>
            </w:r>
          </w:p>
        </w:tc>
        <w:tc>
          <w:tcPr>
            <w:tcW w:w="0" w:type="auto"/>
            <w:tcBorders>
              <w:top w:val="nil"/>
              <w:left w:val="nil"/>
              <w:bottom w:val="nil"/>
              <w:right w:val="nil"/>
            </w:tcBorders>
          </w:tcPr>
          <w:p w14:paraId="24448D3F" w14:textId="77777777" w:rsidR="00555570" w:rsidRDefault="00555570" w:rsidP="00555570">
            <w:pPr>
              <w:rPr>
                <w:rFonts w:ascii="Times New Roman" w:hAnsi="Times New Roman" w:cs="Times New Roman"/>
              </w:rPr>
            </w:pPr>
            <w:r>
              <w:rPr>
                <w:rFonts w:ascii="Times New Roman" w:hAnsi="Times New Roman" w:cs="Times New Roman"/>
              </w:rPr>
              <w:t>FORWS</w:t>
            </w:r>
          </w:p>
        </w:tc>
        <w:tc>
          <w:tcPr>
            <w:tcW w:w="0" w:type="auto"/>
            <w:tcBorders>
              <w:top w:val="nil"/>
              <w:left w:val="nil"/>
              <w:bottom w:val="nil"/>
              <w:right w:val="nil"/>
            </w:tcBorders>
          </w:tcPr>
          <w:p w14:paraId="74EB6CA5" w14:textId="77777777" w:rsidR="00555570" w:rsidRDefault="00555570" w:rsidP="00555570">
            <w:pPr>
              <w:rPr>
                <w:rFonts w:ascii="Times New Roman" w:hAnsi="Times New Roman" w:cs="Times New Roman"/>
              </w:rPr>
            </w:pPr>
            <w:r>
              <w:rPr>
                <w:rFonts w:ascii="Times New Roman" w:hAnsi="Times New Roman" w:cs="Times New Roman"/>
              </w:rPr>
              <w:t>Productivity</w:t>
            </w:r>
          </w:p>
        </w:tc>
        <w:tc>
          <w:tcPr>
            <w:tcW w:w="0" w:type="auto"/>
            <w:tcBorders>
              <w:top w:val="nil"/>
              <w:left w:val="nil"/>
              <w:bottom w:val="nil"/>
              <w:right w:val="nil"/>
            </w:tcBorders>
          </w:tcPr>
          <w:p w14:paraId="06B3F014"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vMerge/>
            <w:tcBorders>
              <w:top w:val="nil"/>
              <w:left w:val="nil"/>
              <w:bottom w:val="nil"/>
              <w:right w:val="nil"/>
            </w:tcBorders>
          </w:tcPr>
          <w:p w14:paraId="400DE5BD" w14:textId="77777777" w:rsidR="00555570" w:rsidRDefault="00555570" w:rsidP="00555570">
            <w:pPr>
              <w:rPr>
                <w:rFonts w:ascii="Times New Roman" w:hAnsi="Times New Roman" w:cs="Times New Roman"/>
              </w:rPr>
            </w:pPr>
          </w:p>
        </w:tc>
      </w:tr>
      <w:tr w:rsidR="00555570" w14:paraId="756C958F" w14:textId="77777777" w:rsidTr="00122678">
        <w:trPr>
          <w:jc w:val="center"/>
        </w:trPr>
        <w:tc>
          <w:tcPr>
            <w:tcW w:w="0" w:type="auto"/>
            <w:tcBorders>
              <w:top w:val="nil"/>
              <w:left w:val="nil"/>
              <w:bottom w:val="nil"/>
              <w:right w:val="nil"/>
            </w:tcBorders>
          </w:tcPr>
          <w:p w14:paraId="7DE465AD" w14:textId="77777777" w:rsidR="00555570" w:rsidRDefault="00555570" w:rsidP="00555570">
            <w:pPr>
              <w:rPr>
                <w:rFonts w:ascii="Times New Roman" w:hAnsi="Times New Roman" w:cs="Times New Roman"/>
              </w:rPr>
            </w:pPr>
            <w:r>
              <w:rPr>
                <w:rFonts w:ascii="Times New Roman" w:hAnsi="Times New Roman" w:cs="Times New Roman"/>
              </w:rPr>
              <w:t>Latitudinal catchment centroid</w:t>
            </w:r>
          </w:p>
        </w:tc>
        <w:tc>
          <w:tcPr>
            <w:tcW w:w="0" w:type="auto"/>
            <w:tcBorders>
              <w:top w:val="nil"/>
              <w:left w:val="nil"/>
              <w:bottom w:val="nil"/>
              <w:right w:val="nil"/>
            </w:tcBorders>
          </w:tcPr>
          <w:p w14:paraId="3E1DA17F" w14:textId="77777777" w:rsidR="00555570" w:rsidRDefault="00555570" w:rsidP="00555570">
            <w:pPr>
              <w:rPr>
                <w:rFonts w:ascii="Times New Roman" w:hAnsi="Times New Roman" w:cs="Times New Roman"/>
              </w:rPr>
            </w:pPr>
            <w:r>
              <w:rPr>
                <w:rFonts w:ascii="Times New Roman" w:hAnsi="Times New Roman" w:cs="Times New Roman"/>
              </w:rPr>
              <w:t>LAT</w:t>
            </w:r>
          </w:p>
        </w:tc>
        <w:tc>
          <w:tcPr>
            <w:tcW w:w="0" w:type="auto"/>
            <w:tcBorders>
              <w:top w:val="nil"/>
              <w:left w:val="nil"/>
              <w:bottom w:val="nil"/>
              <w:right w:val="nil"/>
            </w:tcBorders>
          </w:tcPr>
          <w:p w14:paraId="11C96486" w14:textId="77777777" w:rsidR="00555570" w:rsidRDefault="00555570" w:rsidP="00555570">
            <w:pPr>
              <w:rPr>
                <w:rFonts w:ascii="Times New Roman" w:hAnsi="Times New Roman" w:cs="Times New Roman"/>
              </w:rPr>
            </w:pPr>
            <w:r>
              <w:rPr>
                <w:rFonts w:ascii="Times New Roman" w:hAnsi="Times New Roman" w:cs="Times New Roman"/>
              </w:rPr>
              <w:t>Geography</w:t>
            </w:r>
          </w:p>
        </w:tc>
        <w:tc>
          <w:tcPr>
            <w:tcW w:w="0" w:type="auto"/>
            <w:tcBorders>
              <w:top w:val="nil"/>
              <w:left w:val="nil"/>
              <w:bottom w:val="nil"/>
              <w:right w:val="nil"/>
            </w:tcBorders>
          </w:tcPr>
          <w:p w14:paraId="762224EB"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nil"/>
              <w:right w:val="nil"/>
            </w:tcBorders>
          </w:tcPr>
          <w:p w14:paraId="16EF4D13" w14:textId="77777777" w:rsidR="00555570" w:rsidRDefault="00555570" w:rsidP="00555570">
            <w:pPr>
              <w:rPr>
                <w:rFonts w:ascii="Times New Roman" w:hAnsi="Times New Roman" w:cs="Times New Roman"/>
              </w:rPr>
            </w:pPr>
            <w:r>
              <w:rPr>
                <w:rFonts w:ascii="Times New Roman" w:hAnsi="Times New Roman" w:cs="Times New Roman"/>
              </w:rPr>
              <w:t xml:space="preserve">Higher latitudes are characterized by larger-bodied species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{"citationItems":[{"id":"ITEM-1","itemData":{"author":[{"dropping-particle":"","family":"Bergmann","given":"C","non-dropping-particle":"","parse-names":false,"suffix":""}],"id":"ITEM-1","issued":{"date-parts":[["1848"]]},"publisher":"Vandenhoeck and Ruprecht","title":"Über die Verhältnisse der Wä rmeökonomie der Thiere zu ihrer Grösse","type":"book"},"uris":["http://www.mendeley.com/documents/?uuid=3096baf1-d27d-4fda-a50b-5dd50bcb2050"]}],"mendeley":{"formattedCitation":"(Bergmann 1848)","plainTextFormattedCitation":"(Bergmann 1848)","previouslyFormattedCitation":"(Bergmann 1848)"},"properties":{"noteIndex":0},"schema":"https://github.com/citation-style-language/schema/raw/master/csl-citation.json"}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(Bergmann 1848)</w:t>
            </w:r>
            <w:r>
              <w:rPr>
                <w:rFonts w:ascii="Times New Roman" w:hAnsi="Times New Roman" w:cs="Times New Roman"/>
              </w:rPr>
              <w:fldChar w:fldCharType="end"/>
            </w:r>
          </w:p>
        </w:tc>
      </w:tr>
      <w:tr w:rsidR="00555570" w14:paraId="4DF3AED2" w14:textId="77777777" w:rsidTr="00122678">
        <w:trPr>
          <w:jc w:val="center"/>
        </w:trPr>
        <w:tc>
          <w:tcPr>
            <w:tcW w:w="0" w:type="auto"/>
            <w:tcBorders>
              <w:top w:val="nil"/>
              <w:left w:val="nil"/>
              <w:bottom w:val="single" w:sz="4" w:space="0" w:color="auto"/>
              <w:right w:val="nil"/>
            </w:tcBorders>
          </w:tcPr>
          <w:p w14:paraId="61B28FF9" w14:textId="77777777" w:rsidR="00555570" w:rsidRDefault="00555570" w:rsidP="00555570">
            <w:pPr>
              <w:rPr>
                <w:rFonts w:ascii="Times New Roman" w:hAnsi="Times New Roman" w:cs="Times New Roman"/>
              </w:rPr>
            </w:pPr>
            <w:r>
              <w:rPr>
                <w:rFonts w:ascii="Times New Roman" w:hAnsi="Times New Roman" w:cs="Times New Roman"/>
              </w:rPr>
              <w:t>Accumulated upstream stream length</w:t>
            </w:r>
          </w:p>
        </w:tc>
        <w:tc>
          <w:tcPr>
            <w:tcW w:w="0" w:type="auto"/>
            <w:tcBorders>
              <w:top w:val="nil"/>
              <w:left w:val="nil"/>
              <w:bottom w:val="single" w:sz="4" w:space="0" w:color="auto"/>
              <w:right w:val="nil"/>
            </w:tcBorders>
          </w:tcPr>
          <w:p w14:paraId="1A4A3B92" w14:textId="77777777" w:rsidR="00555570" w:rsidRDefault="00555570" w:rsidP="00555570">
            <w:pPr>
              <w:rPr>
                <w:rFonts w:ascii="Times New Roman" w:hAnsi="Times New Roman" w:cs="Times New Roman"/>
              </w:rPr>
            </w:pPr>
            <w:r>
              <w:rPr>
                <w:rFonts w:ascii="Times New Roman" w:hAnsi="Times New Roman" w:cs="Times New Roman"/>
              </w:rPr>
              <w:t>LEN</w:t>
            </w:r>
          </w:p>
        </w:tc>
        <w:tc>
          <w:tcPr>
            <w:tcW w:w="0" w:type="auto"/>
            <w:tcBorders>
              <w:top w:val="nil"/>
              <w:left w:val="nil"/>
              <w:bottom w:val="single" w:sz="4" w:space="0" w:color="auto"/>
              <w:right w:val="nil"/>
            </w:tcBorders>
          </w:tcPr>
          <w:p w14:paraId="2CDC0A09" w14:textId="77777777" w:rsidR="00555570" w:rsidRDefault="00555570" w:rsidP="00555570">
            <w:pPr>
              <w:rPr>
                <w:rFonts w:ascii="Times New Roman" w:hAnsi="Times New Roman" w:cs="Times New Roman"/>
              </w:rPr>
            </w:pPr>
            <w:r>
              <w:rPr>
                <w:rFonts w:ascii="Times New Roman" w:hAnsi="Times New Roman" w:cs="Times New Roman"/>
              </w:rPr>
              <w:t>Area</w:t>
            </w:r>
          </w:p>
        </w:tc>
        <w:tc>
          <w:tcPr>
            <w:tcW w:w="0" w:type="auto"/>
            <w:tcBorders>
              <w:top w:val="nil"/>
              <w:left w:val="nil"/>
              <w:bottom w:val="single" w:sz="4" w:space="0" w:color="auto"/>
              <w:right w:val="nil"/>
            </w:tcBorders>
          </w:tcPr>
          <w:p w14:paraId="1079C560" w14:textId="77777777" w:rsidR="00555570" w:rsidRDefault="00555570" w:rsidP="00555570">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single" w:sz="4" w:space="0" w:color="auto"/>
              <w:right w:val="nil"/>
            </w:tcBorders>
          </w:tcPr>
          <w:p w14:paraId="2A95C001" w14:textId="77777777" w:rsidR="00555570" w:rsidRDefault="00555570" w:rsidP="00555570">
            <w:pPr>
              <w:rPr>
                <w:rFonts w:ascii="Times New Roman" w:hAnsi="Times New Roman" w:cs="Times New Roman"/>
              </w:rPr>
            </w:pPr>
            <w:r>
              <w:rPr>
                <w:rFonts w:ascii="Times New Roman" w:hAnsi="Times New Roman" w:cs="Times New Roman"/>
              </w:rPr>
              <w:t>Increasing habitat area allows larger-bodied species to establish</w:t>
            </w:r>
          </w:p>
        </w:tc>
      </w:tr>
      <w:tr w:rsidR="00555570" w14:paraId="1500E97E" w14:textId="77777777" w:rsidTr="00122678">
        <w:trPr>
          <w:jc w:val="center"/>
        </w:trPr>
        <w:tc>
          <w:tcPr>
            <w:tcW w:w="0" w:type="auto"/>
            <w:tcBorders>
              <w:top w:val="single" w:sz="4" w:space="0" w:color="auto"/>
              <w:left w:val="nil"/>
              <w:bottom w:val="nil"/>
              <w:right w:val="nil"/>
            </w:tcBorders>
          </w:tcPr>
          <w:p w14:paraId="18867A92" w14:textId="357999B8" w:rsidR="00555570" w:rsidRDefault="00555570" w:rsidP="00555570">
            <w:pPr>
              <w:rPr>
                <w:rFonts w:ascii="Times New Roman" w:hAnsi="Times New Roman" w:cs="Times New Roman"/>
              </w:rPr>
            </w:pPr>
          </w:p>
        </w:tc>
        <w:tc>
          <w:tcPr>
            <w:tcW w:w="0" w:type="auto"/>
            <w:tcBorders>
              <w:top w:val="single" w:sz="4" w:space="0" w:color="auto"/>
              <w:left w:val="nil"/>
              <w:bottom w:val="nil"/>
              <w:right w:val="nil"/>
            </w:tcBorders>
          </w:tcPr>
          <w:p w14:paraId="7A18E311" w14:textId="4A9E4994" w:rsidR="00555570" w:rsidRDefault="00555570" w:rsidP="00555570">
            <w:pPr>
              <w:rPr>
                <w:rFonts w:ascii="Times New Roman" w:hAnsi="Times New Roman" w:cs="Times New Roman"/>
              </w:rPr>
            </w:pPr>
          </w:p>
        </w:tc>
        <w:tc>
          <w:tcPr>
            <w:tcW w:w="0" w:type="auto"/>
            <w:tcBorders>
              <w:top w:val="single" w:sz="4" w:space="0" w:color="auto"/>
              <w:left w:val="nil"/>
              <w:bottom w:val="nil"/>
              <w:right w:val="nil"/>
            </w:tcBorders>
          </w:tcPr>
          <w:p w14:paraId="27CBED93" w14:textId="124A6200" w:rsidR="00555570" w:rsidRDefault="00555570" w:rsidP="00555570">
            <w:pPr>
              <w:rPr>
                <w:rFonts w:ascii="Times New Roman" w:hAnsi="Times New Roman" w:cs="Times New Roman"/>
              </w:rPr>
            </w:pPr>
          </w:p>
        </w:tc>
        <w:tc>
          <w:tcPr>
            <w:tcW w:w="0" w:type="auto"/>
            <w:tcBorders>
              <w:top w:val="single" w:sz="4" w:space="0" w:color="auto"/>
              <w:left w:val="nil"/>
              <w:bottom w:val="nil"/>
              <w:right w:val="nil"/>
            </w:tcBorders>
          </w:tcPr>
          <w:p w14:paraId="5565F78B" w14:textId="6D98999F" w:rsidR="00555570" w:rsidRDefault="00555570" w:rsidP="00555570">
            <w:pPr>
              <w:jc w:val="center"/>
              <w:rPr>
                <w:rFonts w:ascii="Times New Roman" w:hAnsi="Times New Roman" w:cs="Times New Roman"/>
              </w:rPr>
            </w:pPr>
          </w:p>
        </w:tc>
        <w:tc>
          <w:tcPr>
            <w:tcW w:w="0" w:type="auto"/>
            <w:tcBorders>
              <w:top w:val="single" w:sz="4" w:space="0" w:color="auto"/>
              <w:left w:val="nil"/>
              <w:bottom w:val="nil"/>
              <w:right w:val="nil"/>
            </w:tcBorders>
          </w:tcPr>
          <w:p w14:paraId="43D672DA" w14:textId="11971F4D" w:rsidR="00555570" w:rsidRDefault="00555570" w:rsidP="00555570">
            <w:pPr>
              <w:rPr>
                <w:rFonts w:ascii="Times New Roman" w:hAnsi="Times New Roman" w:cs="Times New Roman"/>
              </w:rPr>
            </w:pPr>
          </w:p>
        </w:tc>
      </w:tr>
    </w:tbl>
    <w:p w14:paraId="470B5430" w14:textId="77777777" w:rsidR="00122678" w:rsidRDefault="00122678" w:rsidP="00555570">
      <w:pPr>
        <w:rPr>
          <w:rFonts w:ascii="Times New Roman" w:hAnsi="Times New Roman" w:cs="Times New Roman"/>
          <w:b/>
          <w:bCs/>
        </w:rPr>
      </w:pPr>
    </w:p>
    <w:p w14:paraId="1EEF32A2" w14:textId="1F899178" w:rsidR="00555570" w:rsidRPr="00145E25" w:rsidRDefault="00145E25" w:rsidP="00555570">
      <w:pPr>
        <w:rPr>
          <w:rFonts w:ascii="Times New Roman" w:hAnsi="Times New Roman" w:cs="Times New Roman"/>
          <w:b/>
          <w:bCs/>
        </w:rPr>
      </w:pPr>
      <w:r w:rsidRPr="00145E25">
        <w:rPr>
          <w:rFonts w:ascii="Times New Roman" w:hAnsi="Times New Roman" w:cs="Times New Roman"/>
          <w:b/>
          <w:bCs/>
        </w:rPr>
        <w:lastRenderedPageBreak/>
        <w:t xml:space="preserve">Table </w:t>
      </w:r>
      <w:r w:rsidR="00D568EF">
        <w:rPr>
          <w:rFonts w:ascii="Times New Roman" w:hAnsi="Times New Roman" w:cs="Times New Roman"/>
          <w:b/>
          <w:bCs/>
        </w:rPr>
        <w:t>12</w:t>
      </w:r>
      <w:r w:rsidRPr="00145E25">
        <w:rPr>
          <w:rFonts w:ascii="Times New Roman" w:hAnsi="Times New Roman" w:cs="Times New Roman"/>
          <w:b/>
          <w:bCs/>
        </w:rPr>
        <w:t xml:space="preserve"> Continued</w:t>
      </w:r>
    </w:p>
    <w:p w14:paraId="1293A2D0" w14:textId="77777777" w:rsidR="00145E25" w:rsidRPr="004C4DD8" w:rsidRDefault="00145E25" w:rsidP="00555570">
      <w:pPr>
        <w:rPr>
          <w:rFonts w:ascii="Times New Roman" w:hAnsi="Times New Roman" w:cs="Times New Roman"/>
        </w:rPr>
      </w:pPr>
    </w:p>
    <w:tbl>
      <w:tblPr>
        <w:tblStyle w:val="TableGrid"/>
        <w:tblW w:w="0" w:type="auto"/>
        <w:tblLook w:val="04A0" w:firstRow="1" w:lastRow="0" w:firstColumn="1" w:lastColumn="0" w:noHBand="0" w:noVBand="1"/>
      </w:tblPr>
      <w:tblGrid>
        <w:gridCol w:w="1738"/>
        <w:gridCol w:w="1190"/>
        <w:gridCol w:w="1656"/>
        <w:gridCol w:w="770"/>
        <w:gridCol w:w="3286"/>
      </w:tblGrid>
      <w:tr w:rsidR="00145E25" w14:paraId="3DA5EAB7" w14:textId="77777777" w:rsidTr="00122678">
        <w:tc>
          <w:tcPr>
            <w:tcW w:w="0" w:type="auto"/>
            <w:tcBorders>
              <w:top w:val="single" w:sz="4" w:space="0" w:color="auto"/>
              <w:left w:val="nil"/>
              <w:bottom w:val="single" w:sz="4" w:space="0" w:color="auto"/>
              <w:right w:val="nil"/>
            </w:tcBorders>
          </w:tcPr>
          <w:p w14:paraId="7D2D1A32" w14:textId="1856B352" w:rsidR="00145E25" w:rsidRDefault="00145E25" w:rsidP="00145E25">
            <w:pPr>
              <w:rPr>
                <w:rFonts w:ascii="Times New Roman" w:hAnsi="Times New Roman" w:cs="Times New Roman"/>
              </w:rPr>
            </w:pPr>
            <w:r w:rsidRPr="00405BA5">
              <w:rPr>
                <w:rFonts w:ascii="Times New Roman" w:hAnsi="Times New Roman" w:cs="Times New Roman"/>
                <w:b/>
                <w:bCs/>
              </w:rPr>
              <w:t>Variable</w:t>
            </w:r>
          </w:p>
        </w:tc>
        <w:tc>
          <w:tcPr>
            <w:tcW w:w="0" w:type="auto"/>
            <w:tcBorders>
              <w:top w:val="single" w:sz="4" w:space="0" w:color="auto"/>
              <w:left w:val="nil"/>
              <w:bottom w:val="single" w:sz="4" w:space="0" w:color="auto"/>
              <w:right w:val="nil"/>
            </w:tcBorders>
          </w:tcPr>
          <w:p w14:paraId="4652F29D" w14:textId="512A04CA" w:rsidR="00145E25" w:rsidRDefault="00145E25" w:rsidP="00145E25">
            <w:pPr>
              <w:rPr>
                <w:rFonts w:ascii="Times New Roman" w:hAnsi="Times New Roman" w:cs="Times New Roman"/>
              </w:rPr>
            </w:pPr>
            <w:r w:rsidRPr="00405BA5">
              <w:rPr>
                <w:rFonts w:ascii="Times New Roman" w:hAnsi="Times New Roman" w:cs="Times New Roman"/>
                <w:b/>
                <w:bCs/>
              </w:rPr>
              <w:t>Abbrev.</w:t>
            </w:r>
          </w:p>
        </w:tc>
        <w:tc>
          <w:tcPr>
            <w:tcW w:w="0" w:type="auto"/>
            <w:tcBorders>
              <w:top w:val="single" w:sz="4" w:space="0" w:color="auto"/>
              <w:left w:val="nil"/>
              <w:bottom w:val="single" w:sz="4" w:space="0" w:color="auto"/>
              <w:right w:val="nil"/>
            </w:tcBorders>
          </w:tcPr>
          <w:p w14:paraId="77325403" w14:textId="54069578" w:rsidR="00145E25" w:rsidRDefault="00145E25" w:rsidP="00145E25">
            <w:pPr>
              <w:rPr>
                <w:rFonts w:ascii="Times New Roman" w:hAnsi="Times New Roman" w:cs="Times New Roman"/>
              </w:rPr>
            </w:pPr>
            <w:r w:rsidRPr="00405BA5">
              <w:rPr>
                <w:rFonts w:ascii="Times New Roman" w:hAnsi="Times New Roman" w:cs="Times New Roman"/>
                <w:b/>
                <w:bCs/>
              </w:rPr>
              <w:t>Class</w:t>
            </w:r>
          </w:p>
        </w:tc>
        <w:tc>
          <w:tcPr>
            <w:tcW w:w="0" w:type="auto"/>
            <w:tcBorders>
              <w:top w:val="single" w:sz="4" w:space="0" w:color="auto"/>
              <w:left w:val="nil"/>
              <w:bottom w:val="single" w:sz="4" w:space="0" w:color="auto"/>
              <w:right w:val="nil"/>
            </w:tcBorders>
          </w:tcPr>
          <w:p w14:paraId="60CDF544" w14:textId="1BA0FF80" w:rsidR="00145E25" w:rsidRDefault="00145E25" w:rsidP="00145E25">
            <w:pPr>
              <w:jc w:val="center"/>
              <w:rPr>
                <w:rFonts w:ascii="Times New Roman" w:hAnsi="Times New Roman" w:cs="Times New Roman"/>
              </w:rPr>
            </w:pPr>
            <w:r w:rsidRPr="00405BA5">
              <w:rPr>
                <w:rFonts w:ascii="Times New Roman" w:hAnsi="Times New Roman" w:cs="Times New Roman"/>
                <w:b/>
                <w:bCs/>
              </w:rPr>
              <w:t>Pred.</w:t>
            </w:r>
          </w:p>
        </w:tc>
        <w:tc>
          <w:tcPr>
            <w:tcW w:w="0" w:type="auto"/>
            <w:tcBorders>
              <w:top w:val="single" w:sz="4" w:space="0" w:color="auto"/>
              <w:left w:val="nil"/>
              <w:bottom w:val="single" w:sz="4" w:space="0" w:color="auto"/>
              <w:right w:val="nil"/>
            </w:tcBorders>
          </w:tcPr>
          <w:p w14:paraId="58472D69" w14:textId="0A76A25A" w:rsidR="00145E25" w:rsidRDefault="00145E25" w:rsidP="00145E25">
            <w:pPr>
              <w:rPr>
                <w:rFonts w:ascii="Times New Roman" w:hAnsi="Times New Roman" w:cs="Times New Roman"/>
              </w:rPr>
            </w:pPr>
            <w:r w:rsidRPr="00405BA5">
              <w:rPr>
                <w:rFonts w:ascii="Times New Roman" w:hAnsi="Times New Roman" w:cs="Times New Roman"/>
                <w:b/>
                <w:bCs/>
              </w:rPr>
              <w:t>Description</w:t>
            </w:r>
          </w:p>
        </w:tc>
      </w:tr>
      <w:tr w:rsidR="00145E25" w14:paraId="49035DAC" w14:textId="77777777" w:rsidTr="00122678">
        <w:tc>
          <w:tcPr>
            <w:tcW w:w="0" w:type="auto"/>
            <w:tcBorders>
              <w:top w:val="single" w:sz="4" w:space="0" w:color="auto"/>
              <w:left w:val="nil"/>
              <w:bottom w:val="nil"/>
              <w:right w:val="nil"/>
            </w:tcBorders>
          </w:tcPr>
          <w:p w14:paraId="72B73E3E" w14:textId="77777777" w:rsidR="00145E25" w:rsidRDefault="00145E25" w:rsidP="00145E25">
            <w:pPr>
              <w:rPr>
                <w:rFonts w:ascii="Times New Roman" w:hAnsi="Times New Roman" w:cs="Times New Roman"/>
              </w:rPr>
            </w:pPr>
            <w:r>
              <w:rPr>
                <w:rFonts w:ascii="Times New Roman" w:hAnsi="Times New Roman" w:cs="Times New Roman"/>
              </w:rPr>
              <w:t>Mean catchment NDVI</w:t>
            </w:r>
          </w:p>
        </w:tc>
        <w:tc>
          <w:tcPr>
            <w:tcW w:w="0" w:type="auto"/>
            <w:tcBorders>
              <w:top w:val="single" w:sz="4" w:space="0" w:color="auto"/>
              <w:left w:val="nil"/>
              <w:bottom w:val="nil"/>
              <w:right w:val="nil"/>
            </w:tcBorders>
          </w:tcPr>
          <w:p w14:paraId="7ADBCFAD" w14:textId="77777777" w:rsidR="00145E25" w:rsidRDefault="00145E25" w:rsidP="00145E25">
            <w:pPr>
              <w:rPr>
                <w:rFonts w:ascii="Times New Roman" w:hAnsi="Times New Roman" w:cs="Times New Roman"/>
              </w:rPr>
            </w:pPr>
            <w:r>
              <w:rPr>
                <w:rFonts w:ascii="Times New Roman" w:hAnsi="Times New Roman" w:cs="Times New Roman"/>
              </w:rPr>
              <w:t>NDVI</w:t>
            </w:r>
          </w:p>
        </w:tc>
        <w:tc>
          <w:tcPr>
            <w:tcW w:w="0" w:type="auto"/>
            <w:tcBorders>
              <w:top w:val="single" w:sz="4" w:space="0" w:color="auto"/>
              <w:left w:val="nil"/>
              <w:bottom w:val="nil"/>
              <w:right w:val="nil"/>
            </w:tcBorders>
          </w:tcPr>
          <w:p w14:paraId="5DBB1A0E" w14:textId="77777777" w:rsidR="00145E25" w:rsidRDefault="00145E25" w:rsidP="00145E25">
            <w:pPr>
              <w:rPr>
                <w:rFonts w:ascii="Times New Roman" w:hAnsi="Times New Roman" w:cs="Times New Roman"/>
              </w:rPr>
            </w:pPr>
            <w:r>
              <w:rPr>
                <w:rFonts w:ascii="Times New Roman" w:hAnsi="Times New Roman" w:cs="Times New Roman"/>
              </w:rPr>
              <w:t>Productivity</w:t>
            </w:r>
          </w:p>
        </w:tc>
        <w:tc>
          <w:tcPr>
            <w:tcW w:w="0" w:type="auto"/>
            <w:tcBorders>
              <w:top w:val="single" w:sz="4" w:space="0" w:color="auto"/>
              <w:left w:val="nil"/>
              <w:bottom w:val="nil"/>
              <w:right w:val="nil"/>
            </w:tcBorders>
          </w:tcPr>
          <w:p w14:paraId="6DE36ED0" w14:textId="77777777" w:rsidR="00145E25" w:rsidRDefault="00145E25" w:rsidP="00145E25">
            <w:pPr>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nil"/>
              <w:bottom w:val="nil"/>
              <w:right w:val="nil"/>
            </w:tcBorders>
          </w:tcPr>
          <w:p w14:paraId="491F18B3" w14:textId="77777777" w:rsidR="00145E25" w:rsidRDefault="00145E25" w:rsidP="00145E25">
            <w:pPr>
              <w:rPr>
                <w:rFonts w:ascii="Times New Roman" w:hAnsi="Times New Roman" w:cs="Times New Roman"/>
              </w:rPr>
            </w:pPr>
            <w:r>
              <w:rPr>
                <w:rFonts w:ascii="Times New Roman" w:hAnsi="Times New Roman" w:cs="Times New Roman"/>
              </w:rPr>
              <w:t xml:space="preserve">Increasing productivity relaxes constraints on upper body size limits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{"citationItems":[{"id":"ITEM-1","itemData":{"author":[{"dropping-particle":"","family":"Rosenzweig","given":"Michael L.","non-dropping-particle":"","parse-names":false,"suffix":""}],"container-title":"The American Midland Naturalist","id":"ITEM-1","issue":"2","issued":{"date-parts":[["1968"]]},"page":"299-315","title":"The Strategy of Body Size in Mammalian Carnivores","type":"article-journal","volume":"80"},"uris":["http://www.mendeley.com/documents/?uuid=074b8823-e625-4c72-89e1-a0612a6a67fc"]}],"mendeley":{"formattedCitation":"(Rosenzweig 1968)","plainTextFormattedCitation":"(Rosenzweig 1968)","previouslyFormattedCitation":"(Rosenzweig 1968)"},"properties":{"noteIndex":0},"schema":"https://github.com/citation-style-language/schema/raw/master/csl-citation.json"}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(Rosenzweig 1968)</w:t>
            </w:r>
            <w:r>
              <w:rPr>
                <w:rFonts w:ascii="Times New Roman" w:hAnsi="Times New Roman" w:cs="Times New Roman"/>
              </w:rPr>
              <w:fldChar w:fldCharType="end"/>
            </w:r>
          </w:p>
        </w:tc>
      </w:tr>
      <w:tr w:rsidR="00145E25" w14:paraId="36AA3340" w14:textId="77777777" w:rsidTr="00122678">
        <w:tc>
          <w:tcPr>
            <w:tcW w:w="0" w:type="auto"/>
            <w:tcBorders>
              <w:top w:val="nil"/>
              <w:left w:val="nil"/>
              <w:bottom w:val="nil"/>
              <w:right w:val="nil"/>
            </w:tcBorders>
          </w:tcPr>
          <w:p w14:paraId="212D76BD" w14:textId="77777777" w:rsidR="00145E25" w:rsidRDefault="00145E25" w:rsidP="00145E25">
            <w:pPr>
              <w:rPr>
                <w:rFonts w:ascii="Times New Roman" w:hAnsi="Times New Roman" w:cs="Times New Roman"/>
              </w:rPr>
            </w:pPr>
            <w:r>
              <w:rPr>
                <w:rFonts w:ascii="Times New Roman" w:hAnsi="Times New Roman" w:cs="Times New Roman"/>
              </w:rPr>
              <w:t xml:space="preserve">Catchment NDVI CV </w:t>
            </w:r>
          </w:p>
        </w:tc>
        <w:tc>
          <w:tcPr>
            <w:tcW w:w="0" w:type="auto"/>
            <w:tcBorders>
              <w:top w:val="nil"/>
              <w:left w:val="nil"/>
              <w:bottom w:val="nil"/>
              <w:right w:val="nil"/>
            </w:tcBorders>
          </w:tcPr>
          <w:p w14:paraId="6830EFAC" w14:textId="77777777" w:rsidR="00145E25" w:rsidRDefault="00145E25" w:rsidP="00145E25">
            <w:pPr>
              <w:rPr>
                <w:rFonts w:ascii="Times New Roman" w:hAnsi="Times New Roman" w:cs="Times New Roman"/>
              </w:rPr>
            </w:pPr>
            <w:r>
              <w:rPr>
                <w:rFonts w:ascii="Times New Roman" w:hAnsi="Times New Roman" w:cs="Times New Roman"/>
              </w:rPr>
              <w:t>NDVICV</w:t>
            </w:r>
          </w:p>
        </w:tc>
        <w:tc>
          <w:tcPr>
            <w:tcW w:w="0" w:type="auto"/>
            <w:tcBorders>
              <w:top w:val="nil"/>
              <w:left w:val="nil"/>
              <w:bottom w:val="nil"/>
              <w:right w:val="nil"/>
            </w:tcBorders>
          </w:tcPr>
          <w:p w14:paraId="38679079" w14:textId="77777777" w:rsidR="00145E25" w:rsidRDefault="00145E25" w:rsidP="00145E25">
            <w:pPr>
              <w:rPr>
                <w:rFonts w:ascii="Times New Roman" w:hAnsi="Times New Roman" w:cs="Times New Roman"/>
              </w:rPr>
            </w:pPr>
            <w:r>
              <w:rPr>
                <w:rFonts w:ascii="Times New Roman" w:hAnsi="Times New Roman" w:cs="Times New Roman"/>
              </w:rPr>
              <w:t>Seasonality</w:t>
            </w:r>
          </w:p>
        </w:tc>
        <w:tc>
          <w:tcPr>
            <w:tcW w:w="0" w:type="auto"/>
            <w:tcBorders>
              <w:top w:val="nil"/>
              <w:left w:val="nil"/>
              <w:bottom w:val="nil"/>
              <w:right w:val="nil"/>
            </w:tcBorders>
          </w:tcPr>
          <w:p w14:paraId="781E3683" w14:textId="77777777" w:rsidR="00145E25" w:rsidRDefault="00145E25" w:rsidP="00145E25">
            <w:pPr>
              <w:jc w:val="center"/>
              <w:rPr>
                <w:rFonts w:ascii="Times New Roman" w:hAnsi="Times New Roman" w:cs="Times New Roman"/>
              </w:rPr>
            </w:pPr>
            <w:r>
              <w:rPr>
                <w:rFonts w:ascii="Times New Roman" w:hAnsi="Times New Roman" w:cs="Times New Roman"/>
                <w:b/>
              </w:rPr>
              <w:t>–</w:t>
            </w:r>
          </w:p>
        </w:tc>
        <w:tc>
          <w:tcPr>
            <w:tcW w:w="0" w:type="auto"/>
            <w:tcBorders>
              <w:top w:val="nil"/>
              <w:left w:val="nil"/>
              <w:bottom w:val="nil"/>
              <w:right w:val="nil"/>
            </w:tcBorders>
          </w:tcPr>
          <w:p w14:paraId="3A1E4783" w14:textId="77777777" w:rsidR="00145E25" w:rsidRDefault="00145E25" w:rsidP="00145E25">
            <w:pPr>
              <w:rPr>
                <w:rFonts w:ascii="Times New Roman" w:hAnsi="Times New Roman" w:cs="Times New Roman"/>
              </w:rPr>
            </w:pPr>
            <w:r>
              <w:rPr>
                <w:rFonts w:ascii="Times New Roman" w:hAnsi="Times New Roman" w:cs="Times New Roman"/>
              </w:rPr>
              <w:t>Greater resource seasonality limits larger body size</w:t>
            </w:r>
          </w:p>
        </w:tc>
      </w:tr>
      <w:tr w:rsidR="00145E25" w14:paraId="0613219A" w14:textId="77777777" w:rsidTr="00122678">
        <w:tc>
          <w:tcPr>
            <w:tcW w:w="0" w:type="auto"/>
            <w:tcBorders>
              <w:top w:val="nil"/>
              <w:left w:val="nil"/>
              <w:bottom w:val="nil"/>
              <w:right w:val="nil"/>
            </w:tcBorders>
          </w:tcPr>
          <w:p w14:paraId="3A7CDCBE" w14:textId="77777777" w:rsidR="00145E25" w:rsidRDefault="00145E25" w:rsidP="00145E25">
            <w:pPr>
              <w:rPr>
                <w:rFonts w:ascii="Times New Roman" w:hAnsi="Times New Roman" w:cs="Times New Roman"/>
              </w:rPr>
            </w:pPr>
            <w:r>
              <w:rPr>
                <w:rFonts w:ascii="Times New Roman" w:hAnsi="Times New Roman" w:cs="Times New Roman"/>
              </w:rPr>
              <w:t>Discharge</w:t>
            </w:r>
          </w:p>
        </w:tc>
        <w:tc>
          <w:tcPr>
            <w:tcW w:w="0" w:type="auto"/>
            <w:tcBorders>
              <w:top w:val="nil"/>
              <w:left w:val="nil"/>
              <w:bottom w:val="nil"/>
              <w:right w:val="nil"/>
            </w:tcBorders>
          </w:tcPr>
          <w:p w14:paraId="632D2B3B" w14:textId="77777777" w:rsidR="00145E25" w:rsidRDefault="00145E25" w:rsidP="00145E25">
            <w:pPr>
              <w:rPr>
                <w:rFonts w:ascii="Times New Roman" w:hAnsi="Times New Roman" w:cs="Times New Roman"/>
              </w:rPr>
            </w:pPr>
            <w:r>
              <w:rPr>
                <w:rFonts w:ascii="Times New Roman" w:hAnsi="Times New Roman" w:cs="Times New Roman"/>
              </w:rPr>
              <w:t>Q</w:t>
            </w:r>
          </w:p>
        </w:tc>
        <w:tc>
          <w:tcPr>
            <w:tcW w:w="0" w:type="auto"/>
            <w:tcBorders>
              <w:top w:val="nil"/>
              <w:left w:val="nil"/>
              <w:bottom w:val="nil"/>
              <w:right w:val="nil"/>
            </w:tcBorders>
          </w:tcPr>
          <w:p w14:paraId="56E057D7" w14:textId="77777777" w:rsidR="00145E25" w:rsidRDefault="00145E25" w:rsidP="00145E25">
            <w:pPr>
              <w:rPr>
                <w:rFonts w:ascii="Times New Roman" w:hAnsi="Times New Roman" w:cs="Times New Roman"/>
              </w:rPr>
            </w:pPr>
            <w:r>
              <w:rPr>
                <w:rFonts w:ascii="Times New Roman" w:hAnsi="Times New Roman" w:cs="Times New Roman"/>
              </w:rPr>
              <w:t>Area</w:t>
            </w:r>
          </w:p>
        </w:tc>
        <w:tc>
          <w:tcPr>
            <w:tcW w:w="0" w:type="auto"/>
            <w:tcBorders>
              <w:top w:val="nil"/>
              <w:left w:val="nil"/>
              <w:bottom w:val="nil"/>
              <w:right w:val="nil"/>
            </w:tcBorders>
          </w:tcPr>
          <w:p w14:paraId="7796B209" w14:textId="77777777" w:rsidR="00145E25" w:rsidRDefault="00145E25" w:rsidP="00145E25">
            <w:pPr>
              <w:jc w:val="center"/>
              <w:rPr>
                <w:rFonts w:ascii="Times New Roman" w:hAnsi="Times New Roman" w:cs="Times New Roman"/>
              </w:rPr>
            </w:pPr>
            <w:r>
              <w:rPr>
                <w:rFonts w:ascii="Times New Roman" w:hAnsi="Times New Roman" w:cs="Times New Roman"/>
              </w:rPr>
              <w:t>+</w:t>
            </w:r>
          </w:p>
        </w:tc>
        <w:tc>
          <w:tcPr>
            <w:tcW w:w="0" w:type="auto"/>
            <w:tcBorders>
              <w:top w:val="nil"/>
              <w:left w:val="nil"/>
              <w:bottom w:val="nil"/>
              <w:right w:val="nil"/>
            </w:tcBorders>
          </w:tcPr>
          <w:p w14:paraId="6B3908CA" w14:textId="77777777" w:rsidR="00145E25" w:rsidRDefault="00145E25" w:rsidP="00145E25">
            <w:pPr>
              <w:rPr>
                <w:rFonts w:ascii="Times New Roman" w:hAnsi="Times New Roman" w:cs="Times New Roman"/>
              </w:rPr>
            </w:pPr>
            <w:r>
              <w:rPr>
                <w:rFonts w:ascii="Times New Roman" w:hAnsi="Times New Roman" w:cs="Times New Roman"/>
              </w:rPr>
              <w:t xml:space="preserve">Q estimates local area available to aquatic biota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{"citationItems":[{"id":"ITEM-1","itemData":{"DOI":"10.1086/674967.","author":[{"dropping-particle":"","family":"McGarvey","given":"Daniel J","non-dropping-particle":"","parse-names":false,"suffix":""}],"container-title":"Freshwater Science","id":"ITEM-1","issue":"1","issued":{"date-parts":[["2014"]]},"page":"18-31","title":"Moving beyond species- discharge relationships to a flow-mediated, macroecological theory of fish species richness","type":"article-journal","volume":"33"},"uris":["http://www.mendeley.com/documents/?uuid=dda850bd-607e-48c1-95ea-33e6c8e6b7b6"]}],"mendeley":{"formattedCitation":"(McGarvey 2014)","plainTextFormattedCitation":"(McGarvey 2014)","previouslyFormattedCitation":"(McGarvey 2014)"},"properties":{"noteIndex":0},"schema":"https://github.com/citation-style-language/schema/raw/master/csl-citation.json"}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(McGarvey 2014)</w:t>
            </w:r>
            <w:r>
              <w:rPr>
                <w:rFonts w:ascii="Times New Roman" w:hAnsi="Times New Roman" w:cs="Times New Roman"/>
              </w:rPr>
              <w:fldChar w:fldCharType="end"/>
            </w:r>
          </w:p>
        </w:tc>
      </w:tr>
      <w:tr w:rsidR="00145E25" w14:paraId="6B188616" w14:textId="77777777" w:rsidTr="00122678">
        <w:tc>
          <w:tcPr>
            <w:tcW w:w="0" w:type="auto"/>
            <w:tcBorders>
              <w:top w:val="nil"/>
              <w:left w:val="nil"/>
              <w:bottom w:val="nil"/>
              <w:right w:val="nil"/>
            </w:tcBorders>
          </w:tcPr>
          <w:p w14:paraId="26FCB9EF" w14:textId="77777777" w:rsidR="00145E25" w:rsidRDefault="00145E25" w:rsidP="00145E25">
            <w:pPr>
              <w:rPr>
                <w:rFonts w:ascii="Times New Roman" w:hAnsi="Times New Roman" w:cs="Times New Roman"/>
              </w:rPr>
            </w:pPr>
            <w:r>
              <w:rPr>
                <w:rFonts w:ascii="Times New Roman" w:hAnsi="Times New Roman" w:cs="Times New Roman"/>
              </w:rPr>
              <w:t>CV of monthly discharge</w:t>
            </w:r>
          </w:p>
        </w:tc>
        <w:tc>
          <w:tcPr>
            <w:tcW w:w="0" w:type="auto"/>
            <w:tcBorders>
              <w:top w:val="nil"/>
              <w:left w:val="nil"/>
              <w:bottom w:val="nil"/>
              <w:right w:val="nil"/>
            </w:tcBorders>
          </w:tcPr>
          <w:p w14:paraId="4875C703" w14:textId="77777777" w:rsidR="00145E25" w:rsidRDefault="00145E25" w:rsidP="00145E25">
            <w:pPr>
              <w:rPr>
                <w:rFonts w:ascii="Times New Roman" w:hAnsi="Times New Roman" w:cs="Times New Roman"/>
              </w:rPr>
            </w:pPr>
            <w:r>
              <w:rPr>
                <w:rFonts w:ascii="Times New Roman" w:hAnsi="Times New Roman" w:cs="Times New Roman"/>
              </w:rPr>
              <w:t>QCV</w:t>
            </w:r>
          </w:p>
        </w:tc>
        <w:tc>
          <w:tcPr>
            <w:tcW w:w="0" w:type="auto"/>
            <w:tcBorders>
              <w:top w:val="nil"/>
              <w:left w:val="nil"/>
              <w:bottom w:val="nil"/>
              <w:right w:val="nil"/>
            </w:tcBorders>
          </w:tcPr>
          <w:p w14:paraId="696098FA" w14:textId="77777777" w:rsidR="00145E25" w:rsidRDefault="00145E25" w:rsidP="00145E25">
            <w:pPr>
              <w:rPr>
                <w:rFonts w:ascii="Times New Roman" w:hAnsi="Times New Roman" w:cs="Times New Roman"/>
              </w:rPr>
            </w:pPr>
            <w:r>
              <w:rPr>
                <w:rFonts w:ascii="Times New Roman" w:hAnsi="Times New Roman" w:cs="Times New Roman"/>
              </w:rPr>
              <w:t>Seasonality</w:t>
            </w:r>
          </w:p>
        </w:tc>
        <w:tc>
          <w:tcPr>
            <w:tcW w:w="0" w:type="auto"/>
            <w:tcBorders>
              <w:top w:val="nil"/>
              <w:left w:val="nil"/>
              <w:bottom w:val="nil"/>
              <w:right w:val="nil"/>
            </w:tcBorders>
          </w:tcPr>
          <w:p w14:paraId="39D99553" w14:textId="77777777" w:rsidR="00145E25" w:rsidRDefault="00145E25" w:rsidP="00145E25">
            <w:pPr>
              <w:jc w:val="center"/>
              <w:rPr>
                <w:rFonts w:ascii="Times New Roman" w:hAnsi="Times New Roman" w:cs="Times New Roman"/>
              </w:rPr>
            </w:pPr>
            <w:r>
              <w:rPr>
                <w:rFonts w:ascii="Times New Roman" w:hAnsi="Times New Roman" w:cs="Times New Roman"/>
                <w:b/>
              </w:rPr>
              <w:t>–</w:t>
            </w:r>
          </w:p>
        </w:tc>
        <w:tc>
          <w:tcPr>
            <w:tcW w:w="0" w:type="auto"/>
            <w:tcBorders>
              <w:top w:val="nil"/>
              <w:left w:val="nil"/>
              <w:bottom w:val="nil"/>
              <w:right w:val="nil"/>
            </w:tcBorders>
          </w:tcPr>
          <w:p w14:paraId="6B425735" w14:textId="77777777" w:rsidR="00145E25" w:rsidRDefault="00145E25" w:rsidP="00145E25">
            <w:pPr>
              <w:rPr>
                <w:rFonts w:ascii="Times New Roman" w:hAnsi="Times New Roman" w:cs="Times New Roman"/>
              </w:rPr>
            </w:pPr>
            <w:r>
              <w:rPr>
                <w:rFonts w:ascii="Times New Roman" w:hAnsi="Times New Roman" w:cs="Times New Roman"/>
              </w:rPr>
              <w:t xml:space="preserve">More variable streamflow regimes are characterized by smaller-bodied opportunistic species </w:t>
            </w:r>
            <w:r>
              <w:rPr>
                <w:rFonts w:ascii="Times New Roman" w:hAnsi="Times New Roman" w:cs="Times New Roman"/>
              </w:rPr>
              <w:fldChar w:fldCharType="begin" w:fldLock="1"/>
            </w:r>
            <w:r>
              <w:rPr>
                <w:rFonts w:ascii="Times New Roman" w:hAnsi="Times New Roman" w:cs="Times New Roman"/>
              </w:rPr>
              <w:instrText>ADDIN CSL_CITATION {"citationItems":[{"id":"ITEM-1","itemData":{"DOI":"10.1890/11-0370.1","ISBN":"0012-9658","ISSN":"00129658","PMID":"22486085","abstract":"The hydrologic regime is regarded as the primary driver of freshwater ecosystems, structuring the physical habitat template, providing connectivity, framing biotic interactions, and ultimately selecting for specific life histories of aquatic organisms. In the present study, we tested ecological theory predicting directional relationships between major dimensions of the flow regime and life history composition of fish assemblages in perennial free-flowing rivers throughout the continental United States. Using long-term discharge records and fish trait and survey data for 109 stream locations, we found that 11 out of 18 relationships (61%) tested between the three life history strategies (opportunistic, periodic, and equilibrium) and six hydrologic metrics (two each describing flow variability, predictability, and seasonality) were statistically significant (P &lt; or = 0.05) according to quantile regression. Our results largely support a priori hypotheses of relationships between specific flow indices and relative prevalence of fish life history strategies, with 82% of all significant relationships observed supporting predictions from life history theory. Specifically, we found that (1) opportunistic strategists were positively related to measures of flow variability and negatively related to predictability and seasonality, (2) periodic strategists were positively related to high flow seasonality and negatively related to variability, and (3) the equilibrium strategists were negatively related to flow variability and positively related to predictability. Our study provides important empirical evidence illustrating the value of using life history theory to understand both the patterns and processes by which fish assemblage structure is shaped by adaptation to natural regimes of variability, predictability, and seasonality of critical flow events over broad biogeographic scales.","author":[{"dropping-particle":"","family":"Mims","given":"Meryl C.","non-dropping-particle":"","parse-names":false,"suffix":""},{"dropping-particle":"","family":"Olden","given":"Julian D.","non-dropping-particle":"","parse-names":false,"suffix":""}],"container-title":"Ecology","id":"ITEM-1","issue":"1","issued":{"date-parts":[["2012"]]},"note":"Variability, predictability, seasonality of flow regimes- functional responses of fishes, \nflow regime= key determinant of fish life history composition across a broad biogeographical scale","page":"35-45","title":"Life history theory predicts fish assemblage response to hydrologic regimes","type":"article-journal","volume":"93"},"uris":["http://www.mendeley.com/documents/?uuid=9a5365c4-59ef-4f96-a007-568a9f543e8c"]}],"mendeley":{"formattedCitation":"(Mims &amp; Olden 2012)","plainTextFormattedCitation":"(Mims &amp; Olden 2012)","previouslyFormattedCitation":"(Mims &amp; Olden 2012)"},"properties":{"noteIndex":0},"schema":"https://github.com/citation-style-language/schema/raw/master/csl-citation.json"}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(Mims &amp; Olden 2012)</w:t>
            </w:r>
            <w:r>
              <w:rPr>
                <w:rFonts w:ascii="Times New Roman" w:hAnsi="Times New Roman" w:cs="Times New Roman"/>
              </w:rPr>
              <w:fldChar w:fldCharType="end"/>
            </w:r>
          </w:p>
        </w:tc>
      </w:tr>
      <w:tr w:rsidR="00145E25" w14:paraId="051CD81A" w14:textId="77777777" w:rsidTr="00122678">
        <w:tc>
          <w:tcPr>
            <w:tcW w:w="0" w:type="auto"/>
            <w:tcBorders>
              <w:top w:val="nil"/>
              <w:left w:val="nil"/>
              <w:bottom w:val="nil"/>
              <w:right w:val="nil"/>
            </w:tcBorders>
          </w:tcPr>
          <w:p w14:paraId="26DCE152" w14:textId="77777777" w:rsidR="00145E25" w:rsidRDefault="00145E25" w:rsidP="00145E25">
            <w:pPr>
              <w:rPr>
                <w:rFonts w:ascii="Times New Roman" w:hAnsi="Times New Roman" w:cs="Times New Roman"/>
              </w:rPr>
            </w:pPr>
            <w:r>
              <w:rPr>
                <w:rFonts w:ascii="Times New Roman" w:hAnsi="Times New Roman" w:cs="Times New Roman"/>
              </w:rPr>
              <w:t>Mean catchment temperature</w:t>
            </w:r>
          </w:p>
        </w:tc>
        <w:tc>
          <w:tcPr>
            <w:tcW w:w="0" w:type="auto"/>
            <w:tcBorders>
              <w:top w:val="nil"/>
              <w:left w:val="nil"/>
              <w:bottom w:val="nil"/>
              <w:right w:val="nil"/>
            </w:tcBorders>
          </w:tcPr>
          <w:p w14:paraId="02BCCCDA" w14:textId="77777777" w:rsidR="00145E25" w:rsidRDefault="00145E25" w:rsidP="00145E25">
            <w:pPr>
              <w:rPr>
                <w:rFonts w:ascii="Times New Roman" w:hAnsi="Times New Roman" w:cs="Times New Roman"/>
              </w:rPr>
            </w:pPr>
            <w:r>
              <w:rPr>
                <w:rFonts w:ascii="Times New Roman" w:hAnsi="Times New Roman" w:cs="Times New Roman"/>
              </w:rPr>
              <w:t>TMP</w:t>
            </w:r>
          </w:p>
        </w:tc>
        <w:tc>
          <w:tcPr>
            <w:tcW w:w="0" w:type="auto"/>
            <w:tcBorders>
              <w:top w:val="nil"/>
              <w:left w:val="nil"/>
              <w:bottom w:val="nil"/>
              <w:right w:val="nil"/>
            </w:tcBorders>
          </w:tcPr>
          <w:p w14:paraId="200B744E" w14:textId="77777777" w:rsidR="00145E25" w:rsidRDefault="00145E25" w:rsidP="00145E25">
            <w:pPr>
              <w:rPr>
                <w:rFonts w:ascii="Times New Roman" w:hAnsi="Times New Roman" w:cs="Times New Roman"/>
              </w:rPr>
            </w:pPr>
            <w:r>
              <w:rPr>
                <w:rFonts w:ascii="Times New Roman" w:hAnsi="Times New Roman" w:cs="Times New Roman"/>
              </w:rPr>
              <w:t>Climate</w:t>
            </w:r>
          </w:p>
        </w:tc>
        <w:tc>
          <w:tcPr>
            <w:tcW w:w="0" w:type="auto"/>
            <w:tcBorders>
              <w:top w:val="nil"/>
              <w:left w:val="nil"/>
              <w:bottom w:val="nil"/>
              <w:right w:val="nil"/>
            </w:tcBorders>
          </w:tcPr>
          <w:p w14:paraId="72799526" w14:textId="77777777" w:rsidR="00145E25" w:rsidRDefault="00145E25" w:rsidP="00145E25">
            <w:pPr>
              <w:jc w:val="center"/>
              <w:rPr>
                <w:rFonts w:ascii="Times New Roman" w:hAnsi="Times New Roman" w:cs="Times New Roman"/>
              </w:rPr>
            </w:pPr>
            <w:r>
              <w:rPr>
                <w:rFonts w:ascii="Times New Roman" w:hAnsi="Times New Roman" w:cs="Times New Roman"/>
                <w:b/>
              </w:rPr>
              <w:t>–</w:t>
            </w:r>
          </w:p>
        </w:tc>
        <w:tc>
          <w:tcPr>
            <w:tcW w:w="0" w:type="auto"/>
            <w:tcBorders>
              <w:top w:val="nil"/>
              <w:left w:val="nil"/>
              <w:bottom w:val="nil"/>
              <w:right w:val="nil"/>
            </w:tcBorders>
          </w:tcPr>
          <w:p w14:paraId="3D5BC838" w14:textId="77777777" w:rsidR="00145E25" w:rsidRDefault="00145E25" w:rsidP="00145E25">
            <w:pPr>
              <w:rPr>
                <w:rFonts w:ascii="Times New Roman" w:hAnsi="Times New Roman" w:cs="Times New Roman"/>
              </w:rPr>
            </w:pPr>
            <w:r>
              <w:rPr>
                <w:rFonts w:ascii="Times New Roman" w:hAnsi="Times New Roman" w:cs="Times New Roman"/>
              </w:rPr>
              <w:t xml:space="preserve">Larger-bodied ectotherms have greater thermal inertia </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{"citationItems":[{"id":"ITEM-1","itemData":{"DOI":"10.1111/ele.13107","ISSN":"14610248","PMID":"30009486","abstract":"Thermal acclimation capacity, the degree to which organisms can alter their optimal performance temperature and critical thermal limits with changing temperatures, reflects their ability to respond to temperature variability and thus might be important for coping with global climate change. Here, we combine simulation modelling with analysis of published data on thermal acclimation and breadth (range of temperatures over which organisms perform well) to develop a framework for predicting thermal plasticity across taxa, latitudes, body sizes, traits, habitats and methodological factors. Our synthesis includes &gt; 2000 measures of acclimation capacities from &gt; 500 species of ectotherms spanning fungi, invertebrates, and vertebrates from freshwater, marine and terrestrial habitats. We find that body size, latitude, and methodological factors often interact to shape acclimation responses and that acclimation rate scales negatively with body size, contributing to a general negative association between body size and thermal breadth across species. Additionally, we reveal that acclimation capacity increases with body size, increases with latitude (to mid-latitudinal zones) and seasonality for smaller but not larger organisms, decreases with thermal safety margin (upper lethal temperature minus maximum environmental temperatures), and is regularly underestimated because of experimental artefacts. We then demonstrate that our framework can predict the contribution of acclimation plasticity to the IUCN threat status of amphibians globally, suggesting that phenotypic plasticity is already buffering some species from climate change.","author":[{"dropping-particle":"","family":"Rohr","given":"Jason R.","non-dropping-particle":"","parse-names":false,"suffix":""},{"dropping-particle":"","family":"Civitello","given":"David J.","non-dropping-particle":"","parse-names":false,"suffix":""},{"dropping-particle":"","family":"Cohen","given":"Jeremy M.","non-dropping-particle":"","parse-names":false,"suffix":""},{"dropping-particle":"","family":"Roznik","given":"Elizabeth A.","non-dropping-particle":"","parse-names":false,"suffix":""},{"dropping-particle":"","family":"Sinervo","given":"Barry","non-dropping-particle":"","parse-names":false,"suffix":""},{"dropping-particle":"","family":"Dell","given":"Anthony I.","non-dropping-particle":"","parse-names":false,"suffix":""}],"container-title":"Ecology Letters","id":"ITEM-1","issue":"9","issued":{"date-parts":[["2018"]]},"page":"1425-1439","title":"The complex drivers of thermal acclimation and breadth in ectotherms","type":"article-journal","volume":"21"},"uris":["http://www.mendeley.com/documents/?uuid=0c0b53bc-594f-481d-b064-7b1c66008583"]}],"mendeley":{"formattedCitation":"(Rohr &lt;i&gt;et al.&lt;/i&gt; 2018)","plainTextFormattedCitation":"(Rohr et al. 2018)","previouslyFormattedCitation":"(Rohr &lt;i&gt;et al.&lt;/i&gt; 2018)"},"properties":{"noteIndex":0},"schema":"https://github.com/citation-style-language/schema/raw/master/csl-citation.json"}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 xml:space="preserve">(Rohr </w:t>
            </w:r>
            <w:r w:rsidRPr="00F26637">
              <w:rPr>
                <w:rFonts w:ascii="Times New Roman" w:hAnsi="Times New Roman" w:cs="Times New Roman"/>
                <w:i/>
                <w:noProof/>
              </w:rPr>
              <w:t>et al.</w:t>
            </w:r>
            <w:r w:rsidRPr="00F26637">
              <w:rPr>
                <w:rFonts w:ascii="Times New Roman" w:hAnsi="Times New Roman" w:cs="Times New Roman"/>
                <w:noProof/>
              </w:rPr>
              <w:t xml:space="preserve"> 2018)</w:t>
            </w:r>
            <w:r>
              <w:rPr>
                <w:rFonts w:ascii="Times New Roman" w:hAnsi="Times New Roman" w:cs="Times New Roman"/>
              </w:rPr>
              <w:fldChar w:fldCharType="end"/>
            </w:r>
            <w:r>
              <w:rPr>
                <w:rFonts w:ascii="Times New Roman" w:hAnsi="Times New Roman" w:cs="Times New Roman"/>
              </w:rPr>
              <w:t xml:space="preserve"> and/or exhibit counter-gradient growth </w:t>
            </w:r>
            <w:r>
              <w:rPr>
                <w:rFonts w:ascii="Times New Roman" w:hAnsi="Times New Roman" w:cs="Times New Roman"/>
              </w:rPr>
              <w:fldChar w:fldCharType="begin" w:fldLock="1"/>
            </w:r>
            <w:r>
              <w:rPr>
                <w:rFonts w:ascii="Times New Roman" w:hAnsi="Times New Roman" w:cs="Times New Roman"/>
              </w:rPr>
              <w:instrText>ADDIN CSL_CITATION {"citationItems":[{"id":"ITEM-1","itemData":{"DOI":"10.1086/674094","ISBN":"00030147","ISSN":"0003-0147","PMID":"24334744","abstract":"Understanding general rules governing macroecological body size variations is one of the oldest pursuits in ecology. However, this science has been dominated by studies of terrestrial vertebrates, spurring debate over the validity of such rules in other taxonomic groups. Here, relationships between maximum body size and latitude, temperature, and elevation were evaluated for 29 North American freshwater fish species. Bergmann's rule (i.e., that body size correlates positively with latitude and negatively with temperature) was observed in 38% of species, converse Bergmann's rule (that body size correlates negatively with latitude and positively with temperature) was observed in 34% of species, and 28% of species showed no macroecological body size relationships. Most notably, every species that expressed Bergmann's rule was a cool- or cold-water species while every species that expressed converse Bergmann's rule was a warm-water species, highlighting how these patterns are likely connected to species thermal niches. This study contradicts previous research suggesting Bergmann's rule does not apply to freshwater fishes, and is congruent with an emerging paradigm of variable macroecological body size patterns in poikilotherms.","author":[{"dropping-particle":"","family":"Rypel","given":"Andrew L","non-dropping-particle":"","parse-names":false,"suffix":""}],"container-title":"The American Naturalist","id":"ITEM-1","issue":"1","issued":{"date-parts":[["2014"]]},"page":"147-156","title":"The Cold-Water Connection: Bergmann’s Rule in North American Freshwater Fishes","type":"article-journal","volume":"183"},"uris":["http://www.mendeley.com/documents/?uuid=eef7832e-af9a-4566-aea0-1adb2df6b6a1"]}],"mendeley":{"formattedCitation":"(Rypel 2014)","plainTextFormattedCitation":"(Rypel 2014)","previouslyFormattedCitation":"(Rypel 2014)"},"properties":{"noteIndex":0},"schema":"https://github.com/citation-style-language/schema/raw/master/csl-citation.json"}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(Rypel 2014)</w:t>
            </w:r>
            <w:r>
              <w:rPr>
                <w:rFonts w:ascii="Times New Roman" w:hAnsi="Times New Roman" w:cs="Times New Roman"/>
              </w:rPr>
              <w:fldChar w:fldCharType="end"/>
            </w:r>
          </w:p>
        </w:tc>
      </w:tr>
      <w:tr w:rsidR="00145E25" w14:paraId="4DD995CC" w14:textId="77777777" w:rsidTr="00122678">
        <w:tc>
          <w:tcPr>
            <w:tcW w:w="0" w:type="auto"/>
            <w:tcBorders>
              <w:top w:val="nil"/>
              <w:left w:val="nil"/>
              <w:bottom w:val="nil"/>
              <w:right w:val="nil"/>
            </w:tcBorders>
          </w:tcPr>
          <w:p w14:paraId="3E9B030F" w14:textId="77777777" w:rsidR="00145E25" w:rsidRDefault="00145E25" w:rsidP="00145E25">
            <w:pPr>
              <w:rPr>
                <w:rFonts w:ascii="Times New Roman" w:hAnsi="Times New Roman" w:cs="Times New Roman"/>
              </w:rPr>
            </w:pPr>
            <w:r>
              <w:rPr>
                <w:rFonts w:ascii="Times New Roman" w:hAnsi="Times New Roman" w:cs="Times New Roman"/>
              </w:rPr>
              <w:t>Catchment temperature CV</w:t>
            </w:r>
          </w:p>
        </w:tc>
        <w:tc>
          <w:tcPr>
            <w:tcW w:w="0" w:type="auto"/>
            <w:tcBorders>
              <w:top w:val="nil"/>
              <w:left w:val="nil"/>
              <w:bottom w:val="nil"/>
              <w:right w:val="nil"/>
            </w:tcBorders>
          </w:tcPr>
          <w:p w14:paraId="5BD13755" w14:textId="77777777" w:rsidR="00145E25" w:rsidRDefault="00145E25" w:rsidP="00145E25">
            <w:pPr>
              <w:rPr>
                <w:rFonts w:ascii="Times New Roman" w:hAnsi="Times New Roman" w:cs="Times New Roman"/>
              </w:rPr>
            </w:pPr>
            <w:r>
              <w:rPr>
                <w:rFonts w:ascii="Times New Roman" w:hAnsi="Times New Roman" w:cs="Times New Roman"/>
              </w:rPr>
              <w:t>TMPCV</w:t>
            </w:r>
          </w:p>
        </w:tc>
        <w:tc>
          <w:tcPr>
            <w:tcW w:w="0" w:type="auto"/>
            <w:tcBorders>
              <w:top w:val="nil"/>
              <w:left w:val="nil"/>
              <w:bottom w:val="nil"/>
              <w:right w:val="nil"/>
            </w:tcBorders>
          </w:tcPr>
          <w:p w14:paraId="04448C67" w14:textId="77777777" w:rsidR="00145E25" w:rsidRDefault="00145E25" w:rsidP="00145E25">
            <w:pPr>
              <w:rPr>
                <w:rFonts w:ascii="Times New Roman" w:hAnsi="Times New Roman" w:cs="Times New Roman"/>
              </w:rPr>
            </w:pPr>
            <w:r>
              <w:rPr>
                <w:rFonts w:ascii="Times New Roman" w:hAnsi="Times New Roman" w:cs="Times New Roman"/>
              </w:rPr>
              <w:t>Seasonality</w:t>
            </w:r>
          </w:p>
        </w:tc>
        <w:tc>
          <w:tcPr>
            <w:tcW w:w="0" w:type="auto"/>
            <w:tcBorders>
              <w:top w:val="nil"/>
              <w:left w:val="nil"/>
              <w:bottom w:val="nil"/>
              <w:right w:val="nil"/>
            </w:tcBorders>
          </w:tcPr>
          <w:p w14:paraId="54CAFAB2" w14:textId="77777777" w:rsidR="00145E25" w:rsidRDefault="00145E25" w:rsidP="00145E25">
            <w:pPr>
              <w:jc w:val="center"/>
              <w:rPr>
                <w:rFonts w:ascii="Times New Roman" w:hAnsi="Times New Roman" w:cs="Times New Roman"/>
              </w:rPr>
            </w:pPr>
            <w:r>
              <w:rPr>
                <w:rFonts w:ascii="Times New Roman" w:hAnsi="Times New Roman" w:cs="Times New Roman"/>
                <w:b/>
              </w:rPr>
              <w:t>–</w:t>
            </w:r>
          </w:p>
        </w:tc>
        <w:tc>
          <w:tcPr>
            <w:tcW w:w="0" w:type="auto"/>
            <w:tcBorders>
              <w:top w:val="nil"/>
              <w:left w:val="nil"/>
              <w:bottom w:val="nil"/>
              <w:right w:val="nil"/>
            </w:tcBorders>
          </w:tcPr>
          <w:p w14:paraId="0A00701C" w14:textId="77777777" w:rsidR="00145E25" w:rsidRDefault="00145E25" w:rsidP="00145E25">
            <w:pPr>
              <w:rPr>
                <w:rFonts w:ascii="Times New Roman" w:hAnsi="Times New Roman" w:cs="Times New Roman"/>
              </w:rPr>
            </w:pPr>
            <w:r>
              <w:rPr>
                <w:rFonts w:ascii="Times New Roman" w:hAnsi="Times New Roman" w:cs="Times New Roman"/>
              </w:rPr>
              <w:t xml:space="preserve">Shorter growing seasons favor smaller body sizes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indstedt","given":"SL","non-dropping-particle":"","parse-names":false,"suffix":""},{"dropping-particle":"","family":"Boyce","given":"MS","non-dropping-particle":"","parse-names":false,"suffix":""}],"container-title":"The American Naturalist","id":"ITEM-1","issue":"6","issued":{"date-parts":[["1985"]]},"page":"873-878","title":"Seasonality, Fasting Endurance, and Body Size in Mammals","type":"article-journal","volume":"125"},"uris":["http://www.mendeley.com/documents/?uuid=851f604a-1f92-4ba2-a6a4-18229f4fa654"]}],"mendeley":{"formattedCitation":"(Lindstedt &amp; Boyce 1985)","plainTextFormattedCitation":"(Lindstedt &amp; Boyce 1985)","previouslyFormattedCitation":"(Lindstedt &amp; Boyce 1985)"},"properties":{"noteIndex":0},"schema":"https://github.com/citation-style-language/schema/raw/master/csl-citation.json"}</w:instrText>
            </w:r>
            <w:r>
              <w:rPr>
                <w:rFonts w:ascii="Times New Roman" w:hAnsi="Times New Roman" w:cs="Times New Roman"/>
              </w:rPr>
              <w:fldChar w:fldCharType="separate"/>
            </w:r>
            <w:r w:rsidRPr="00F26637">
              <w:rPr>
                <w:rFonts w:ascii="Times New Roman" w:hAnsi="Times New Roman" w:cs="Times New Roman"/>
                <w:noProof/>
              </w:rPr>
              <w:t>(Lindstedt &amp; Boyce 1985)</w:t>
            </w:r>
            <w:r>
              <w:rPr>
                <w:rFonts w:ascii="Times New Roman" w:hAnsi="Times New Roman" w:cs="Times New Roman"/>
              </w:rPr>
              <w:fldChar w:fldCharType="end"/>
            </w:r>
          </w:p>
        </w:tc>
      </w:tr>
      <w:tr w:rsidR="00145E25" w14:paraId="0D13E5A4" w14:textId="77777777" w:rsidTr="00122678">
        <w:tc>
          <w:tcPr>
            <w:tcW w:w="0" w:type="auto"/>
            <w:tcBorders>
              <w:top w:val="nil"/>
              <w:left w:val="nil"/>
              <w:bottom w:val="nil"/>
              <w:right w:val="nil"/>
            </w:tcBorders>
          </w:tcPr>
          <w:p w14:paraId="2F5492B8" w14:textId="77777777" w:rsidR="00145E25" w:rsidRDefault="00145E25" w:rsidP="00145E25">
            <w:pPr>
              <w:rPr>
                <w:rFonts w:ascii="Times New Roman" w:hAnsi="Times New Roman" w:cs="Times New Roman"/>
              </w:rPr>
            </w:pPr>
            <w:r>
              <w:rPr>
                <w:rFonts w:ascii="Times New Roman" w:hAnsi="Times New Roman" w:cs="Times New Roman"/>
              </w:rPr>
              <w:t>Catchment urban land-use</w:t>
            </w:r>
          </w:p>
        </w:tc>
        <w:tc>
          <w:tcPr>
            <w:tcW w:w="0" w:type="auto"/>
            <w:tcBorders>
              <w:top w:val="nil"/>
              <w:left w:val="nil"/>
              <w:bottom w:val="nil"/>
              <w:right w:val="nil"/>
            </w:tcBorders>
          </w:tcPr>
          <w:p w14:paraId="5A8D6DFD" w14:textId="77777777" w:rsidR="00145E25" w:rsidRDefault="00145E25" w:rsidP="00145E25">
            <w:pPr>
              <w:rPr>
                <w:rFonts w:ascii="Times New Roman" w:hAnsi="Times New Roman" w:cs="Times New Roman"/>
              </w:rPr>
            </w:pPr>
            <w:r>
              <w:rPr>
                <w:rFonts w:ascii="Times New Roman" w:hAnsi="Times New Roman" w:cs="Times New Roman"/>
              </w:rPr>
              <w:t>URBCAT</w:t>
            </w:r>
          </w:p>
        </w:tc>
        <w:tc>
          <w:tcPr>
            <w:tcW w:w="0" w:type="auto"/>
            <w:tcBorders>
              <w:top w:val="nil"/>
              <w:left w:val="nil"/>
              <w:bottom w:val="nil"/>
              <w:right w:val="nil"/>
            </w:tcBorders>
          </w:tcPr>
          <w:p w14:paraId="7EC1783F" w14:textId="77777777" w:rsidR="00145E25" w:rsidRDefault="00145E25" w:rsidP="00145E25">
            <w:pPr>
              <w:rPr>
                <w:rFonts w:ascii="Times New Roman" w:hAnsi="Times New Roman" w:cs="Times New Roman"/>
              </w:rPr>
            </w:pPr>
            <w:r>
              <w:rPr>
                <w:rFonts w:ascii="Times New Roman" w:hAnsi="Times New Roman" w:cs="Times New Roman"/>
              </w:rPr>
              <w:t>Anthropogenic</w:t>
            </w:r>
          </w:p>
        </w:tc>
        <w:tc>
          <w:tcPr>
            <w:tcW w:w="0" w:type="auto"/>
            <w:tcBorders>
              <w:top w:val="nil"/>
              <w:left w:val="nil"/>
              <w:bottom w:val="nil"/>
              <w:right w:val="nil"/>
            </w:tcBorders>
          </w:tcPr>
          <w:p w14:paraId="5F2EF3F5" w14:textId="77777777" w:rsidR="00145E25" w:rsidRDefault="00145E25" w:rsidP="00145E25">
            <w:pPr>
              <w:jc w:val="center"/>
              <w:rPr>
                <w:rFonts w:ascii="Times New Roman" w:hAnsi="Times New Roman" w:cs="Times New Roman"/>
              </w:rPr>
            </w:pPr>
            <w:r>
              <w:rPr>
                <w:rFonts w:ascii="Times New Roman" w:hAnsi="Times New Roman" w:cs="Times New Roman"/>
              </w:rPr>
              <w:t>+</w:t>
            </w:r>
          </w:p>
        </w:tc>
        <w:tc>
          <w:tcPr>
            <w:tcW w:w="0" w:type="auto"/>
            <w:vMerge w:val="restart"/>
            <w:tcBorders>
              <w:top w:val="nil"/>
              <w:left w:val="nil"/>
              <w:bottom w:val="single" w:sz="4" w:space="0" w:color="auto"/>
              <w:right w:val="nil"/>
            </w:tcBorders>
          </w:tcPr>
          <w:p w14:paraId="2751ED93" w14:textId="77777777" w:rsidR="00145E25" w:rsidRDefault="00145E25" w:rsidP="00145E25">
            <w:pPr>
              <w:rPr>
                <w:rFonts w:ascii="Times New Roman" w:hAnsi="Times New Roman" w:cs="Times New Roman"/>
              </w:rPr>
            </w:pPr>
            <w:r>
              <w:rPr>
                <w:rFonts w:ascii="Times New Roman" w:hAnsi="Times New Roman" w:cs="Times New Roman"/>
              </w:rPr>
              <w:t>Urbanized environments are often characterized by large, generalist species</w:t>
            </w:r>
          </w:p>
        </w:tc>
      </w:tr>
      <w:tr w:rsidR="00145E25" w14:paraId="61046DE6" w14:textId="77777777" w:rsidTr="00122678">
        <w:tc>
          <w:tcPr>
            <w:tcW w:w="0" w:type="auto"/>
            <w:tcBorders>
              <w:top w:val="nil"/>
              <w:left w:val="nil"/>
              <w:bottom w:val="single" w:sz="4" w:space="0" w:color="auto"/>
              <w:right w:val="nil"/>
            </w:tcBorders>
          </w:tcPr>
          <w:p w14:paraId="4F5D71C2" w14:textId="77777777" w:rsidR="00145E25" w:rsidRDefault="00145E25" w:rsidP="00145E25">
            <w:pPr>
              <w:rPr>
                <w:rFonts w:ascii="Times New Roman" w:hAnsi="Times New Roman" w:cs="Times New Roman"/>
              </w:rPr>
            </w:pPr>
            <w:r>
              <w:rPr>
                <w:rFonts w:ascii="Times New Roman" w:hAnsi="Times New Roman" w:cs="Times New Roman"/>
              </w:rPr>
              <w:t>Upstream watershed urban land-use</w:t>
            </w:r>
          </w:p>
        </w:tc>
        <w:tc>
          <w:tcPr>
            <w:tcW w:w="0" w:type="auto"/>
            <w:tcBorders>
              <w:top w:val="nil"/>
              <w:left w:val="nil"/>
              <w:bottom w:val="single" w:sz="4" w:space="0" w:color="auto"/>
              <w:right w:val="nil"/>
            </w:tcBorders>
          </w:tcPr>
          <w:p w14:paraId="4EE20D9F" w14:textId="77777777" w:rsidR="00145E25" w:rsidRDefault="00145E25" w:rsidP="00145E25">
            <w:pPr>
              <w:rPr>
                <w:rFonts w:ascii="Times New Roman" w:hAnsi="Times New Roman" w:cs="Times New Roman"/>
              </w:rPr>
            </w:pPr>
            <w:r>
              <w:rPr>
                <w:rFonts w:ascii="Times New Roman" w:hAnsi="Times New Roman" w:cs="Times New Roman"/>
              </w:rPr>
              <w:t>URBWS</w:t>
            </w:r>
          </w:p>
        </w:tc>
        <w:tc>
          <w:tcPr>
            <w:tcW w:w="0" w:type="auto"/>
            <w:tcBorders>
              <w:top w:val="nil"/>
              <w:left w:val="nil"/>
              <w:bottom w:val="single" w:sz="4" w:space="0" w:color="auto"/>
              <w:right w:val="nil"/>
            </w:tcBorders>
          </w:tcPr>
          <w:p w14:paraId="5131670D" w14:textId="77777777" w:rsidR="00145E25" w:rsidRDefault="00145E25" w:rsidP="00145E25">
            <w:pPr>
              <w:rPr>
                <w:rFonts w:ascii="Times New Roman" w:hAnsi="Times New Roman" w:cs="Times New Roman"/>
              </w:rPr>
            </w:pPr>
            <w:r>
              <w:rPr>
                <w:rFonts w:ascii="Times New Roman" w:hAnsi="Times New Roman" w:cs="Times New Roman"/>
              </w:rPr>
              <w:t>Anthropogenic</w:t>
            </w:r>
          </w:p>
        </w:tc>
        <w:tc>
          <w:tcPr>
            <w:tcW w:w="0" w:type="auto"/>
            <w:tcBorders>
              <w:top w:val="nil"/>
              <w:left w:val="nil"/>
              <w:bottom w:val="single" w:sz="4" w:space="0" w:color="auto"/>
              <w:right w:val="nil"/>
            </w:tcBorders>
          </w:tcPr>
          <w:p w14:paraId="6F4B32D7" w14:textId="77777777" w:rsidR="00145E25" w:rsidRDefault="00145E25" w:rsidP="00145E25">
            <w:pPr>
              <w:jc w:val="center"/>
              <w:rPr>
                <w:rFonts w:ascii="Times New Roman" w:hAnsi="Times New Roman" w:cs="Times New Roman"/>
              </w:rPr>
            </w:pPr>
            <w:r>
              <w:rPr>
                <w:rFonts w:ascii="Times New Roman" w:hAnsi="Times New Roman" w:cs="Times New Roman"/>
              </w:rPr>
              <w:t>+</w:t>
            </w:r>
          </w:p>
        </w:tc>
        <w:tc>
          <w:tcPr>
            <w:tcW w:w="0" w:type="auto"/>
            <w:vMerge/>
            <w:tcBorders>
              <w:top w:val="nil"/>
              <w:left w:val="nil"/>
              <w:bottom w:val="single" w:sz="4" w:space="0" w:color="auto"/>
              <w:right w:val="nil"/>
            </w:tcBorders>
          </w:tcPr>
          <w:p w14:paraId="32EA4922" w14:textId="77777777" w:rsidR="00145E25" w:rsidRDefault="00145E25" w:rsidP="00145E25">
            <w:pPr>
              <w:rPr>
                <w:rFonts w:ascii="Times New Roman" w:hAnsi="Times New Roman" w:cs="Times New Roman"/>
              </w:rPr>
            </w:pPr>
          </w:p>
        </w:tc>
      </w:tr>
    </w:tbl>
    <w:p w14:paraId="01F8F483" w14:textId="77777777" w:rsidR="00145E25" w:rsidRDefault="00145E25" w:rsidP="00145E25">
      <w:pPr>
        <w:rPr>
          <w:rFonts w:ascii="Times New Roman" w:hAnsi="Times New Roman" w:cs="Times New Roman"/>
        </w:rPr>
      </w:pPr>
    </w:p>
    <w:p w14:paraId="224AD97C" w14:textId="77777777" w:rsidR="00555570" w:rsidRDefault="00555570">
      <w:pPr>
        <w:rPr>
          <w:rFonts w:ascii="Times New Roman" w:hAnsi="Times New Roman" w:cs="Times New Roman"/>
        </w:rPr>
      </w:pPr>
      <w:r>
        <w:rPr>
          <w:rFonts w:ascii="Times New Roman" w:hAnsi="Times New Roman" w:cs="Times New Roman"/>
        </w:rPr>
        <w:br w:type="page"/>
      </w:r>
    </w:p>
    <w:p w14:paraId="4E3DDD6E" w14:textId="0BD0F707"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lastRenderedPageBreak/>
        <w:t>We used the NHD and assigned latitudes (LAT) as geographic catchment centroids. From the NHD, we also obtained the total upstream drainage area (km</w:t>
      </w:r>
      <w:r w:rsidRPr="00D732E9">
        <w:rPr>
          <w:rFonts w:ascii="Times New Roman" w:hAnsi="Times New Roman" w:cs="Times New Roman"/>
          <w:vertAlign w:val="superscript"/>
        </w:rPr>
        <w:t>2</w:t>
      </w:r>
      <w:r w:rsidRPr="00251718">
        <w:rPr>
          <w:rFonts w:ascii="Times New Roman" w:hAnsi="Times New Roman" w:cs="Times New Roman"/>
        </w:rPr>
        <w:t xml:space="preserve">; AREA) and accumulated upstream stream length (km; LEN) for each reach. These variables represent variation in physical habitat variables along longitudinal stream gradients that determine the instream area accessible to aquatic biota [e.g., width, depth, and discharge </w:t>
      </w:r>
      <w:r w:rsidR="00125CF1">
        <w:rPr>
          <w:rFonts w:ascii="Times New Roman" w:hAnsi="Times New Roman" w:cs="Times New Roman"/>
        </w:rPr>
        <w:t xml:space="preserve">(Table 12) </w:t>
      </w:r>
      <w:r w:rsidRPr="00251718">
        <w:rPr>
          <w:rFonts w:ascii="Times New Roman" w:hAnsi="Times New Roman" w:cs="Times New Roman"/>
        </w:rPr>
        <w:t xml:space="preserve">(Vannote et al. 1980)]. We also collected gage-adjusted mean annual streamflow (Q), standard deviation of monthly flows (QSD), and coefficient of variation (CV) of monthly flows (QCV) for NHD reaches. We used Q to estimate local habitat area available to aquatic biota (McGarvey 2014) and QCV and QSD to characterize streamflow seasonality which can mediate fish size patterns via filtering of life history traits </w:t>
      </w:r>
      <w:r w:rsidR="00125CF1">
        <w:rPr>
          <w:rFonts w:ascii="Times New Roman" w:hAnsi="Times New Roman" w:cs="Times New Roman"/>
        </w:rPr>
        <w:t xml:space="preserve">(Table 12) </w:t>
      </w:r>
      <w:r w:rsidRPr="00251718">
        <w:rPr>
          <w:rFonts w:ascii="Times New Roman" w:hAnsi="Times New Roman" w:cs="Times New Roman"/>
        </w:rPr>
        <w:t>(Mims &amp; Olden 2012).</w:t>
      </w:r>
    </w:p>
    <w:p w14:paraId="3664B5CE" w14:textId="15B84066" w:rsidR="00251718" w:rsidRPr="00251718" w:rsidRDefault="00251718" w:rsidP="00D512FC">
      <w:pPr>
        <w:ind w:firstLine="720"/>
        <w:jc w:val="both"/>
        <w:rPr>
          <w:rFonts w:ascii="Times New Roman" w:hAnsi="Times New Roman" w:cs="Times New Roman"/>
        </w:rPr>
      </w:pPr>
      <w:r w:rsidRPr="00251718">
        <w:rPr>
          <w:rFonts w:ascii="Times New Roman" w:hAnsi="Times New Roman" w:cs="Times New Roman"/>
        </w:rPr>
        <w:t>We used the StreamCat dataset (Hill et al. 2016) and downloaded mean catchment elevation (meters; ELEV). We also used this dataset to characterize terrestrial land-use/land-cover (LULC) with catchment (CAT) and watershed (WS) percentages for agriculture (hay and crop; AGRCAT, AGRWS), forest (deciduous, coniferous, and mixed forests; FORCAT, FORWS), and urban (open, low, medium, and high intensity urban; URBCAT, URBWS) classes based on the 2011 National Land Cover Dataset</w:t>
      </w:r>
      <w:r w:rsidR="00125CF1">
        <w:rPr>
          <w:rFonts w:ascii="Times New Roman" w:hAnsi="Times New Roman" w:cs="Times New Roman"/>
        </w:rPr>
        <w:t xml:space="preserve"> (Table 12)</w:t>
      </w:r>
      <w:r w:rsidRPr="00251718">
        <w:rPr>
          <w:rFonts w:ascii="Times New Roman" w:hAnsi="Times New Roman" w:cs="Times New Roman"/>
        </w:rPr>
        <w:t>. From StreamCat, we also used the catchment volume of reservoirs listed in the National Inventory of Dams (DAMSTOR; m</w:t>
      </w:r>
      <w:r w:rsidRPr="00D732E9">
        <w:rPr>
          <w:rFonts w:ascii="Times New Roman" w:hAnsi="Times New Roman" w:cs="Times New Roman"/>
          <w:vertAlign w:val="superscript"/>
        </w:rPr>
        <w:t>3</w:t>
      </w:r>
      <w:r w:rsidRPr="00251718">
        <w:rPr>
          <w:rFonts w:ascii="Times New Roman" w:hAnsi="Times New Roman" w:cs="Times New Roman"/>
        </w:rPr>
        <w:t>/km</w:t>
      </w:r>
      <w:r w:rsidRPr="00D732E9">
        <w:rPr>
          <w:rFonts w:ascii="Times New Roman" w:hAnsi="Times New Roman" w:cs="Times New Roman"/>
          <w:vertAlign w:val="superscript"/>
        </w:rPr>
        <w:t>2</w:t>
      </w:r>
      <w:r w:rsidRPr="00251718">
        <w:rPr>
          <w:rFonts w:ascii="Times New Roman" w:hAnsi="Times New Roman" w:cs="Times New Roman"/>
        </w:rPr>
        <w:t>) to estimate anthropogenic influences on riverine environments via impoundment</w:t>
      </w:r>
      <w:r w:rsidR="00125CF1">
        <w:rPr>
          <w:rFonts w:ascii="Times New Roman" w:hAnsi="Times New Roman" w:cs="Times New Roman"/>
        </w:rPr>
        <w:t xml:space="preserve"> (Table 12)</w:t>
      </w:r>
      <w:r w:rsidRPr="00251718">
        <w:rPr>
          <w:rFonts w:ascii="Times New Roman" w:hAnsi="Times New Roman" w:cs="Times New Roman"/>
        </w:rPr>
        <w:t xml:space="preserve">. </w:t>
      </w:r>
    </w:p>
    <w:p w14:paraId="21B5577B" w14:textId="4A48D482" w:rsidR="007B3429" w:rsidRDefault="00251718" w:rsidP="00D512FC">
      <w:pPr>
        <w:ind w:firstLine="720"/>
        <w:jc w:val="both"/>
        <w:rPr>
          <w:rFonts w:ascii="Times New Roman" w:hAnsi="Times New Roman" w:cs="Times New Roman"/>
        </w:rPr>
      </w:pPr>
      <w:r w:rsidRPr="00251718">
        <w:rPr>
          <w:rFonts w:ascii="Times New Roman" w:hAnsi="Times New Roman" w:cs="Times New Roman"/>
        </w:rPr>
        <w:t>We characterized climate using the PRISM dataset in the ‘prism’ package (Hart &amp; Bell 2015) and calculated 1993–2018 (years of fish occurrences; see results) catchment mean and CV of temperature (TMP and TMPCV, respectively)</w:t>
      </w:r>
      <w:r w:rsidR="00125CF1">
        <w:rPr>
          <w:rFonts w:ascii="Times New Roman" w:hAnsi="Times New Roman" w:cs="Times New Roman"/>
        </w:rPr>
        <w:t xml:space="preserve"> (Table 12)</w:t>
      </w:r>
      <w:r w:rsidRPr="00251718">
        <w:rPr>
          <w:rFonts w:ascii="Times New Roman" w:hAnsi="Times New Roman" w:cs="Times New Roman"/>
        </w:rPr>
        <w:t>. We used the ‘MODIStsp’ package (Busetto &amp; Ranghetti 2016) to access NASA MODIS monthly normalized difference vegetation index (NDVI) dataset and calculated mean catchment NDVI and CV (NDVICV) for the years 2000 (earliest year provided by NASA)–2018</w:t>
      </w:r>
      <w:r w:rsidR="00125CF1">
        <w:rPr>
          <w:rFonts w:ascii="Times New Roman" w:hAnsi="Times New Roman" w:cs="Times New Roman"/>
        </w:rPr>
        <w:t xml:space="preserve"> (Table 12)</w:t>
      </w:r>
      <w:r w:rsidRPr="00251718">
        <w:rPr>
          <w:rFonts w:ascii="Times New Roman" w:hAnsi="Times New Roman" w:cs="Times New Roman"/>
        </w:rPr>
        <w:t xml:space="preserve">. Although our climate and productivity variables were terrestrial metrics, terrestrial climate variables provide adequate surrogates of instream variables (e.g., stream temperature) in macroecological analyses (McGarvey et al. 2018). Additionally, positive relationships between terrestrial and aquatic productivity (Guégan et al. 1998; Blanchet et al. 2010) indicate that NDVI can adequately infer instream resource availability, especially after controlling for factors that may cause instream productivity to deviate from this expected relationship (e.g., Q, temperature, forest land-cover; Bernhardt et al. 2018). </w:t>
      </w:r>
    </w:p>
    <w:p w14:paraId="0B871430" w14:textId="390F693B" w:rsidR="007B3429" w:rsidRPr="00251718" w:rsidRDefault="007B3429" w:rsidP="007B3429">
      <w:pPr>
        <w:pStyle w:val="Heading3"/>
        <w:rPr>
          <w:rFonts w:ascii="Times New Roman" w:hAnsi="Times New Roman" w:cs="Times New Roman"/>
          <w:szCs w:val="24"/>
        </w:rPr>
      </w:pPr>
      <w:bookmarkStart w:id="95" w:name="_Toc100607922"/>
      <w:r>
        <w:rPr>
          <w:rFonts w:ascii="Times New Roman" w:hAnsi="Times New Roman" w:cs="Times New Roman"/>
          <w:szCs w:val="24"/>
        </w:rPr>
        <w:t>Dataset aggregation and filtering</w:t>
      </w:r>
      <w:bookmarkEnd w:id="95"/>
    </w:p>
    <w:p w14:paraId="4DAA93A7" w14:textId="670D4E59" w:rsidR="007B3429" w:rsidRPr="007B3429" w:rsidRDefault="007B3429" w:rsidP="00D512FC">
      <w:pPr>
        <w:ind w:firstLine="720"/>
        <w:jc w:val="both"/>
        <w:rPr>
          <w:rFonts w:ascii="Times New Roman" w:hAnsi="Times New Roman" w:cs="Times New Roman"/>
        </w:rPr>
      </w:pPr>
      <w:r w:rsidRPr="007B3429">
        <w:rPr>
          <w:rFonts w:ascii="Times New Roman" w:hAnsi="Times New Roman" w:cs="Times New Roman"/>
        </w:rPr>
        <w:t xml:space="preserve">We selected mass as our metric of body size over TL because mass reflects metabolic constraints and is more independent of potential geographic patterns in body shape (e.g., Allen's rule; Blackburn et al. 1999). We used median mass values, rather than mean values, to minimize potential bias introduced by the few very large individuals in assemblages, species, or populations (Blackburn &amp; Gaston 1998; Blanchet et al. 2010). We used median mass as our response variable at three biological scales: assemblage (median mass per stream reach among all individuals of all species), species (median mass among all individuals of a species across all streams), and population (median mass among all individuals, within species, within streams; Fig. </w:t>
      </w:r>
      <w:r w:rsidR="00125CF1">
        <w:rPr>
          <w:rFonts w:ascii="Times New Roman" w:hAnsi="Times New Roman" w:cs="Times New Roman"/>
        </w:rPr>
        <w:t>2</w:t>
      </w:r>
      <w:r w:rsidRPr="007B3429">
        <w:rPr>
          <w:rFonts w:ascii="Times New Roman" w:hAnsi="Times New Roman" w:cs="Times New Roman"/>
        </w:rPr>
        <w:t xml:space="preserve">1c). Across scales, we calculated median </w:t>
      </w:r>
      <w:r w:rsidRPr="007B3429">
        <w:rPr>
          <w:rFonts w:ascii="Times New Roman" w:hAnsi="Times New Roman" w:cs="Times New Roman"/>
        </w:rPr>
        <w:lastRenderedPageBreak/>
        <w:t>mass from native records because introduced fishes represent a non-random selection of species aided by human translocations and may thus confound our inferences of natural size patterns (Blanchet et al. 2010).</w:t>
      </w:r>
    </w:p>
    <w:p w14:paraId="23EF426A" w14:textId="08EF6DEB" w:rsidR="007B3429" w:rsidRPr="007B3429" w:rsidRDefault="007B3429" w:rsidP="00D512FC">
      <w:pPr>
        <w:ind w:firstLine="720"/>
        <w:jc w:val="both"/>
        <w:rPr>
          <w:rFonts w:ascii="Times New Roman" w:hAnsi="Times New Roman" w:cs="Times New Roman"/>
        </w:rPr>
      </w:pPr>
      <w:r w:rsidRPr="007B3429">
        <w:rPr>
          <w:rFonts w:ascii="Times New Roman" w:hAnsi="Times New Roman" w:cs="Times New Roman"/>
        </w:rPr>
        <w:t>We also summarized geographic variables, proximate drivers, and thermal mechanisms at each of the three biological scales for use as predictor variables</w:t>
      </w:r>
      <w:r w:rsidR="00DF2EE7">
        <w:rPr>
          <w:rFonts w:ascii="Times New Roman" w:hAnsi="Times New Roman" w:cs="Times New Roman"/>
        </w:rPr>
        <w:t xml:space="preserve"> (Table 12)</w:t>
      </w:r>
      <w:r w:rsidRPr="007B3429">
        <w:rPr>
          <w:rFonts w:ascii="Times New Roman" w:hAnsi="Times New Roman" w:cs="Times New Roman"/>
        </w:rPr>
        <w:t xml:space="preserve">. For the assemblage and population analyses, we used predictor variable values at the stream reach, catchment, or watershed scale (as described in ‘proximate drivers’). For the species analysis, we characterized conditions experienced across the species range by calculating mean values for predictors across all streams at which species occurred in our dataset as native occurrences (Velasco et al. 2020). To assess thermal mechanisms underpinning size patterns, we used species-specific CTmax at the species and population scales. For the assemblage analysis, we calculated the community thermal index (CTI) as the mean CTmax among species in an assemblage weighted by abundances (natural log-transformed; Comte et al. 2021). </w:t>
      </w:r>
    </w:p>
    <w:p w14:paraId="5AF1DBB8" w14:textId="21E0A9A4" w:rsidR="007B3429" w:rsidRPr="00DF7C87" w:rsidRDefault="007B3429" w:rsidP="00D512FC">
      <w:pPr>
        <w:ind w:firstLine="720"/>
        <w:jc w:val="both"/>
        <w:rPr>
          <w:rFonts w:ascii="Times New Roman" w:hAnsi="Times New Roman" w:cs="Times New Roman"/>
        </w:rPr>
      </w:pPr>
      <w:r w:rsidRPr="007B3429">
        <w:rPr>
          <w:rFonts w:ascii="Times New Roman" w:hAnsi="Times New Roman" w:cs="Times New Roman"/>
        </w:rPr>
        <w:t xml:space="preserve">We filtered our dataset to minimize potential biases from differing sample sizes among biological scales and ensured aggregate mass values were estimated from a minimum of ten individuals (Fig. </w:t>
      </w:r>
      <w:r w:rsidR="00DF2EE7">
        <w:rPr>
          <w:rFonts w:ascii="Times New Roman" w:hAnsi="Times New Roman" w:cs="Times New Roman"/>
        </w:rPr>
        <w:t>2</w:t>
      </w:r>
      <w:r w:rsidRPr="007B3429">
        <w:rPr>
          <w:rFonts w:ascii="Times New Roman" w:hAnsi="Times New Roman" w:cs="Times New Roman"/>
        </w:rPr>
        <w:t>1c). We restricted our assemblage analysis to regions (HU2s) with at least five streams at which at least ten individuals were sampled (</w:t>
      </w:r>
      <w:r w:rsidRPr="00DF2EE7">
        <w:rPr>
          <w:rFonts w:ascii="Times New Roman" w:hAnsi="Times New Roman" w:cs="Times New Roman"/>
          <w:i/>
          <w:iCs/>
        </w:rPr>
        <w:t>n</w:t>
      </w:r>
      <w:r w:rsidRPr="007B3429">
        <w:rPr>
          <w:rFonts w:ascii="Times New Roman" w:hAnsi="Times New Roman" w:cs="Times New Roman"/>
        </w:rPr>
        <w:t xml:space="preserve"> = 627 streams among 15 regions). We restricted our species analysis to those with at least 50 individuals sampled among at least five streams (</w:t>
      </w:r>
      <w:r w:rsidRPr="00DF2EE7">
        <w:rPr>
          <w:rFonts w:ascii="Times New Roman" w:hAnsi="Times New Roman" w:cs="Times New Roman"/>
          <w:i/>
          <w:iCs/>
        </w:rPr>
        <w:t>n</w:t>
      </w:r>
      <w:r w:rsidRPr="007B3429">
        <w:rPr>
          <w:rFonts w:ascii="Times New Roman" w:hAnsi="Times New Roman" w:cs="Times New Roman"/>
        </w:rPr>
        <w:t xml:space="preserve"> = 145 species). For the population analysis, we used species observed in at least five catchments, each which at least ten individuals of the species sampled (</w:t>
      </w:r>
      <w:r w:rsidRPr="00DF2EE7">
        <w:rPr>
          <w:rFonts w:ascii="Times New Roman" w:hAnsi="Times New Roman" w:cs="Times New Roman"/>
          <w:i/>
          <w:iCs/>
        </w:rPr>
        <w:t>n</w:t>
      </w:r>
      <w:r w:rsidRPr="007B3429">
        <w:rPr>
          <w:rFonts w:ascii="Times New Roman" w:hAnsi="Times New Roman" w:cs="Times New Roman"/>
        </w:rPr>
        <w:t xml:space="preserve"> = 2398 populations of 98 species).</w:t>
      </w:r>
    </w:p>
    <w:p w14:paraId="192B1DDE" w14:textId="77777777" w:rsidR="007C4379" w:rsidRPr="00DF7C87" w:rsidRDefault="007C4379" w:rsidP="007C4379">
      <w:pPr>
        <w:pStyle w:val="Heading3"/>
        <w:rPr>
          <w:rFonts w:ascii="Times New Roman" w:hAnsi="Times New Roman" w:cs="Times New Roman"/>
          <w:szCs w:val="24"/>
        </w:rPr>
      </w:pPr>
      <w:bookmarkStart w:id="96" w:name="_Toc100607923"/>
      <w:r>
        <w:rPr>
          <w:rFonts w:ascii="Times New Roman" w:hAnsi="Times New Roman" w:cs="Times New Roman"/>
          <w:szCs w:val="24"/>
        </w:rPr>
        <w:t>Data analysis</w:t>
      </w:r>
      <w:bookmarkEnd w:id="96"/>
    </w:p>
    <w:p w14:paraId="7EBAF919" w14:textId="77777777" w:rsidR="00B720C0" w:rsidRPr="00B720C0" w:rsidRDefault="00B720C0" w:rsidP="00D512FC">
      <w:pPr>
        <w:ind w:firstLine="720"/>
        <w:jc w:val="both"/>
        <w:rPr>
          <w:rFonts w:ascii="Times New Roman" w:hAnsi="Times New Roman" w:cs="Times New Roman"/>
        </w:rPr>
      </w:pPr>
      <w:r w:rsidRPr="00B720C0">
        <w:rPr>
          <w:rFonts w:ascii="Times New Roman" w:hAnsi="Times New Roman" w:cs="Times New Roman"/>
        </w:rPr>
        <w:t xml:space="preserve">We natural log transformed mass, AREA, LEN, Q, ELEV, and TMP. For predictors containing zeros (DAMSTOR, AGRCAT, AGRWS, FORCAT, FORWS, URBCAT, and URBWS), we applied natural log transformations after adding the smallest non-zero value for each predictor. We further standardized (mean = 0, SD = 1) all variables. Following transformations, we examined correlation matrices and removed one variable from each pair of highly correlated (Pearson’s </w:t>
      </w:r>
      <w:r w:rsidRPr="00534298">
        <w:rPr>
          <w:rFonts w:ascii="Times New Roman" w:hAnsi="Times New Roman" w:cs="Times New Roman"/>
          <w:i/>
          <w:iCs/>
        </w:rPr>
        <w:t>r</w:t>
      </w:r>
      <w:r w:rsidRPr="00B720C0">
        <w:rPr>
          <w:rFonts w:ascii="Times New Roman" w:hAnsi="Times New Roman" w:cs="Times New Roman"/>
        </w:rPr>
        <w:t xml:space="preserve"> ≥ |0.70|; Dormann et al. 2007) variables. We used AGRWS, DAMSTOR, FORWS, NDVI, Q, QCV, thermal limits (CTI or CTmax), TMP, and URBWS as uncorrelated predictors across scales. </w:t>
      </w:r>
    </w:p>
    <w:p w14:paraId="65F323E0" w14:textId="34875954" w:rsidR="00B720C0" w:rsidRPr="00B720C0" w:rsidRDefault="00B720C0" w:rsidP="00D512FC">
      <w:pPr>
        <w:ind w:firstLine="720"/>
        <w:jc w:val="both"/>
        <w:rPr>
          <w:rFonts w:ascii="Times New Roman" w:hAnsi="Times New Roman" w:cs="Times New Roman"/>
        </w:rPr>
      </w:pPr>
      <w:r w:rsidRPr="00B720C0">
        <w:rPr>
          <w:rFonts w:ascii="Times New Roman" w:hAnsi="Times New Roman" w:cs="Times New Roman"/>
        </w:rPr>
        <w:t xml:space="preserve">We used a multi-step piecewise path analysis framework to disentangle indirect effects of geography (ELEV and LAT) versus proximate drivers (AGRWS, DAMSTOR, FORWS, NDVI, Q, QCV, TMP, and URBWS) and thermal mechanisms (CTI or CTmax) on median mass at each scale (Fig. </w:t>
      </w:r>
      <w:r w:rsidR="00DF2EE7">
        <w:rPr>
          <w:rFonts w:ascii="Times New Roman" w:hAnsi="Times New Roman" w:cs="Times New Roman"/>
        </w:rPr>
        <w:t>2</w:t>
      </w:r>
      <w:r w:rsidRPr="00B720C0">
        <w:rPr>
          <w:rFonts w:ascii="Times New Roman" w:hAnsi="Times New Roman" w:cs="Times New Roman"/>
        </w:rPr>
        <w:t xml:space="preserve">1d). First (1), we identified proximate drivers that related to body size and modelled median mass as a function of proximate drivers, thermal limits (CTI in assemblage analysis and CTmax in species and population analyses) and included an interaction term between thermal limits and TMP (Fig </w:t>
      </w:r>
      <w:r w:rsidR="00DF2EE7">
        <w:rPr>
          <w:rFonts w:ascii="Times New Roman" w:hAnsi="Times New Roman" w:cs="Times New Roman"/>
        </w:rPr>
        <w:t>2</w:t>
      </w:r>
      <w:r w:rsidRPr="00B720C0">
        <w:rPr>
          <w:rFonts w:ascii="Times New Roman" w:hAnsi="Times New Roman" w:cs="Times New Roman"/>
        </w:rPr>
        <w:t xml:space="preserve">1e). This interaction term tested the hypothesis that counter-gradient growth underpins temperature effects on body size. For example, a positive CTmax × TMP interaction would indicate that species with higher thermal limits (i.e., warmer-water fishes) show a less negative relationship between mass and TMP, in support of the counter-gradient growth hypothesis (Rypel 2014). We used multi-model inference based on small-sample corrected Akaike’s </w:t>
      </w:r>
      <w:r w:rsidRPr="00B720C0">
        <w:rPr>
          <w:rFonts w:ascii="Times New Roman" w:hAnsi="Times New Roman" w:cs="Times New Roman"/>
        </w:rPr>
        <w:lastRenderedPageBreak/>
        <w:t xml:space="preserve">Information Criterion (AICc) to identify the top-ranked proximate driver model for statistical inference. </w:t>
      </w:r>
    </w:p>
    <w:p w14:paraId="3BB42284" w14:textId="4FFA50AE" w:rsidR="00B720C0" w:rsidRPr="00B720C0" w:rsidRDefault="00B720C0" w:rsidP="00D512FC">
      <w:pPr>
        <w:ind w:firstLine="720"/>
        <w:jc w:val="both"/>
        <w:rPr>
          <w:rFonts w:ascii="Times New Roman" w:hAnsi="Times New Roman" w:cs="Times New Roman"/>
        </w:rPr>
      </w:pPr>
      <w:r w:rsidRPr="00B720C0">
        <w:rPr>
          <w:rFonts w:ascii="Times New Roman" w:hAnsi="Times New Roman" w:cs="Times New Roman"/>
        </w:rPr>
        <w:t xml:space="preserve">In the second step (2), we built a piecewise path model that incorporated: (i) the top-ranked proximate driver model identified above (hereafter ‘proximate model’; Fig. </w:t>
      </w:r>
      <w:r w:rsidR="00DF2EE7">
        <w:rPr>
          <w:rFonts w:ascii="Times New Roman" w:hAnsi="Times New Roman" w:cs="Times New Roman"/>
        </w:rPr>
        <w:t>2</w:t>
      </w:r>
      <w:r w:rsidRPr="00B720C0">
        <w:rPr>
          <w:rFonts w:ascii="Times New Roman" w:hAnsi="Times New Roman" w:cs="Times New Roman"/>
        </w:rPr>
        <w:t xml:space="preserve">1e), (ii) models with each proximate driver from the proximate model explained by ELEV and LAT (hereafter ‘geography models’; Fig. </w:t>
      </w:r>
      <w:r w:rsidR="00DF2EE7">
        <w:rPr>
          <w:rFonts w:ascii="Times New Roman" w:hAnsi="Times New Roman" w:cs="Times New Roman"/>
        </w:rPr>
        <w:t>2</w:t>
      </w:r>
      <w:r w:rsidRPr="00B720C0">
        <w:rPr>
          <w:rFonts w:ascii="Times New Roman" w:hAnsi="Times New Roman" w:cs="Times New Roman"/>
        </w:rPr>
        <w:t xml:space="preserve">1f), (iii) bidirectional correlations between all pairwise combinations of proximate drivers, and between ELEV and LAT (Fig. </w:t>
      </w:r>
      <w:r w:rsidR="00DF2EE7">
        <w:rPr>
          <w:rFonts w:ascii="Times New Roman" w:hAnsi="Times New Roman" w:cs="Times New Roman"/>
        </w:rPr>
        <w:t>2</w:t>
      </w:r>
      <w:r w:rsidRPr="00B720C0">
        <w:rPr>
          <w:rFonts w:ascii="Times New Roman" w:hAnsi="Times New Roman" w:cs="Times New Roman"/>
        </w:rPr>
        <w:t xml:space="preserve">1g). Third (3), we examined a summary of this path model to identify non-significant paths (α = 0.05) in geography models or bidirectional correlations (Fig. </w:t>
      </w:r>
      <w:r w:rsidR="00DF2EE7">
        <w:rPr>
          <w:rFonts w:ascii="Times New Roman" w:hAnsi="Times New Roman" w:cs="Times New Roman"/>
        </w:rPr>
        <w:t>2</w:t>
      </w:r>
      <w:r w:rsidRPr="00B720C0">
        <w:rPr>
          <w:rFonts w:ascii="Times New Roman" w:hAnsi="Times New Roman" w:cs="Times New Roman"/>
        </w:rPr>
        <w:t xml:space="preserve">1f-g). Next (4), we refit the path model with these paths removed, if applicable. We based our inferences (5) on this revised path model and associated Fisher’s </w:t>
      </w:r>
      <w:r w:rsidRPr="00534298">
        <w:rPr>
          <w:rFonts w:ascii="Times New Roman" w:hAnsi="Times New Roman" w:cs="Times New Roman"/>
          <w:i/>
          <w:iCs/>
        </w:rPr>
        <w:t>C</w:t>
      </w:r>
      <w:r w:rsidRPr="00B720C0">
        <w:rPr>
          <w:rFonts w:ascii="Times New Roman" w:hAnsi="Times New Roman" w:cs="Times New Roman"/>
        </w:rPr>
        <w:t xml:space="preserve"> statistic and basis set (see Shipley [2009, 2016] for piecewise path analysis details). Briefly, a significant </w:t>
      </w:r>
      <w:r w:rsidRPr="00534298">
        <w:rPr>
          <w:rFonts w:ascii="Times New Roman" w:hAnsi="Times New Roman" w:cs="Times New Roman"/>
          <w:i/>
          <w:iCs/>
        </w:rPr>
        <w:t>C</w:t>
      </w:r>
      <w:r w:rsidRPr="00B720C0">
        <w:rPr>
          <w:rFonts w:ascii="Times New Roman" w:hAnsi="Times New Roman" w:cs="Times New Roman"/>
        </w:rPr>
        <w:t xml:space="preserve"> statistic would reveal a missing path between ELEV and/or LAT with mass after accounting for proximate drivers (Fig. </w:t>
      </w:r>
      <w:r w:rsidR="00DF2EE7">
        <w:rPr>
          <w:rFonts w:ascii="Times New Roman" w:hAnsi="Times New Roman" w:cs="Times New Roman"/>
        </w:rPr>
        <w:t>2</w:t>
      </w:r>
      <w:r w:rsidRPr="00B720C0">
        <w:rPr>
          <w:rFonts w:ascii="Times New Roman" w:hAnsi="Times New Roman" w:cs="Times New Roman"/>
        </w:rPr>
        <w:t xml:space="preserve">1h), indicating alternative proximate drivers not accounted for in our analysis. </w:t>
      </w:r>
    </w:p>
    <w:p w14:paraId="089CE924" w14:textId="77777777" w:rsidR="00B720C0" w:rsidRPr="00B720C0" w:rsidRDefault="00B720C0" w:rsidP="00D512FC">
      <w:pPr>
        <w:ind w:firstLine="720"/>
        <w:jc w:val="both"/>
        <w:rPr>
          <w:rFonts w:ascii="Times New Roman" w:hAnsi="Times New Roman" w:cs="Times New Roman"/>
        </w:rPr>
      </w:pPr>
      <w:r w:rsidRPr="00B720C0">
        <w:rPr>
          <w:rFonts w:ascii="Times New Roman" w:hAnsi="Times New Roman" w:cs="Times New Roman"/>
        </w:rPr>
        <w:t xml:space="preserve">At each scale, the model structures for the proximate and geography models differed based on statistical factors that should be controlled for in assemblage, species, and population analyses. For the assemblage analysis, we used linear mixed-effects models (LMMs) for the proximate and geography models with random intercepts for region (HU2). A region intercept controlled for the potential that streams sampled within the same region may show more similar body size distributions or environmental conditions owed to regional species pools. For the species analysis, we used a phylogenetic generalized least squares (PGLS) regression model which controlled for the phylogenetic signal (Pagel’s λ) in residuals to account for phylogenetic non-independence of mass values from closely-related species (Pagel 1999) which likely applied to our analysis because species body mass showed a strong phylogenetic signal (λ = 0.89, </w:t>
      </w:r>
      <w:r w:rsidRPr="00DF2EE7">
        <w:rPr>
          <w:rFonts w:ascii="Times New Roman" w:hAnsi="Times New Roman" w:cs="Times New Roman"/>
          <w:i/>
          <w:iCs/>
        </w:rPr>
        <w:t>p</w:t>
      </w:r>
      <w:r w:rsidRPr="00B720C0">
        <w:rPr>
          <w:rFonts w:ascii="Times New Roman" w:hAnsi="Times New Roman" w:cs="Times New Roman"/>
        </w:rPr>
        <w:t xml:space="preserve"> &lt; 0.001). We used generalized least squares regression models for geographic models in the species analysis. For the population proximate model, we compared the fit of two model structures: (1) a LMM with random intercepts for species (scientific names), and (2) a PGLS model. A comparison of AICc revealed the PGLS was a better fit (ΔAICc = 104.63), so we used this model for inference. We used LMMs with species as random intercepts to account for multiple species sampled from each stream for population geographic models, excluding the geographic model for CTmax which was built with a PGLS structure. </w:t>
      </w:r>
    </w:p>
    <w:p w14:paraId="40C98E55" w14:textId="279FF9B3" w:rsidR="007C4379" w:rsidRPr="00DF7C87" w:rsidRDefault="00B720C0" w:rsidP="00D512FC">
      <w:pPr>
        <w:ind w:firstLine="720"/>
        <w:jc w:val="both"/>
        <w:rPr>
          <w:rFonts w:ascii="Times New Roman" w:hAnsi="Times New Roman" w:cs="Times New Roman"/>
        </w:rPr>
      </w:pPr>
      <w:r w:rsidRPr="00B720C0">
        <w:rPr>
          <w:rFonts w:ascii="Times New Roman" w:hAnsi="Times New Roman" w:cs="Times New Roman"/>
        </w:rPr>
        <w:t>At each scale, we visually assessed quantile-quantile plots and residuals versus fitted values plots to assess potential substantial deviations from assumptions of normality of residuals. We used the R packages ‘lme4’ (Bates et al. 2015) for LMMs, ‘nlme’ (Pinheiro et al. 2020), ‘fishtree’ (Rabosky et al. 2018; Chang et al. 2019), and ‘ape’ (Paradis &amp; Schliep 2019) for PGLS models, ‘MuMIn’ (Barton 2020) for multi-model inference model selection, and ‘piecewiseSEM’ (Lefcheck 2016) for path models</w:t>
      </w:r>
      <w:r w:rsidR="007C4379" w:rsidRPr="002A0756">
        <w:rPr>
          <w:rFonts w:ascii="Times New Roman" w:hAnsi="Times New Roman" w:cs="Times New Roman"/>
        </w:rPr>
        <w:t>.</w:t>
      </w:r>
    </w:p>
    <w:p w14:paraId="0F663C15" w14:textId="77777777" w:rsidR="007C4379" w:rsidRPr="00911285" w:rsidRDefault="007C4379" w:rsidP="007C4379">
      <w:pPr>
        <w:pStyle w:val="Heading2"/>
        <w:rPr>
          <w:rFonts w:ascii="Times New Roman" w:hAnsi="Times New Roman" w:cs="Times New Roman"/>
          <w:sz w:val="24"/>
          <w:szCs w:val="24"/>
        </w:rPr>
      </w:pPr>
      <w:bookmarkStart w:id="97" w:name="_Toc100607924"/>
      <w:r>
        <w:rPr>
          <w:rFonts w:ascii="Times New Roman" w:hAnsi="Times New Roman" w:cs="Times New Roman"/>
          <w:sz w:val="24"/>
          <w:szCs w:val="24"/>
        </w:rPr>
        <w:t>Results</w:t>
      </w:r>
      <w:bookmarkEnd w:id="97"/>
    </w:p>
    <w:p w14:paraId="1EE4F185" w14:textId="14A77D0E" w:rsidR="00E91203" w:rsidRDefault="00B71BD7" w:rsidP="00D512FC">
      <w:pPr>
        <w:ind w:firstLine="720"/>
        <w:jc w:val="both"/>
        <w:rPr>
          <w:rFonts w:ascii="Times New Roman" w:hAnsi="Times New Roman" w:cs="Times New Roman"/>
        </w:rPr>
      </w:pPr>
      <w:r w:rsidRPr="00B71BD7">
        <w:rPr>
          <w:rFonts w:ascii="Times New Roman" w:hAnsi="Times New Roman" w:cs="Times New Roman"/>
        </w:rPr>
        <w:t xml:space="preserve">Our assemblage and population datasets spanned broad latitudinal (range = 20.9 decimal degrees), longitudinal (range = 52.7), and elevational (mean = 513.5 meters; SD = 608.1) gradients (Fig. </w:t>
      </w:r>
      <w:r w:rsidR="00E91203">
        <w:rPr>
          <w:rFonts w:ascii="Times New Roman" w:hAnsi="Times New Roman" w:cs="Times New Roman"/>
        </w:rPr>
        <w:t>2</w:t>
      </w:r>
      <w:r w:rsidRPr="00B71BD7">
        <w:rPr>
          <w:rFonts w:ascii="Times New Roman" w:hAnsi="Times New Roman" w:cs="Times New Roman"/>
        </w:rPr>
        <w:t xml:space="preserve">2a). </w:t>
      </w:r>
    </w:p>
    <w:p w14:paraId="643DF78E" w14:textId="77777777" w:rsidR="00E91203" w:rsidRDefault="00E91203">
      <w:pPr>
        <w:rPr>
          <w:rFonts w:ascii="Times New Roman" w:hAnsi="Times New Roman" w:cs="Times New Roman"/>
        </w:rPr>
      </w:pPr>
      <w:r>
        <w:rPr>
          <w:rFonts w:ascii="Times New Roman" w:hAnsi="Times New Roman" w:cs="Times New Roman"/>
        </w:rPr>
        <w:br w:type="page"/>
      </w:r>
    </w:p>
    <w:p w14:paraId="7BBE90AB" w14:textId="77777777" w:rsidR="00E91203" w:rsidRDefault="00E91203" w:rsidP="00E91203">
      <w:pPr>
        <w:rPr>
          <w:rFonts w:ascii="Times New Roman" w:hAnsi="Times New Roman" w:cs="Times New Roman"/>
        </w:rPr>
      </w:pPr>
      <w:r>
        <w:rPr>
          <w:noProof/>
        </w:rPr>
        <w:lastRenderedPageBreak/>
        <w:drawing>
          <wp:inline distT="0" distB="0" distL="0" distR="0" wp14:anchorId="7D93E91A" wp14:editId="2E62857B">
            <wp:extent cx="5485758" cy="5542915"/>
            <wp:effectExtent l="0" t="0" r="1270" b="635"/>
            <wp:docPr id="14" name="Picture 14"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rotWithShape="1">
                    <a:blip r:embed="rId30" cstate="print">
                      <a:extLst>
                        <a:ext uri="{28A0092B-C50C-407E-A947-70E740481C1C}">
                          <a14:useLocalDpi xmlns:a14="http://schemas.microsoft.com/office/drawing/2010/main" val="0"/>
                        </a:ext>
                      </a:extLst>
                    </a:blip>
                    <a:srcRect t="12390" b="18946"/>
                    <a:stretch/>
                  </pic:blipFill>
                  <pic:spPr bwMode="auto">
                    <a:xfrm>
                      <a:off x="0" y="0"/>
                      <a:ext cx="5486400" cy="5543563"/>
                    </a:xfrm>
                    <a:prstGeom prst="rect">
                      <a:avLst/>
                    </a:prstGeom>
                    <a:ln>
                      <a:noFill/>
                    </a:ln>
                    <a:extLst>
                      <a:ext uri="{53640926-AAD7-44D8-BBD7-CCE9431645EC}">
                        <a14:shadowObscured xmlns:a14="http://schemas.microsoft.com/office/drawing/2010/main"/>
                      </a:ext>
                    </a:extLst>
                  </pic:spPr>
                </pic:pic>
              </a:graphicData>
            </a:graphic>
          </wp:inline>
        </w:drawing>
      </w:r>
    </w:p>
    <w:p w14:paraId="58C0F56B" w14:textId="77777777" w:rsidR="00E91203" w:rsidRDefault="00E91203" w:rsidP="00E91203">
      <w:pPr>
        <w:jc w:val="both"/>
        <w:rPr>
          <w:rFonts w:ascii="Times New Roman" w:hAnsi="Times New Roman" w:cs="Times New Roman"/>
        </w:rPr>
      </w:pPr>
      <w:bookmarkStart w:id="98" w:name="_Toc100607951"/>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22</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3A0E8D">
        <w:rPr>
          <w:rFonts w:ascii="Times New Roman" w:hAnsi="Times New Roman" w:cs="Times New Roman"/>
          <w:b/>
          <w:bCs/>
          <w:iCs/>
        </w:rPr>
        <w:t>Dataset summary.</w:t>
      </w:r>
      <w:r>
        <w:rPr>
          <w:rFonts w:ascii="Times New Roman" w:hAnsi="Times New Roman" w:cs="Times New Roman"/>
          <w:iCs/>
        </w:rPr>
        <w:t xml:space="preserve"> Map a) shows the locations of assemblages (circles) and populations (triangles). Circle size indicates the Strahler stream order of each assemblage and color shows raw elevation in meters (m). Chart b) presents a taxonomic summary of the species scale dataset. Each square represents a species and is colored according to family. Percentages above the chart indicate the percentage of total species represented by the four most speciose families.</w:t>
      </w:r>
      <w:bookmarkEnd w:id="98"/>
    </w:p>
    <w:p w14:paraId="46DDB714" w14:textId="77777777" w:rsidR="00E91203" w:rsidRDefault="00E91203">
      <w:pPr>
        <w:rPr>
          <w:rFonts w:ascii="Times New Roman" w:hAnsi="Times New Roman" w:cs="Times New Roman"/>
        </w:rPr>
      </w:pPr>
      <w:r>
        <w:rPr>
          <w:rFonts w:ascii="Times New Roman" w:hAnsi="Times New Roman" w:cs="Times New Roman"/>
        </w:rPr>
        <w:br w:type="page"/>
      </w:r>
    </w:p>
    <w:p w14:paraId="66198397" w14:textId="76655D4A" w:rsidR="00B71BD7" w:rsidRPr="00B71BD7" w:rsidRDefault="00B71BD7" w:rsidP="00D512FC">
      <w:pPr>
        <w:ind w:firstLine="720"/>
        <w:jc w:val="both"/>
        <w:rPr>
          <w:rFonts w:ascii="Times New Roman" w:hAnsi="Times New Roman" w:cs="Times New Roman"/>
        </w:rPr>
      </w:pPr>
      <w:r w:rsidRPr="00B71BD7">
        <w:rPr>
          <w:rFonts w:ascii="Times New Roman" w:hAnsi="Times New Roman" w:cs="Times New Roman"/>
        </w:rPr>
        <w:lastRenderedPageBreak/>
        <w:t xml:space="preserve">The 145 native species in our species scale analysis encompassed 16 families (Fig. </w:t>
      </w:r>
      <w:r w:rsidR="00CC6BB0">
        <w:rPr>
          <w:rFonts w:ascii="Times New Roman" w:hAnsi="Times New Roman" w:cs="Times New Roman"/>
        </w:rPr>
        <w:t>2</w:t>
      </w:r>
      <w:r w:rsidRPr="00B71BD7">
        <w:rPr>
          <w:rFonts w:ascii="Times New Roman" w:hAnsi="Times New Roman" w:cs="Times New Roman"/>
        </w:rPr>
        <w:t xml:space="preserve">2b). Notably, these families </w:t>
      </w:r>
      <w:r w:rsidR="00A116AB">
        <w:rPr>
          <w:rFonts w:ascii="Times New Roman" w:hAnsi="Times New Roman" w:cs="Times New Roman"/>
        </w:rPr>
        <w:t xml:space="preserve">included </w:t>
      </w:r>
      <w:r w:rsidRPr="00B71BD7">
        <w:rPr>
          <w:rFonts w:ascii="Times New Roman" w:hAnsi="Times New Roman" w:cs="Times New Roman"/>
        </w:rPr>
        <w:t xml:space="preserve">eight of the ten most specious North American fish families and ten of the 12 most speciose families in Atlantic drainages (see Smith et al. 2010). Therefore, our dataset broadly represented CONUS stream habitats and ichthyodiversity, thus enabling a robust analysis of body size patterns in CONUS riverine fishes.  </w:t>
      </w:r>
    </w:p>
    <w:p w14:paraId="7BDA2EC3" w14:textId="29B8CB55" w:rsidR="00B71BD7" w:rsidRPr="00B71BD7" w:rsidRDefault="00B71BD7" w:rsidP="00D512FC">
      <w:pPr>
        <w:ind w:firstLine="720"/>
        <w:jc w:val="both"/>
        <w:rPr>
          <w:rFonts w:ascii="Times New Roman" w:hAnsi="Times New Roman" w:cs="Times New Roman"/>
        </w:rPr>
      </w:pPr>
      <w:r w:rsidRPr="00B71BD7">
        <w:rPr>
          <w:rFonts w:ascii="Times New Roman" w:hAnsi="Times New Roman" w:cs="Times New Roman"/>
        </w:rPr>
        <w:t>At the assemblage scale, increasing watershed urbanization (</w:t>
      </w:r>
      <w:r w:rsidRPr="002A332D">
        <w:rPr>
          <w:rFonts w:ascii="Times New Roman" w:hAnsi="Times New Roman" w:cs="Times New Roman"/>
          <w:i/>
          <w:iCs/>
        </w:rPr>
        <w:t>β</w:t>
      </w:r>
      <w:r w:rsidRPr="00B71BD7">
        <w:rPr>
          <w:rFonts w:ascii="Times New Roman" w:hAnsi="Times New Roman" w:cs="Times New Roman"/>
        </w:rPr>
        <w:t xml:space="preserve"> = 0.123, SE = 0.05) and temperature (</w:t>
      </w:r>
      <w:r w:rsidRPr="002A332D">
        <w:rPr>
          <w:rFonts w:ascii="Times New Roman" w:hAnsi="Times New Roman" w:cs="Times New Roman"/>
          <w:i/>
          <w:iCs/>
        </w:rPr>
        <w:t>β</w:t>
      </w:r>
      <w:r w:rsidRPr="00B71BD7">
        <w:rPr>
          <w:rFonts w:ascii="Times New Roman" w:hAnsi="Times New Roman" w:cs="Times New Roman"/>
        </w:rPr>
        <w:t xml:space="preserve"> = 0.001, SE = 0.10) and decreasing CTI (</w:t>
      </w:r>
      <w:r w:rsidRPr="002A332D">
        <w:rPr>
          <w:rFonts w:ascii="Times New Roman" w:hAnsi="Times New Roman" w:cs="Times New Roman"/>
          <w:i/>
          <w:iCs/>
        </w:rPr>
        <w:t>β</w:t>
      </w:r>
      <w:r w:rsidRPr="00B71BD7">
        <w:rPr>
          <w:rFonts w:ascii="Times New Roman" w:hAnsi="Times New Roman" w:cs="Times New Roman"/>
        </w:rPr>
        <w:t xml:space="preserve"> = -0.256, SE = 0.08) and NDVI (</w:t>
      </w:r>
      <w:r w:rsidRPr="002A332D">
        <w:rPr>
          <w:rFonts w:ascii="Times New Roman" w:hAnsi="Times New Roman" w:cs="Times New Roman"/>
          <w:i/>
          <w:iCs/>
        </w:rPr>
        <w:t>β</w:t>
      </w:r>
      <w:r w:rsidRPr="00B71BD7">
        <w:rPr>
          <w:rFonts w:ascii="Times New Roman" w:hAnsi="Times New Roman" w:cs="Times New Roman"/>
        </w:rPr>
        <w:t xml:space="preserve"> = 0.10, SE = 0.05) increased median mass (Fig. </w:t>
      </w:r>
      <w:r w:rsidR="00A116AB">
        <w:rPr>
          <w:rFonts w:ascii="Times New Roman" w:hAnsi="Times New Roman" w:cs="Times New Roman"/>
        </w:rPr>
        <w:t>2</w:t>
      </w:r>
      <w:r w:rsidRPr="00B71BD7">
        <w:rPr>
          <w:rFonts w:ascii="Times New Roman" w:hAnsi="Times New Roman" w:cs="Times New Roman"/>
        </w:rPr>
        <w:t xml:space="preserve">3a, Table </w:t>
      </w:r>
      <w:r w:rsidR="00B72F17">
        <w:rPr>
          <w:rFonts w:ascii="Times New Roman" w:hAnsi="Times New Roman" w:cs="Times New Roman"/>
        </w:rPr>
        <w:t>13</w:t>
      </w:r>
      <w:r w:rsidRPr="00B71BD7">
        <w:rPr>
          <w:rFonts w:ascii="Times New Roman" w:hAnsi="Times New Roman" w:cs="Times New Roman"/>
        </w:rPr>
        <w:t xml:space="preserve">). We also identified a positive interaction between CTI and temperature (CTI × TMP; </w:t>
      </w:r>
      <w:r w:rsidRPr="002A332D">
        <w:rPr>
          <w:rFonts w:ascii="Times New Roman" w:hAnsi="Times New Roman" w:cs="Times New Roman"/>
          <w:i/>
          <w:iCs/>
        </w:rPr>
        <w:t>β</w:t>
      </w:r>
      <w:r w:rsidRPr="00B71BD7">
        <w:rPr>
          <w:rFonts w:ascii="Times New Roman" w:hAnsi="Times New Roman" w:cs="Times New Roman"/>
        </w:rPr>
        <w:t xml:space="preserve"> = 0.158, SE = 0.05, Fig. </w:t>
      </w:r>
      <w:r w:rsidR="00424866">
        <w:rPr>
          <w:rFonts w:ascii="Times New Roman" w:hAnsi="Times New Roman" w:cs="Times New Roman"/>
        </w:rPr>
        <w:t>2</w:t>
      </w:r>
      <w:r w:rsidRPr="00B71BD7">
        <w:rPr>
          <w:rFonts w:ascii="Times New Roman" w:hAnsi="Times New Roman" w:cs="Times New Roman"/>
        </w:rPr>
        <w:t xml:space="preserve">3a, </w:t>
      </w:r>
      <w:r w:rsidRPr="00A56618">
        <w:rPr>
          <w:rFonts w:ascii="Times New Roman" w:hAnsi="Times New Roman" w:cs="Times New Roman"/>
        </w:rPr>
        <w:t xml:space="preserve">Table </w:t>
      </w:r>
      <w:r w:rsidR="00A56618">
        <w:rPr>
          <w:rFonts w:ascii="Times New Roman" w:hAnsi="Times New Roman" w:cs="Times New Roman"/>
        </w:rPr>
        <w:t>13</w:t>
      </w:r>
      <w:r w:rsidRPr="00B71BD7">
        <w:rPr>
          <w:rFonts w:ascii="Times New Roman" w:hAnsi="Times New Roman" w:cs="Times New Roman"/>
        </w:rPr>
        <w:t xml:space="preserve">). This indicates that assemblages with higher CTI showed a less negative relationship between mass and temperature compared to those with lower CTI. CTI and CTI × TMP effects far exceeded those of TMP, indicating that thermal mechanisms outweighed those of environmental temperature (Fig. </w:t>
      </w:r>
      <w:r w:rsidR="004A2DFF">
        <w:rPr>
          <w:rFonts w:ascii="Times New Roman" w:hAnsi="Times New Roman" w:cs="Times New Roman"/>
        </w:rPr>
        <w:t>2</w:t>
      </w:r>
      <w:r w:rsidRPr="00B71BD7">
        <w:rPr>
          <w:rFonts w:ascii="Times New Roman" w:hAnsi="Times New Roman" w:cs="Times New Roman"/>
        </w:rPr>
        <w:t>4a). Proximate environmental variables and thermal mechanisms fully mediated geographic effects (</w:t>
      </w:r>
      <w:r w:rsidRPr="00424866">
        <w:rPr>
          <w:rFonts w:ascii="Times New Roman" w:hAnsi="Times New Roman" w:cs="Times New Roman"/>
          <w:i/>
          <w:iCs/>
        </w:rPr>
        <w:t>C</w:t>
      </w:r>
      <w:r w:rsidRPr="00B71BD7">
        <w:rPr>
          <w:rFonts w:ascii="Times New Roman" w:hAnsi="Times New Roman" w:cs="Times New Roman"/>
        </w:rPr>
        <w:t xml:space="preserve"> = 8.23, 8 </w:t>
      </w:r>
      <w:r w:rsidRPr="004A2DFF">
        <w:rPr>
          <w:rFonts w:ascii="Times New Roman" w:hAnsi="Times New Roman" w:cs="Times New Roman"/>
          <w:i/>
          <w:iCs/>
        </w:rPr>
        <w:t>df</w:t>
      </w:r>
      <w:r w:rsidRPr="00B71BD7">
        <w:rPr>
          <w:rFonts w:ascii="Times New Roman" w:hAnsi="Times New Roman" w:cs="Times New Roman"/>
        </w:rPr>
        <w:t xml:space="preserve">, </w:t>
      </w:r>
      <w:r w:rsidRPr="004A2DFF">
        <w:rPr>
          <w:rFonts w:ascii="Times New Roman" w:hAnsi="Times New Roman" w:cs="Times New Roman"/>
          <w:i/>
          <w:iCs/>
        </w:rPr>
        <w:t>p</w:t>
      </w:r>
      <w:r w:rsidRPr="00B71BD7">
        <w:rPr>
          <w:rFonts w:ascii="Times New Roman" w:hAnsi="Times New Roman" w:cs="Times New Roman"/>
        </w:rPr>
        <w:t xml:space="preserve"> = 0.411, Table </w:t>
      </w:r>
      <w:r w:rsidR="00B72F17">
        <w:rPr>
          <w:rFonts w:ascii="Times New Roman" w:hAnsi="Times New Roman" w:cs="Times New Roman"/>
        </w:rPr>
        <w:t>19</w:t>
      </w:r>
      <w:r w:rsidRPr="00B71BD7">
        <w:rPr>
          <w:rFonts w:ascii="Times New Roman" w:hAnsi="Times New Roman" w:cs="Times New Roman"/>
        </w:rPr>
        <w:t xml:space="preserve">). Indirect effects showed positive relationships between ELEV and LAT and median assemblage mass (Fig. </w:t>
      </w:r>
      <w:r w:rsidR="00781210">
        <w:rPr>
          <w:rFonts w:ascii="Times New Roman" w:hAnsi="Times New Roman" w:cs="Times New Roman"/>
        </w:rPr>
        <w:t>2</w:t>
      </w:r>
      <w:r w:rsidRPr="00B71BD7">
        <w:rPr>
          <w:rFonts w:ascii="Times New Roman" w:hAnsi="Times New Roman" w:cs="Times New Roman"/>
        </w:rPr>
        <w:t xml:space="preserve">4a). The indirect effect of LAT on mass was more than double that of ELEV (Fig. </w:t>
      </w:r>
      <w:r w:rsidR="00781210">
        <w:rPr>
          <w:rFonts w:ascii="Times New Roman" w:hAnsi="Times New Roman" w:cs="Times New Roman"/>
        </w:rPr>
        <w:t>2</w:t>
      </w:r>
      <w:r w:rsidRPr="00B71BD7">
        <w:rPr>
          <w:rFonts w:ascii="Times New Roman" w:hAnsi="Times New Roman" w:cs="Times New Roman"/>
        </w:rPr>
        <w:t xml:space="preserve">4a) and was strongly mediated by direct effects of CTI on mass (Fig. </w:t>
      </w:r>
      <w:r w:rsidR="00424866">
        <w:rPr>
          <w:rFonts w:ascii="Times New Roman" w:hAnsi="Times New Roman" w:cs="Times New Roman"/>
        </w:rPr>
        <w:t>2</w:t>
      </w:r>
      <w:r w:rsidRPr="00B71BD7">
        <w:rPr>
          <w:rFonts w:ascii="Times New Roman" w:hAnsi="Times New Roman" w:cs="Times New Roman"/>
        </w:rPr>
        <w:t xml:space="preserve">3a). The weaker ELEV effect may be explained by the negative indirect effect of ELEV on mass mediated by URBWS which opposed the overall positive effect of ELEV on mass (Fig. </w:t>
      </w:r>
      <w:r w:rsidR="00424866">
        <w:rPr>
          <w:rFonts w:ascii="Times New Roman" w:hAnsi="Times New Roman" w:cs="Times New Roman"/>
        </w:rPr>
        <w:t>2</w:t>
      </w:r>
      <w:r w:rsidRPr="00B71BD7">
        <w:rPr>
          <w:rFonts w:ascii="Times New Roman" w:hAnsi="Times New Roman" w:cs="Times New Roman"/>
        </w:rPr>
        <w:t xml:space="preserve">3a). Although similar opposing indirect effects were observed for TMP, this weak effect was comparatively negligible on overall indirect patterns (Fig. </w:t>
      </w:r>
      <w:r w:rsidR="00424866">
        <w:rPr>
          <w:rFonts w:ascii="Times New Roman" w:hAnsi="Times New Roman" w:cs="Times New Roman"/>
        </w:rPr>
        <w:t>2</w:t>
      </w:r>
      <w:r w:rsidRPr="00B71BD7">
        <w:rPr>
          <w:rFonts w:ascii="Times New Roman" w:hAnsi="Times New Roman" w:cs="Times New Roman"/>
        </w:rPr>
        <w:t>3a).</w:t>
      </w:r>
    </w:p>
    <w:p w14:paraId="7C40F927" w14:textId="3EBEEA2B" w:rsidR="00B71BD7" w:rsidRPr="00B71BD7" w:rsidRDefault="00B71BD7" w:rsidP="00D512FC">
      <w:pPr>
        <w:ind w:firstLine="720"/>
        <w:jc w:val="both"/>
        <w:rPr>
          <w:rFonts w:ascii="Times New Roman" w:hAnsi="Times New Roman" w:cs="Times New Roman"/>
        </w:rPr>
      </w:pPr>
      <w:r w:rsidRPr="00B71BD7">
        <w:rPr>
          <w:rFonts w:ascii="Times New Roman" w:hAnsi="Times New Roman" w:cs="Times New Roman"/>
        </w:rPr>
        <w:t>After controlling for phylogeny, decreasing temperature increased mass among species (</w:t>
      </w:r>
      <w:r w:rsidRPr="002A332D">
        <w:rPr>
          <w:rFonts w:ascii="Times New Roman" w:hAnsi="Times New Roman" w:cs="Times New Roman"/>
          <w:i/>
          <w:iCs/>
        </w:rPr>
        <w:t>β</w:t>
      </w:r>
      <w:r w:rsidRPr="00B71BD7">
        <w:rPr>
          <w:rFonts w:ascii="Times New Roman" w:hAnsi="Times New Roman" w:cs="Times New Roman"/>
        </w:rPr>
        <w:t xml:space="preserve"> = -0.162, SE = 0.05, Fig. </w:t>
      </w:r>
      <w:r w:rsidR="00424866">
        <w:rPr>
          <w:rFonts w:ascii="Times New Roman" w:hAnsi="Times New Roman" w:cs="Times New Roman"/>
        </w:rPr>
        <w:t>2</w:t>
      </w:r>
      <w:r w:rsidRPr="00B71BD7">
        <w:rPr>
          <w:rFonts w:ascii="Times New Roman" w:hAnsi="Times New Roman" w:cs="Times New Roman"/>
        </w:rPr>
        <w:t xml:space="preserve">3b, Table </w:t>
      </w:r>
      <w:r w:rsidR="00870BE6">
        <w:rPr>
          <w:rFonts w:ascii="Times New Roman" w:hAnsi="Times New Roman" w:cs="Times New Roman"/>
        </w:rPr>
        <w:t>14</w:t>
      </w:r>
      <w:r w:rsidRPr="00B71BD7">
        <w:rPr>
          <w:rFonts w:ascii="Times New Roman" w:hAnsi="Times New Roman" w:cs="Times New Roman"/>
        </w:rPr>
        <w:t>). Temperature fully mediated geographic effects (</w:t>
      </w:r>
      <w:r w:rsidRPr="00781210">
        <w:rPr>
          <w:rFonts w:ascii="Times New Roman" w:hAnsi="Times New Roman" w:cs="Times New Roman"/>
          <w:i/>
          <w:iCs/>
        </w:rPr>
        <w:t>C</w:t>
      </w:r>
      <w:r w:rsidRPr="00B71BD7">
        <w:rPr>
          <w:rFonts w:ascii="Times New Roman" w:hAnsi="Times New Roman" w:cs="Times New Roman"/>
        </w:rPr>
        <w:t xml:space="preserve"> = 1.63, 4 </w:t>
      </w:r>
      <w:r w:rsidRPr="00781210">
        <w:rPr>
          <w:rFonts w:ascii="Times New Roman" w:hAnsi="Times New Roman" w:cs="Times New Roman"/>
          <w:i/>
          <w:iCs/>
        </w:rPr>
        <w:t>df</w:t>
      </w:r>
      <w:r w:rsidRPr="00B71BD7">
        <w:rPr>
          <w:rFonts w:ascii="Times New Roman" w:hAnsi="Times New Roman" w:cs="Times New Roman"/>
        </w:rPr>
        <w:t xml:space="preserve">, </w:t>
      </w:r>
      <w:r w:rsidRPr="00781210">
        <w:rPr>
          <w:rFonts w:ascii="Times New Roman" w:hAnsi="Times New Roman" w:cs="Times New Roman"/>
          <w:i/>
          <w:iCs/>
        </w:rPr>
        <w:t>p</w:t>
      </w:r>
      <w:r w:rsidRPr="00B71BD7">
        <w:rPr>
          <w:rFonts w:ascii="Times New Roman" w:hAnsi="Times New Roman" w:cs="Times New Roman"/>
        </w:rPr>
        <w:t xml:space="preserve"> = 0.803, Table </w:t>
      </w:r>
      <w:r w:rsidR="00870BE6">
        <w:rPr>
          <w:rFonts w:ascii="Times New Roman" w:hAnsi="Times New Roman" w:cs="Times New Roman"/>
        </w:rPr>
        <w:t>20</w:t>
      </w:r>
      <w:r w:rsidRPr="00B71BD7">
        <w:rPr>
          <w:rFonts w:ascii="Times New Roman" w:hAnsi="Times New Roman" w:cs="Times New Roman"/>
        </w:rPr>
        <w:t xml:space="preserve">). LAT and ELEV showed indirect positive relationships with mass, mediated by temperature but LAT showed a stronger indirect effect, relative to ELEV (Fig. </w:t>
      </w:r>
      <w:r w:rsidR="00781210">
        <w:rPr>
          <w:rFonts w:ascii="Times New Roman" w:hAnsi="Times New Roman" w:cs="Times New Roman"/>
        </w:rPr>
        <w:t>2</w:t>
      </w:r>
      <w:r w:rsidRPr="00B71BD7">
        <w:rPr>
          <w:rFonts w:ascii="Times New Roman" w:hAnsi="Times New Roman" w:cs="Times New Roman"/>
        </w:rPr>
        <w:t xml:space="preserve">4b). This indicates that size variation among species is attributed to an indirect positive effect of LAT, mediated by environmental temperature. Although the top-ranked species model did not incorporate a thermal mechanism, model selection indicated that a model incorporating negative effects of CTmax and TMP on mass was within the family of best-fit models (ΔAICc = 0.14, Table </w:t>
      </w:r>
      <w:r w:rsidR="002A332D">
        <w:rPr>
          <w:rFonts w:ascii="Times New Roman" w:hAnsi="Times New Roman" w:cs="Times New Roman"/>
        </w:rPr>
        <w:t>14</w:t>
      </w:r>
      <w:r w:rsidRPr="00B71BD7">
        <w:rPr>
          <w:rFonts w:ascii="Times New Roman" w:hAnsi="Times New Roman" w:cs="Times New Roman"/>
        </w:rPr>
        <w:t>). Therefore, a thermal mechanism may underlie the inverse relationship between mass and TMP among species.</w:t>
      </w:r>
    </w:p>
    <w:p w14:paraId="09634DB0" w14:textId="3D115FBA" w:rsidR="00C13481" w:rsidRDefault="00B71BD7" w:rsidP="00D512FC">
      <w:pPr>
        <w:ind w:firstLine="720"/>
        <w:jc w:val="both"/>
        <w:rPr>
          <w:rFonts w:ascii="Times New Roman" w:hAnsi="Times New Roman" w:cs="Times New Roman"/>
        </w:rPr>
      </w:pPr>
      <w:r w:rsidRPr="00B71BD7">
        <w:rPr>
          <w:rFonts w:ascii="Times New Roman" w:hAnsi="Times New Roman" w:cs="Times New Roman"/>
        </w:rPr>
        <w:t>Relative to assemblage and species models, a greater variety of proximate drivers affected population mass. Increasing URBWS (</w:t>
      </w:r>
      <w:r w:rsidRPr="002A332D">
        <w:rPr>
          <w:rFonts w:ascii="Times New Roman" w:hAnsi="Times New Roman" w:cs="Times New Roman"/>
          <w:i/>
          <w:iCs/>
        </w:rPr>
        <w:t>β</w:t>
      </w:r>
      <w:r w:rsidRPr="00B71BD7">
        <w:rPr>
          <w:rFonts w:ascii="Times New Roman" w:hAnsi="Times New Roman" w:cs="Times New Roman"/>
        </w:rPr>
        <w:t xml:space="preserve"> = 0.055, SE = 0.02), AGRWS (</w:t>
      </w:r>
      <w:r w:rsidRPr="002A332D">
        <w:rPr>
          <w:rFonts w:ascii="Times New Roman" w:hAnsi="Times New Roman" w:cs="Times New Roman"/>
          <w:i/>
          <w:iCs/>
        </w:rPr>
        <w:t>β</w:t>
      </w:r>
      <w:r w:rsidRPr="00B71BD7">
        <w:rPr>
          <w:rFonts w:ascii="Times New Roman" w:hAnsi="Times New Roman" w:cs="Times New Roman"/>
        </w:rPr>
        <w:t xml:space="preserve"> = 0.032, SE = 0.02), and FORWS (</w:t>
      </w:r>
      <w:r w:rsidRPr="002A332D">
        <w:rPr>
          <w:rFonts w:ascii="Times New Roman" w:hAnsi="Times New Roman" w:cs="Times New Roman"/>
          <w:i/>
          <w:iCs/>
        </w:rPr>
        <w:t>β</w:t>
      </w:r>
      <w:r w:rsidRPr="00B71BD7">
        <w:rPr>
          <w:rFonts w:ascii="Times New Roman" w:hAnsi="Times New Roman" w:cs="Times New Roman"/>
        </w:rPr>
        <w:t xml:space="preserve"> = 0.037, SE = 0.02), and decreasing CTmax (</w:t>
      </w:r>
      <w:r w:rsidRPr="002A332D">
        <w:rPr>
          <w:rFonts w:ascii="Times New Roman" w:hAnsi="Times New Roman" w:cs="Times New Roman"/>
          <w:i/>
          <w:iCs/>
        </w:rPr>
        <w:t>β</w:t>
      </w:r>
      <w:r w:rsidRPr="00B71BD7">
        <w:rPr>
          <w:rFonts w:ascii="Times New Roman" w:hAnsi="Times New Roman" w:cs="Times New Roman"/>
        </w:rPr>
        <w:t xml:space="preserve"> = -0.159, SE = 0.09), QCV (</w:t>
      </w:r>
      <w:r w:rsidRPr="002A332D">
        <w:rPr>
          <w:rFonts w:ascii="Times New Roman" w:hAnsi="Times New Roman" w:cs="Times New Roman"/>
          <w:i/>
          <w:iCs/>
        </w:rPr>
        <w:t>β</w:t>
      </w:r>
      <w:r w:rsidRPr="00B71BD7">
        <w:rPr>
          <w:rFonts w:ascii="Times New Roman" w:hAnsi="Times New Roman" w:cs="Times New Roman"/>
        </w:rPr>
        <w:t xml:space="preserve"> = -0.063, SE = 0.02), TMP (</w:t>
      </w:r>
      <w:r w:rsidRPr="002A332D">
        <w:rPr>
          <w:rFonts w:ascii="Times New Roman" w:hAnsi="Times New Roman" w:cs="Times New Roman"/>
          <w:i/>
          <w:iCs/>
        </w:rPr>
        <w:t>β</w:t>
      </w:r>
      <w:r w:rsidRPr="00B71BD7">
        <w:rPr>
          <w:rFonts w:ascii="Times New Roman" w:hAnsi="Times New Roman" w:cs="Times New Roman"/>
        </w:rPr>
        <w:t xml:space="preserve"> = -0.084, SE = 0.02), and NDVI (</w:t>
      </w:r>
      <w:r w:rsidRPr="002A332D">
        <w:rPr>
          <w:rFonts w:ascii="Times New Roman" w:hAnsi="Times New Roman" w:cs="Times New Roman"/>
          <w:i/>
          <w:iCs/>
        </w:rPr>
        <w:t>β</w:t>
      </w:r>
      <w:r w:rsidRPr="00B71BD7">
        <w:rPr>
          <w:rFonts w:ascii="Times New Roman" w:hAnsi="Times New Roman" w:cs="Times New Roman"/>
        </w:rPr>
        <w:t xml:space="preserve"> = -0.038, SE = 0.02) increased mass (Fig. </w:t>
      </w:r>
      <w:r w:rsidR="00424866">
        <w:rPr>
          <w:rFonts w:ascii="Times New Roman" w:hAnsi="Times New Roman" w:cs="Times New Roman"/>
        </w:rPr>
        <w:t>2</w:t>
      </w:r>
      <w:r w:rsidRPr="00B71BD7">
        <w:rPr>
          <w:rFonts w:ascii="Times New Roman" w:hAnsi="Times New Roman" w:cs="Times New Roman"/>
        </w:rPr>
        <w:t xml:space="preserve">3c, Table </w:t>
      </w:r>
      <w:r w:rsidR="00473AA2">
        <w:rPr>
          <w:rFonts w:ascii="Times New Roman" w:hAnsi="Times New Roman" w:cs="Times New Roman"/>
        </w:rPr>
        <w:t>15</w:t>
      </w:r>
      <w:r w:rsidRPr="00B71BD7">
        <w:rPr>
          <w:rFonts w:ascii="Times New Roman" w:hAnsi="Times New Roman" w:cs="Times New Roman"/>
        </w:rPr>
        <w:t>). However, these proximate variables did not fully mediate geography effects on mass (</w:t>
      </w:r>
      <w:r w:rsidRPr="00781210">
        <w:rPr>
          <w:rFonts w:ascii="Times New Roman" w:hAnsi="Times New Roman" w:cs="Times New Roman"/>
          <w:i/>
          <w:iCs/>
        </w:rPr>
        <w:t>C</w:t>
      </w:r>
      <w:r w:rsidRPr="00B71BD7">
        <w:rPr>
          <w:rFonts w:ascii="Times New Roman" w:hAnsi="Times New Roman" w:cs="Times New Roman"/>
        </w:rPr>
        <w:t xml:space="preserve"> = 93.72, 24 </w:t>
      </w:r>
      <w:r w:rsidRPr="00781210">
        <w:rPr>
          <w:rFonts w:ascii="Times New Roman" w:hAnsi="Times New Roman" w:cs="Times New Roman"/>
          <w:i/>
          <w:iCs/>
        </w:rPr>
        <w:t>df</w:t>
      </w:r>
      <w:r w:rsidRPr="00B71BD7">
        <w:rPr>
          <w:rFonts w:ascii="Times New Roman" w:hAnsi="Times New Roman" w:cs="Times New Roman"/>
        </w:rPr>
        <w:t xml:space="preserve">, </w:t>
      </w:r>
      <w:r w:rsidRPr="00781210">
        <w:rPr>
          <w:rFonts w:ascii="Times New Roman" w:hAnsi="Times New Roman" w:cs="Times New Roman"/>
          <w:i/>
          <w:iCs/>
        </w:rPr>
        <w:t>p</w:t>
      </w:r>
      <w:r w:rsidRPr="00B71BD7">
        <w:rPr>
          <w:rFonts w:ascii="Times New Roman" w:hAnsi="Times New Roman" w:cs="Times New Roman"/>
        </w:rPr>
        <w:t xml:space="preserve"> &lt; 0.001, Table </w:t>
      </w:r>
      <w:r w:rsidR="00473AA2">
        <w:rPr>
          <w:rFonts w:ascii="Times New Roman" w:hAnsi="Times New Roman" w:cs="Times New Roman"/>
        </w:rPr>
        <w:t>21</w:t>
      </w:r>
      <w:r w:rsidRPr="00B71BD7">
        <w:rPr>
          <w:rFonts w:ascii="Times New Roman" w:hAnsi="Times New Roman" w:cs="Times New Roman"/>
        </w:rPr>
        <w:t xml:space="preserve">). Specifically, the basis set revealed a significant missing path between LAT and mass, after accounting for proximate variables and thermal mechanisms (Table </w:t>
      </w:r>
      <w:r w:rsidR="00473AA2">
        <w:rPr>
          <w:rFonts w:ascii="Times New Roman" w:hAnsi="Times New Roman" w:cs="Times New Roman"/>
        </w:rPr>
        <w:t>21</w:t>
      </w:r>
      <w:r w:rsidRPr="00B71BD7">
        <w:rPr>
          <w:rFonts w:ascii="Times New Roman" w:hAnsi="Times New Roman" w:cs="Times New Roman"/>
        </w:rPr>
        <w:t xml:space="preserve">). </w:t>
      </w:r>
    </w:p>
    <w:p w14:paraId="693B75CC" w14:textId="77777777" w:rsidR="00C13481" w:rsidRDefault="00C13481">
      <w:pPr>
        <w:rPr>
          <w:rFonts w:ascii="Times New Roman" w:hAnsi="Times New Roman" w:cs="Times New Roman"/>
        </w:rPr>
      </w:pPr>
      <w:r>
        <w:rPr>
          <w:rFonts w:ascii="Times New Roman" w:hAnsi="Times New Roman" w:cs="Times New Roman"/>
        </w:rPr>
        <w:br w:type="page"/>
      </w:r>
    </w:p>
    <w:p w14:paraId="72BB9127" w14:textId="77777777" w:rsidR="00424866" w:rsidRDefault="00424866" w:rsidP="00424866">
      <w:pPr>
        <w:jc w:val="center"/>
        <w:rPr>
          <w:rFonts w:ascii="Times New Roman" w:hAnsi="Times New Roman" w:cs="Times New Roman"/>
        </w:rPr>
      </w:pPr>
      <w:r>
        <w:rPr>
          <w:noProof/>
        </w:rPr>
        <w:lastRenderedPageBreak/>
        <w:drawing>
          <wp:inline distT="0" distB="0" distL="0" distR="0" wp14:anchorId="47CF61E2" wp14:editId="28C72DD3">
            <wp:extent cx="2533650" cy="6940981"/>
            <wp:effectExtent l="0" t="0" r="0" b="0"/>
            <wp:docPr id="25" name="Picture 2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10;&#10;Description automatically generated"/>
                    <pic:cNvPicPr/>
                  </pic:nvPicPr>
                  <pic:blipFill rotWithShape="1">
                    <a:blip r:embed="rId31" cstate="print">
                      <a:extLst>
                        <a:ext uri="{28A0092B-C50C-407E-A947-70E740481C1C}">
                          <a14:useLocalDpi xmlns:a14="http://schemas.microsoft.com/office/drawing/2010/main" val="0"/>
                        </a:ext>
                      </a:extLst>
                    </a:blip>
                    <a:srcRect t="5101" b="7407"/>
                    <a:stretch/>
                  </pic:blipFill>
                  <pic:spPr bwMode="auto">
                    <a:xfrm>
                      <a:off x="0" y="0"/>
                      <a:ext cx="2544064" cy="6969510"/>
                    </a:xfrm>
                    <a:prstGeom prst="rect">
                      <a:avLst/>
                    </a:prstGeom>
                    <a:ln>
                      <a:noFill/>
                    </a:ln>
                    <a:extLst>
                      <a:ext uri="{53640926-AAD7-44D8-BBD7-CCE9431645EC}">
                        <a14:shadowObscured xmlns:a14="http://schemas.microsoft.com/office/drawing/2010/main"/>
                      </a:ext>
                    </a:extLst>
                  </pic:spPr>
                </pic:pic>
              </a:graphicData>
            </a:graphic>
          </wp:inline>
        </w:drawing>
      </w:r>
    </w:p>
    <w:p w14:paraId="3C563309" w14:textId="7580B81C" w:rsidR="00C13481" w:rsidRDefault="00424866" w:rsidP="00424866">
      <w:pPr>
        <w:jc w:val="both"/>
        <w:rPr>
          <w:rFonts w:ascii="Times New Roman" w:hAnsi="Times New Roman" w:cs="Times New Roman"/>
        </w:rPr>
      </w:pPr>
      <w:bookmarkStart w:id="99" w:name="_Toc100607952"/>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23</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Pr="001B729A">
        <w:rPr>
          <w:rFonts w:ascii="Times New Roman" w:hAnsi="Times New Roman" w:cs="Times New Roman"/>
          <w:b/>
          <w:iCs/>
        </w:rPr>
        <w:t>Path model results.</w:t>
      </w:r>
      <w:r>
        <w:rPr>
          <w:rFonts w:ascii="Times New Roman" w:hAnsi="Times New Roman" w:cs="Times New Roman"/>
          <w:iCs/>
        </w:rPr>
        <w:t xml:space="preserve"> For the a) assemblage, b) species, and c) population scales, we show the path model predicting mass as a function of geographic and proximate environmental variables. Line width indicates the absolute value of path coefficients binned into quartiles and color indicates the direction (positive or negative) of the effect. For clarity, bidirectional correlations are omitted</w:t>
      </w:r>
      <w:r w:rsidR="00870BE6">
        <w:rPr>
          <w:rFonts w:ascii="Times New Roman" w:hAnsi="Times New Roman" w:cs="Times New Roman"/>
          <w:iCs/>
        </w:rPr>
        <w:t xml:space="preserve"> but provided in </w:t>
      </w:r>
      <w:r w:rsidR="00870BE6">
        <w:rPr>
          <w:rFonts w:ascii="Times New Roman" w:hAnsi="Times New Roman" w:cs="Times New Roman"/>
        </w:rPr>
        <w:t>Tables 16-1</w:t>
      </w:r>
      <w:r w:rsidR="009A17FC">
        <w:rPr>
          <w:rFonts w:ascii="Times New Roman" w:hAnsi="Times New Roman" w:cs="Times New Roman"/>
        </w:rPr>
        <w:t>8</w:t>
      </w:r>
      <w:r>
        <w:rPr>
          <w:rFonts w:ascii="Times New Roman" w:hAnsi="Times New Roman" w:cs="Times New Roman"/>
          <w:iCs/>
        </w:rPr>
        <w:t>.</w:t>
      </w:r>
      <w:bookmarkEnd w:id="99"/>
      <w:r>
        <w:rPr>
          <w:rFonts w:ascii="Times New Roman" w:hAnsi="Times New Roman" w:cs="Times New Roman"/>
          <w:iCs/>
        </w:rPr>
        <w:t xml:space="preserve"> </w:t>
      </w:r>
      <w:r w:rsidR="00C13481">
        <w:rPr>
          <w:rFonts w:ascii="Times New Roman" w:hAnsi="Times New Roman" w:cs="Times New Roman"/>
        </w:rPr>
        <w:br w:type="page"/>
      </w:r>
    </w:p>
    <w:p w14:paraId="03E55CF9" w14:textId="3FBCA4A9" w:rsidR="00000078" w:rsidRDefault="00000078" w:rsidP="00583A38">
      <w:pPr>
        <w:jc w:val="center"/>
        <w:rPr>
          <w:rFonts w:ascii="Times New Roman" w:hAnsi="Times New Roman" w:cs="Times New Roman"/>
        </w:rPr>
      </w:pPr>
      <w:r>
        <w:rPr>
          <w:noProof/>
        </w:rPr>
        <w:lastRenderedPageBreak/>
        <w:drawing>
          <wp:inline distT="0" distB="0" distL="0" distR="0" wp14:anchorId="21BCFE0D" wp14:editId="046B82BB">
            <wp:extent cx="2167031" cy="6413500"/>
            <wp:effectExtent l="0" t="0" r="5080" b="635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84344" cy="6464740"/>
                    </a:xfrm>
                    <a:prstGeom prst="rect">
                      <a:avLst/>
                    </a:prstGeom>
                  </pic:spPr>
                </pic:pic>
              </a:graphicData>
            </a:graphic>
          </wp:inline>
        </w:drawing>
      </w:r>
    </w:p>
    <w:p w14:paraId="4305CBA6" w14:textId="77777777" w:rsidR="008814E3" w:rsidRDefault="008814E3" w:rsidP="00583A38">
      <w:pPr>
        <w:jc w:val="center"/>
        <w:rPr>
          <w:rFonts w:ascii="Times New Roman" w:hAnsi="Times New Roman" w:cs="Times New Roman"/>
        </w:rPr>
      </w:pPr>
    </w:p>
    <w:p w14:paraId="177D9E39" w14:textId="40FA6D9D" w:rsidR="00000078" w:rsidRDefault="00000078" w:rsidP="00D0591B">
      <w:pPr>
        <w:jc w:val="both"/>
        <w:rPr>
          <w:rFonts w:ascii="Times New Roman" w:hAnsi="Times New Roman" w:cs="Times New Roman"/>
        </w:rPr>
      </w:pPr>
      <w:bookmarkStart w:id="100" w:name="_Toc100607953"/>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24</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sidR="00583A38" w:rsidRPr="003B7416">
        <w:rPr>
          <w:rFonts w:ascii="Times New Roman" w:hAnsi="Times New Roman" w:cs="Times New Roman"/>
          <w:b/>
          <w:bCs/>
          <w:iCs/>
        </w:rPr>
        <w:t>Direct and indirect effects.</w:t>
      </w:r>
      <w:r w:rsidR="00583A38">
        <w:rPr>
          <w:rFonts w:ascii="Times New Roman" w:hAnsi="Times New Roman" w:cs="Times New Roman"/>
          <w:iCs/>
        </w:rPr>
        <w:t xml:space="preserve"> For the a) assemblage, b) species, and c) population scales, we show the direct effects of proximate environmental variables and indirect effects of geographic variables mediated by geographic variables, ordered by the absolute effect.  Shape of the points indicates the type of effect (circles, direct; diamonds, indirect) and color indicates the direction (positive or negative) of the effect. Direct and indirect effects are estimated based on standardized path coefficients following </w:t>
      </w:r>
      <w:r w:rsidR="00583A38">
        <w:rPr>
          <w:rFonts w:ascii="Times New Roman" w:hAnsi="Times New Roman" w:cs="Times New Roman"/>
          <w:iCs/>
        </w:rPr>
        <w:fldChar w:fldCharType="begin" w:fldLock="1"/>
      </w:r>
      <w:r w:rsidR="00583A38">
        <w:rPr>
          <w:rFonts w:ascii="Times New Roman" w:hAnsi="Times New Roman" w:cs="Times New Roman"/>
          <w:iCs/>
        </w:rPr>
        <w:instrText>ADDIN CSL_CITATION {"citationItems":[{"id":"ITEM-1","itemData":{"author":[{"dropping-particle":"","family":"Shipley","given":"Bill","non-dropping-particle":"","parse-names":false,"suffix":""}],"edition":"Second Edi","id":"ITEM-1","issued":{"date-parts":[["2016"]]},"publisher":"Cambridge University Press","publisher-place":"Cambridge, UK","title":"Cause and correlation in biology: a user's guide to path analysis, structural equations and causal inference with R","type":"book"},"uris":["http://www.mendeley.com/documents/?uuid=4c80a6a6-b875-49c0-97e7-6f96e2ed2e50"]}],"mendeley":{"formattedCitation":"(Shipley 2016)","manualFormatting":"Shipley (2016)","plainTextFormattedCitation":"(Shipley 2016)","previouslyFormattedCitation":"(Shipley 2016)"},"properties":{"noteIndex":0},"schema":"https://github.com/citation-style-language/schema/raw/master/csl-citation.json"}</w:instrText>
      </w:r>
      <w:r w:rsidR="00583A38">
        <w:rPr>
          <w:rFonts w:ascii="Times New Roman" w:hAnsi="Times New Roman" w:cs="Times New Roman"/>
          <w:iCs/>
        </w:rPr>
        <w:fldChar w:fldCharType="separate"/>
      </w:r>
      <w:r w:rsidR="00583A38" w:rsidRPr="00992318">
        <w:rPr>
          <w:rFonts w:ascii="Times New Roman" w:hAnsi="Times New Roman" w:cs="Times New Roman"/>
          <w:iCs/>
          <w:noProof/>
        </w:rPr>
        <w:t xml:space="preserve">Shipley </w:t>
      </w:r>
      <w:r w:rsidR="00583A38">
        <w:rPr>
          <w:rFonts w:ascii="Times New Roman" w:hAnsi="Times New Roman" w:cs="Times New Roman"/>
          <w:iCs/>
          <w:noProof/>
        </w:rPr>
        <w:t>(</w:t>
      </w:r>
      <w:r w:rsidR="00583A38" w:rsidRPr="00992318">
        <w:rPr>
          <w:rFonts w:ascii="Times New Roman" w:hAnsi="Times New Roman" w:cs="Times New Roman"/>
          <w:iCs/>
          <w:noProof/>
        </w:rPr>
        <w:t>2016)</w:t>
      </w:r>
      <w:r w:rsidR="00583A38">
        <w:rPr>
          <w:rFonts w:ascii="Times New Roman" w:hAnsi="Times New Roman" w:cs="Times New Roman"/>
          <w:iCs/>
        </w:rPr>
        <w:fldChar w:fldCharType="end"/>
      </w:r>
      <w:r w:rsidR="00583A38">
        <w:rPr>
          <w:rFonts w:ascii="Times New Roman" w:hAnsi="Times New Roman" w:cs="Times New Roman"/>
          <w:iCs/>
        </w:rPr>
        <w:t>.</w:t>
      </w:r>
      <w:bookmarkEnd w:id="100"/>
      <w:r>
        <w:rPr>
          <w:rFonts w:ascii="Times New Roman" w:hAnsi="Times New Roman" w:cs="Times New Roman"/>
        </w:rPr>
        <w:br w:type="page"/>
      </w:r>
    </w:p>
    <w:p w14:paraId="3EBE0F2B" w14:textId="05D9771C" w:rsidR="007C4379" w:rsidRPr="00DF7C87" w:rsidRDefault="00B71BD7" w:rsidP="00D512FC">
      <w:pPr>
        <w:ind w:firstLine="720"/>
        <w:jc w:val="both"/>
        <w:rPr>
          <w:rFonts w:ascii="Times New Roman" w:hAnsi="Times New Roman" w:cs="Times New Roman"/>
        </w:rPr>
      </w:pPr>
      <w:r w:rsidRPr="00B71BD7">
        <w:rPr>
          <w:rFonts w:ascii="Times New Roman" w:hAnsi="Times New Roman" w:cs="Times New Roman"/>
        </w:rPr>
        <w:lastRenderedPageBreak/>
        <w:t xml:space="preserve">Indirect effects of ELEV and LAT via proximate drivers showed positive relationships with population mass (Fig. </w:t>
      </w:r>
      <w:r w:rsidR="00564A85">
        <w:rPr>
          <w:rFonts w:ascii="Times New Roman" w:hAnsi="Times New Roman" w:cs="Times New Roman"/>
        </w:rPr>
        <w:t>2</w:t>
      </w:r>
      <w:r w:rsidRPr="00B71BD7">
        <w:rPr>
          <w:rFonts w:ascii="Times New Roman" w:hAnsi="Times New Roman" w:cs="Times New Roman"/>
        </w:rPr>
        <w:t xml:space="preserve">4c). The indirect effect of LAT, which exceeded ELEV, was mediated by a relatively strong direct effect of TMP (Fig. </w:t>
      </w:r>
      <w:r w:rsidR="00000078">
        <w:rPr>
          <w:rFonts w:ascii="Times New Roman" w:hAnsi="Times New Roman" w:cs="Times New Roman"/>
        </w:rPr>
        <w:t>2</w:t>
      </w:r>
      <w:r w:rsidRPr="00B71BD7">
        <w:rPr>
          <w:rFonts w:ascii="Times New Roman" w:hAnsi="Times New Roman" w:cs="Times New Roman"/>
        </w:rPr>
        <w:t xml:space="preserve">3c, Fig. </w:t>
      </w:r>
      <w:r w:rsidR="00564A85">
        <w:rPr>
          <w:rFonts w:ascii="Times New Roman" w:hAnsi="Times New Roman" w:cs="Times New Roman"/>
        </w:rPr>
        <w:t>2</w:t>
      </w:r>
      <w:r w:rsidRPr="00B71BD7">
        <w:rPr>
          <w:rFonts w:ascii="Times New Roman" w:hAnsi="Times New Roman" w:cs="Times New Roman"/>
        </w:rPr>
        <w:t xml:space="preserve">4c). Like assemblage results, we found that indirect effects of ELEV mediated by anthropogenic land-use (AGRWS and URBWS) opposed net positive effects of ELEV on mass (Fig. </w:t>
      </w:r>
      <w:r w:rsidR="00000078">
        <w:rPr>
          <w:rFonts w:ascii="Times New Roman" w:hAnsi="Times New Roman" w:cs="Times New Roman"/>
        </w:rPr>
        <w:t>2</w:t>
      </w:r>
      <w:r w:rsidRPr="00B71BD7">
        <w:rPr>
          <w:rFonts w:ascii="Times New Roman" w:hAnsi="Times New Roman" w:cs="Times New Roman"/>
        </w:rPr>
        <w:t xml:space="preserve">3c). Indirect effects of LAT on mass mediated by QCV also opposed the overall positive indirect positive pattern between LAT and population mass (Fig. </w:t>
      </w:r>
      <w:r w:rsidR="00000078">
        <w:rPr>
          <w:rFonts w:ascii="Times New Roman" w:hAnsi="Times New Roman" w:cs="Times New Roman"/>
        </w:rPr>
        <w:t>2</w:t>
      </w:r>
      <w:r w:rsidRPr="00B71BD7">
        <w:rPr>
          <w:rFonts w:ascii="Times New Roman" w:hAnsi="Times New Roman" w:cs="Times New Roman"/>
        </w:rPr>
        <w:t>3c)</w:t>
      </w:r>
      <w:r w:rsidR="007C4379" w:rsidRPr="00DF7C87">
        <w:rPr>
          <w:rFonts w:ascii="Times New Roman" w:hAnsi="Times New Roman" w:cs="Times New Roman"/>
        </w:rPr>
        <w:t xml:space="preserve">.  </w:t>
      </w:r>
    </w:p>
    <w:p w14:paraId="1C58C5E1" w14:textId="77777777" w:rsidR="007C4379" w:rsidRPr="00911285" w:rsidRDefault="007C4379" w:rsidP="007C4379">
      <w:pPr>
        <w:pStyle w:val="Heading2"/>
        <w:rPr>
          <w:rFonts w:ascii="Times New Roman" w:hAnsi="Times New Roman" w:cs="Times New Roman"/>
          <w:sz w:val="24"/>
          <w:szCs w:val="24"/>
        </w:rPr>
      </w:pPr>
      <w:bookmarkStart w:id="101" w:name="_Toc100607925"/>
      <w:r>
        <w:rPr>
          <w:rFonts w:ascii="Times New Roman" w:hAnsi="Times New Roman" w:cs="Times New Roman"/>
          <w:sz w:val="24"/>
          <w:szCs w:val="24"/>
        </w:rPr>
        <w:t>Discussion</w:t>
      </w:r>
      <w:bookmarkEnd w:id="101"/>
    </w:p>
    <w:p w14:paraId="1439309B" w14:textId="77777777" w:rsidR="00D34145" w:rsidRPr="00D34145" w:rsidRDefault="00D34145" w:rsidP="00D512FC">
      <w:pPr>
        <w:ind w:firstLine="720"/>
        <w:jc w:val="both"/>
        <w:rPr>
          <w:rFonts w:ascii="Times New Roman" w:hAnsi="Times New Roman" w:cs="Times New Roman"/>
        </w:rPr>
      </w:pPr>
      <w:r w:rsidRPr="00D34145">
        <w:rPr>
          <w:rFonts w:ascii="Times New Roman" w:hAnsi="Times New Roman" w:cs="Times New Roman"/>
        </w:rPr>
        <w:t>Across biological scales, increasing latitude and elevation indirectly increase mass in temperate riverine fishes and these patterns are stronger with respect to latitude, compared to elevation. Prior studies on latitudinal body size patterns in freshwater fish are inconclusive. For example, whereas interspecific patterns of increasing fish body size at higher latitudes are generally supported (Knouft 2004; Blanchet et al. 2010), support for the intraspecific pattern is not conclusive (Belk &amp; Houston 2002; Rypel 2014). One reason we identify strong positive patterns between size and geographic variables across biological scales is the unique nature of the NAWQA dataset which provides methodological advantages to these prior studies. This standardized individual mass dataset at a large spatial extent facilitated a robust analysis of size patterns and thus was able to reveal patterns overlooked by prior datasets with coarser size measures (e.g., species maximum length) or limited spatial scopes. By incorporating data on proximate environmental factors, we are also able to infer mechanisms underlying these indirect latitudinal and elevational patterns.</w:t>
      </w:r>
    </w:p>
    <w:p w14:paraId="710A5C35" w14:textId="77777777" w:rsidR="00D34145" w:rsidRPr="00D34145" w:rsidRDefault="00D34145" w:rsidP="00D512FC">
      <w:pPr>
        <w:ind w:firstLine="720"/>
        <w:jc w:val="both"/>
        <w:rPr>
          <w:rFonts w:ascii="Times New Roman" w:hAnsi="Times New Roman" w:cs="Times New Roman"/>
        </w:rPr>
      </w:pPr>
      <w:r w:rsidRPr="00D34145">
        <w:rPr>
          <w:rFonts w:ascii="Times New Roman" w:hAnsi="Times New Roman" w:cs="Times New Roman"/>
        </w:rPr>
        <w:t xml:space="preserve">We find that environmental temperature and thermal mechanisms are the strongest proximate drivers of body size across scales. Cooler environmental temperatures increase mass among species and populations. Additionally, assemblages and populations with lower thermal limits show larger masses, relative to those with higher thermal limits. This suggests larger-bodied ectotherms with lower thermal maxima may be more adapted to cooler environments, relative to smaller-bodied species with higher thermal limits. Rypel (2014) found that cold-water fishes exhibit counter-gradient growth which can explain inverse temperature size relationships for these taxa. Larger-bodied ectotherms may also have greater thermal inertia and may, therefore, exhibit slower cooling rates in seasonally cold environments (Zamora-Camacho et al. 2014; Rohr et al. 2018). Finally, due to higher metabolic rates in warmer environments, ectotherms may mature faster and at smaller sizes at higher temperatures, leading to larger body sizes in colder environments (Atkinson &amp; Sibly 1997). Ultimately, identifying thermal mechanisms underpinning inverse temperature-size relationships in ectotherms will require replicated laboratory experiments along latitudinal and/or elevational gradients (Villeneuve et al. 2021). Regardless, our results provide conclusive evidence that poleward patterns of increasing size arise via thermal responses to environmental temperature in riverine ectotherms across biological scales. </w:t>
      </w:r>
    </w:p>
    <w:p w14:paraId="35805C68" w14:textId="244DD8AB" w:rsidR="00D34145" w:rsidRPr="00D34145" w:rsidRDefault="00D34145" w:rsidP="00D512FC">
      <w:pPr>
        <w:ind w:firstLine="720"/>
        <w:jc w:val="both"/>
        <w:rPr>
          <w:rFonts w:ascii="Times New Roman" w:hAnsi="Times New Roman" w:cs="Times New Roman"/>
        </w:rPr>
      </w:pPr>
      <w:r w:rsidRPr="00D34145">
        <w:rPr>
          <w:rFonts w:ascii="Times New Roman" w:hAnsi="Times New Roman" w:cs="Times New Roman"/>
        </w:rPr>
        <w:t xml:space="preserve">Mass also increases with increasing watershed anthropogenic land-use at the population and assemblage scales. Contrary to overall positive indirect effects of elevation, indirect effects of elevation on mass mediated by land-use variables indicate inverse </w:t>
      </w:r>
      <w:r w:rsidRPr="00D34145">
        <w:rPr>
          <w:rFonts w:ascii="Times New Roman" w:hAnsi="Times New Roman" w:cs="Times New Roman"/>
        </w:rPr>
        <w:lastRenderedPageBreak/>
        <w:t>patterns between body size and elevation. This may be because environmental conditions in streams in human-modified, lowland landscapes select for larger-bodied, generalist species. For example, larger, generalist fishes may require larger habitat areas (Giam &amp; Olden 2018) which may be more prevalent in lowland, channelized, urban streams. However, we accounted for stream size with discharge which is highly collinear with upstream area and accumulated upstream stream length which accounts for potential area effects. Alternative environmental features such as stream habitat or resource homogenization indirectly measured by watershed land-use metrics may benefit generalist fishes, thus driving partial indirect negative relationships between elevation and mass.</w:t>
      </w:r>
      <w:r w:rsidR="006C7F69">
        <w:rPr>
          <w:rFonts w:ascii="Times New Roman" w:hAnsi="Times New Roman" w:cs="Times New Roman"/>
        </w:rPr>
        <w:t xml:space="preserve"> </w:t>
      </w:r>
      <w:r w:rsidR="002C1524">
        <w:rPr>
          <w:rFonts w:ascii="Times New Roman" w:hAnsi="Times New Roman" w:cs="Times New Roman"/>
        </w:rPr>
        <w:t xml:space="preserve">One other anthropogenic stressor unaccounted for in our analysis </w:t>
      </w:r>
      <w:r w:rsidR="00C81656">
        <w:rPr>
          <w:rFonts w:ascii="Times New Roman" w:hAnsi="Times New Roman" w:cs="Times New Roman"/>
        </w:rPr>
        <w:t>that may impact fish body size patterns is recreational fishing pressure.</w:t>
      </w:r>
      <w:r w:rsidR="00054B69">
        <w:rPr>
          <w:rFonts w:ascii="Times New Roman" w:hAnsi="Times New Roman" w:cs="Times New Roman"/>
        </w:rPr>
        <w:t xml:space="preserve"> Drivers of recreational fishing pressure may differ from those of anthropogenic land-uses and this metric could be considered by future research on freshwater fish body size (Davis and Darling 2017).   </w:t>
      </w:r>
    </w:p>
    <w:p w14:paraId="1865E510" w14:textId="77777777" w:rsidR="00D34145" w:rsidRPr="00D34145" w:rsidRDefault="00D34145" w:rsidP="00D512FC">
      <w:pPr>
        <w:ind w:firstLine="720"/>
        <w:jc w:val="both"/>
        <w:rPr>
          <w:rFonts w:ascii="Times New Roman" w:hAnsi="Times New Roman" w:cs="Times New Roman"/>
        </w:rPr>
      </w:pPr>
      <w:r w:rsidRPr="00D34145">
        <w:rPr>
          <w:rFonts w:ascii="Times New Roman" w:hAnsi="Times New Roman" w:cs="Times New Roman"/>
        </w:rPr>
        <w:t>Terrestrial productivity metrics also mediate geographic size patterns. Negative effects of NDVI on mass, in part, explain positive indirect relationships between elevation and mass. Greater starvation resistance can select for larger body sizes among mammals in low resource environments (Lindstedt &amp; Boyce 1985). In freshwater fishes, larger body sizes across thermal guilds exhibit dampened lipid cycling, relative to smaller body sizes, which can better enable these species to survive on acquired energy stores over periods of nutrient depletion (Fernandes &amp; McMeans 2019). In contrast to negative relationships between NDVI and mass, increasing watershed forest land-cover increases population mass. This may indicate forest land-cover indirectly affects body size via differences in stream thermal regimes caused by riparian shading. For example, Ilha et al. (2018) found that streams in deforested landscapes were warmer and showed reduced fish body sizes, relative to forested reaches. Although we controlled for terrestrial environmental temperatures, forest land-cover may create cool-water thermal refugia at finer scales not captured by our catchment-scale metric. Thus, our work indicates an urgent need for future research to disentangle potential interactions between climate and deforestation on stream fish body size under global change.</w:t>
      </w:r>
    </w:p>
    <w:p w14:paraId="18116424" w14:textId="77777777" w:rsidR="00D34145" w:rsidRPr="00D34145" w:rsidRDefault="00D34145" w:rsidP="00D512FC">
      <w:pPr>
        <w:ind w:firstLine="720"/>
        <w:jc w:val="both"/>
        <w:rPr>
          <w:rFonts w:ascii="Times New Roman" w:hAnsi="Times New Roman" w:cs="Times New Roman"/>
        </w:rPr>
      </w:pPr>
      <w:r w:rsidRPr="00D34145">
        <w:rPr>
          <w:rFonts w:ascii="Times New Roman" w:hAnsi="Times New Roman" w:cs="Times New Roman"/>
        </w:rPr>
        <w:t>At the population scale, decreasing monthly variation in streamflow increased fish body size. Smaller bodied opportunistic species often characterize hydrologically variable streams because their life history characteristics are well-suited to cope with frequent environmental disturbances (Mims &amp; Olden 2012, 2013). However, streamflow variability increased at higher latitudes thus opposing overall positive indirect latitude-size patterns. Mechanisms through which streamflow affects body size may differ from those commonly associated with positive size-latitude patterns. While lower temperatures at higher latitudes may influence mass via metabolic rates (Gillooly et al. 2001), streamflow may impose size constraints via altered fish morphology. For example, fish populations in hydrologically stable streams are often deeper-bodied relative to more streamlined forms from hydrologically variable streams (Andres et al. 2019). Therefore, inverse latitudinal mass patterns mediated by streamflow variability may indicate morphological filtering of body forms among populations from less to more hydrologically variable environments.</w:t>
      </w:r>
    </w:p>
    <w:p w14:paraId="4F6D02B9" w14:textId="6E3B7DEF" w:rsidR="007C4379" w:rsidRPr="00DF7C87" w:rsidRDefault="00D34145" w:rsidP="00D512FC">
      <w:pPr>
        <w:ind w:firstLine="720"/>
        <w:jc w:val="both"/>
        <w:rPr>
          <w:rFonts w:ascii="Times New Roman" w:hAnsi="Times New Roman" w:cs="Times New Roman"/>
        </w:rPr>
      </w:pPr>
      <w:r w:rsidRPr="00D34145">
        <w:rPr>
          <w:rFonts w:ascii="Times New Roman" w:hAnsi="Times New Roman" w:cs="Times New Roman"/>
        </w:rPr>
        <w:t xml:space="preserve">In summary, we find indirect positive relationships between latitude and elevation and mass across biological scales. However, proximate drivers and associated mechanisms </w:t>
      </w:r>
      <w:r w:rsidRPr="00D34145">
        <w:rPr>
          <w:rFonts w:ascii="Times New Roman" w:hAnsi="Times New Roman" w:cs="Times New Roman"/>
        </w:rPr>
        <w:lastRenderedPageBreak/>
        <w:t>underlying these patterns varied among scales. Mechanisms through which lower thermal limits in larger bodied organisms are advantageous in cooler environments likely apply across biological scales. Decreasing productivity also consistently increased body size, indicating that starvation resistance mechanisms underlie positive relationships between mass and elevation in seasonal environments. Although latitude and elevation show overall positive indirect effects across biological scales, we identify circumstances in which proximate environmental variables oppose these patters. For example, generalist species may show inverse elevation-mass relationships mediated by anthropogenic land-use. These results indicate a need for nuanced considerations of the way in which global change stressors impact aquatic ectotherm body size</w:t>
      </w:r>
      <w:r w:rsidR="007C4379" w:rsidRPr="00B22C13">
        <w:rPr>
          <w:rFonts w:ascii="Times New Roman" w:hAnsi="Times New Roman" w:cs="Times New Roman"/>
        </w:rPr>
        <w:t>.</w:t>
      </w:r>
    </w:p>
    <w:p w14:paraId="240E463B" w14:textId="29A2912A" w:rsidR="007C4379" w:rsidRPr="00DF7C87" w:rsidRDefault="007C4379" w:rsidP="007C4379">
      <w:pPr>
        <w:pStyle w:val="Heading2"/>
        <w:rPr>
          <w:rFonts w:ascii="Times New Roman" w:hAnsi="Times New Roman" w:cs="Times New Roman"/>
        </w:rPr>
      </w:pPr>
      <w:r w:rsidRPr="00DF7C87">
        <w:rPr>
          <w:rFonts w:ascii="Times New Roman" w:hAnsi="Times New Roman" w:cs="Times New Roman"/>
          <w:sz w:val="24"/>
          <w:szCs w:val="24"/>
        </w:rPr>
        <w:br w:type="page"/>
      </w:r>
      <w:bookmarkStart w:id="102" w:name="_Toc100607926"/>
      <w:r w:rsidRPr="00DF7C87">
        <w:rPr>
          <w:rFonts w:ascii="Times New Roman" w:hAnsi="Times New Roman" w:cs="Times New Roman"/>
        </w:rPr>
        <w:lastRenderedPageBreak/>
        <w:t>R</w:t>
      </w:r>
      <w:r w:rsidR="00DF6E72">
        <w:rPr>
          <w:rFonts w:ascii="Times New Roman" w:hAnsi="Times New Roman" w:cs="Times New Roman"/>
        </w:rPr>
        <w:t>eferences</w:t>
      </w:r>
      <w:bookmarkEnd w:id="102"/>
    </w:p>
    <w:p w14:paraId="29053D57" w14:textId="77777777" w:rsidR="00D34145" w:rsidRPr="00D34145" w:rsidRDefault="00D34145" w:rsidP="00D512FC">
      <w:pPr>
        <w:ind w:left="360" w:hanging="360"/>
        <w:jc w:val="both"/>
        <w:rPr>
          <w:rFonts w:ascii="Times New Roman" w:hAnsi="Times New Roman" w:cs="Times New Roman"/>
        </w:rPr>
      </w:pPr>
      <w:r w:rsidRPr="00081373">
        <w:rPr>
          <w:rFonts w:ascii="Times New Roman" w:hAnsi="Times New Roman" w:cs="Times New Roman"/>
        </w:rPr>
        <w:t xml:space="preserve">Andres, K.J., Chien, H. &amp; Knouft, J.H. (2019). </w:t>
      </w:r>
      <w:r w:rsidRPr="00D34145">
        <w:rPr>
          <w:rFonts w:ascii="Times New Roman" w:hAnsi="Times New Roman" w:cs="Times New Roman"/>
        </w:rPr>
        <w:t>Hydrology induces intraspecific variation in freshwater fish morphology under contemporary and future climate scenarios. Sci. Total Environ., 671, 421–430.</w:t>
      </w:r>
    </w:p>
    <w:p w14:paraId="490EF0CC"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Ashton, K. &amp; Queiroz, A. De. (2000). Is Bergmann’s Rule Valid for Mammals? Am. Nat., 156, 390–415.</w:t>
      </w:r>
    </w:p>
    <w:p w14:paraId="5D3892C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Ashton, K.G. (2002). Patterns of Within-Species Body Size Variation of Birds: Strong Evidence for Bergmann’s Rule. Glob. Ecol. Biogeogr., 11, 505–523.</w:t>
      </w:r>
    </w:p>
    <w:p w14:paraId="5E64DAB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Atkinson, D. &amp; Sibly, R.M. (1997). Why are organisms usually bigger in cold environments? Making sense of a life history puzzle. Trends Ecol. Evol., 12, 235–239.</w:t>
      </w:r>
    </w:p>
    <w:p w14:paraId="5E27EF01"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Barton, K. (2020). MuMIn: Multi-Model Inference.</w:t>
      </w:r>
    </w:p>
    <w:p w14:paraId="3D08E69C"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Bates, D., Maechler, M., Bolker, B. &amp; Walker, S. (2015). Fitting linear mixed-effects models using lme4. J. Stat. Softw., 67, 1–48.</w:t>
      </w:r>
    </w:p>
    <w:p w14:paraId="1983C21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Belk, M.C. &amp; Houston, D.D. (2002). Bergmann’s Rule in Ectotherms: A Test Using Freshwater Fishes. Am. Nat., 160, 803–808.</w:t>
      </w:r>
    </w:p>
    <w:p w14:paraId="6EB8E66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Bernhardt, E.S., Heffernan, J.B., Grimm, N.B., Stanley, E.H., Harvey, J.W., Arroita, M., et al. (2018). The metabolic regimes of flowing waters. Limnol. Oceanogr., 63, S99–S118.</w:t>
      </w:r>
    </w:p>
    <w:p w14:paraId="466B202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Blackburn, T.M. &amp; Gaston, K.J. (1996). Spatial Patterns in the Body Sizes of Bird Species in the New World. Oikos, 77, 436–446.</w:t>
      </w:r>
    </w:p>
    <w:p w14:paraId="16BC8CCC"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Blackburn, T.M. &amp; Gaston, K.J. (1998). Some Methodological Issues in Macroecology. Am. Nat., 151, 68–83.</w:t>
      </w:r>
    </w:p>
    <w:p w14:paraId="5A723CC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Blackburn, T.M., Gaston, K.J. &amp; Loder, N. (1999). Geographic gradients in body size: A clarification of Bergmann’s rule. Divers. Distrib., 5, 165–174.</w:t>
      </w:r>
    </w:p>
    <w:p w14:paraId="6B92BA3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Blackburn, T.M. &amp; Ruggiero, A. (2001). Latitude, Elevation and Body Mass Variation in Andean Passerine Birds. Glob. Ecol. Biogeogr., 10, 245–259.</w:t>
      </w:r>
    </w:p>
    <w:p w14:paraId="76FECFF4" w14:textId="77777777" w:rsidR="00D34145" w:rsidRPr="00D34145" w:rsidRDefault="00D34145" w:rsidP="00D512FC">
      <w:pPr>
        <w:ind w:left="360" w:hanging="360"/>
        <w:jc w:val="both"/>
        <w:rPr>
          <w:rFonts w:ascii="Times New Roman" w:hAnsi="Times New Roman" w:cs="Times New Roman"/>
        </w:rPr>
      </w:pPr>
      <w:r w:rsidRPr="00352276">
        <w:rPr>
          <w:rFonts w:ascii="Times New Roman" w:hAnsi="Times New Roman" w:cs="Times New Roman"/>
          <w:lang w:val="fr-FR"/>
        </w:rPr>
        <w:t xml:space="preserve">Blanchet, S., Grenouillet, G., Beauchard, O., Tedesco, P.A., Leprieur, F., Dürr, H.H., et al. </w:t>
      </w:r>
      <w:r w:rsidRPr="00D34145">
        <w:rPr>
          <w:rFonts w:ascii="Times New Roman" w:hAnsi="Times New Roman" w:cs="Times New Roman"/>
        </w:rPr>
        <w:t>(2010). Non-native species disrupt the worldwide patterns of freshwater fish body size: Implications for Bergmann’s rule. Ecol. Lett., 13, 421–431.</w:t>
      </w:r>
    </w:p>
    <w:p w14:paraId="287CCD23"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Brehm, G., Zeuss, D. &amp; Colwell, R.K. (2018). Moth body size increases with elevation along a complete tropical elevational gradient for two hyperdiverse clades. Ecography (Cop.)., 42, 632–642.</w:t>
      </w:r>
    </w:p>
    <w:p w14:paraId="56D6772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Busetto, L. &amp; Ranghetti, L. (2016). MODIStsp: An R package for automatic preprocessing of MODIS Land Products time series. Comput. Geosci., 97, 40–48.</w:t>
      </w:r>
    </w:p>
    <w:p w14:paraId="7CA6F3C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Chamberlain, S. (2021). ritis: Integrated Taxonomic Information System Client.</w:t>
      </w:r>
    </w:p>
    <w:p w14:paraId="2BE311DB"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Chang, J., Rabosky, D., Smith, S. &amp; Alfaro, M. (2019). An R package and online resource for macroevolutionary studies using the ray-finned fish tree of life. Methods Ecol. Evol., 10, 1118–1124.</w:t>
      </w:r>
    </w:p>
    <w:p w14:paraId="4130BC13"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Comte, L. &amp; Olden, J.D. (2017). Climatic vulnerability of the world’s freshwater and marine fishes. Nat. Clim. Chang., 7, 718–722.</w:t>
      </w:r>
    </w:p>
    <w:p w14:paraId="05AC039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Comte, L., Olden, J.D., Tedesco, P.A., Ruhi, A. &amp; Giam, X. (2021). Climate and land-use changes interact to drive long-term reorganization of riverine fish communities globally. Proc. Natl. Acad. Sci., 118, e2011639118.</w:t>
      </w:r>
    </w:p>
    <w:p w14:paraId="3313684A" w14:textId="77777777" w:rsidR="00D34145" w:rsidRPr="00D34145" w:rsidRDefault="00D34145" w:rsidP="00D512FC">
      <w:pPr>
        <w:ind w:left="360" w:hanging="360"/>
        <w:jc w:val="both"/>
        <w:rPr>
          <w:rFonts w:ascii="Times New Roman" w:hAnsi="Times New Roman" w:cs="Times New Roman"/>
          <w:lang w:val="fr-FR"/>
        </w:rPr>
      </w:pPr>
      <w:r w:rsidRPr="00D34145">
        <w:rPr>
          <w:rFonts w:ascii="Times New Roman" w:hAnsi="Times New Roman" w:cs="Times New Roman"/>
        </w:rPr>
        <w:t xml:space="preserve">Damuth, J. (1981). Population density and body size in mammals. </w:t>
      </w:r>
      <w:r w:rsidRPr="00D34145">
        <w:rPr>
          <w:rFonts w:ascii="Times New Roman" w:hAnsi="Times New Roman" w:cs="Times New Roman"/>
          <w:lang w:val="fr-FR"/>
        </w:rPr>
        <w:t>Nature, 290, 699–700.</w:t>
      </w:r>
    </w:p>
    <w:p w14:paraId="0A94B8F3" w14:textId="442B300B" w:rsidR="00D34145" w:rsidRDefault="00D34145" w:rsidP="00D512FC">
      <w:pPr>
        <w:ind w:left="360" w:hanging="360"/>
        <w:jc w:val="both"/>
        <w:rPr>
          <w:rFonts w:ascii="Times New Roman" w:hAnsi="Times New Roman" w:cs="Times New Roman"/>
        </w:rPr>
      </w:pPr>
      <w:r w:rsidRPr="00D34145">
        <w:rPr>
          <w:rFonts w:ascii="Times New Roman" w:hAnsi="Times New Roman" w:cs="Times New Roman"/>
          <w:lang w:val="fr-FR"/>
        </w:rPr>
        <w:lastRenderedPageBreak/>
        <w:t xml:space="preserve">Daufresne, M., Lengfellner, K. &amp; Sommer, U. (2009). </w:t>
      </w:r>
      <w:r w:rsidRPr="00D34145">
        <w:rPr>
          <w:rFonts w:ascii="Times New Roman" w:hAnsi="Times New Roman" w:cs="Times New Roman"/>
        </w:rPr>
        <w:t>Global warming benefits the small in aquatic ecosystems. Proc. Natl. Acad. Sci., 106, 12788–12793.</w:t>
      </w:r>
    </w:p>
    <w:p w14:paraId="47DEEA37" w14:textId="61C74EAE" w:rsidR="00016B23" w:rsidRPr="00016B23" w:rsidRDefault="00016B23" w:rsidP="00016B23">
      <w:pPr>
        <w:ind w:left="360" w:hanging="360"/>
        <w:jc w:val="both"/>
        <w:rPr>
          <w:rFonts w:ascii="Times New Roman" w:hAnsi="Times New Roman" w:cs="Times New Roman"/>
        </w:rPr>
      </w:pPr>
      <w:r w:rsidRPr="00016B23">
        <w:rPr>
          <w:rFonts w:ascii="Times New Roman" w:hAnsi="Times New Roman" w:cs="Times New Roman"/>
        </w:rPr>
        <w:t xml:space="preserve">Davis, A. J. S., &amp; Darling, J. A. (2017). Recreational freshwater fishing drives non-native aquatic species richness patterns at a continental scale. Diversity and Distributions, 23(6), 692–702. </w:t>
      </w:r>
    </w:p>
    <w:p w14:paraId="0688027F" w14:textId="77777777" w:rsidR="00D34145" w:rsidRPr="00D34145" w:rsidRDefault="00D34145" w:rsidP="00D512FC">
      <w:pPr>
        <w:ind w:left="360" w:hanging="360"/>
        <w:jc w:val="both"/>
        <w:rPr>
          <w:rFonts w:ascii="Times New Roman" w:hAnsi="Times New Roman" w:cs="Times New Roman"/>
        </w:rPr>
      </w:pPr>
      <w:r w:rsidRPr="0069153B">
        <w:rPr>
          <w:rFonts w:ascii="Times New Roman" w:hAnsi="Times New Roman" w:cs="Times New Roman"/>
        </w:rPr>
        <w:t xml:space="preserve">Dormann, C.F., McPherson, J.M., Araújo, M.B., Bivand, R., Bolliger, J., Carl, G., et al. </w:t>
      </w:r>
      <w:r w:rsidRPr="00D34145">
        <w:rPr>
          <w:rFonts w:ascii="Times New Roman" w:hAnsi="Times New Roman" w:cs="Times New Roman"/>
        </w:rPr>
        <w:t>(2007). Methods to account for spatial autocorrelation in the analysis of species distributional data: A review. Ecography (Cop.)., 30, 609–628.</w:t>
      </w:r>
    </w:p>
    <w:p w14:paraId="2AD468CD"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Dudgeon, D., Arthington, A.H., Gessner, M.O., Kawabata, Z.I., Knowler, D.J., Lévêque, C., et al. (2006). Freshwater biodiversity: Importance, threats, status and conservation challenges. Biol. Rev. Camb. Philos. Soc., 81, 163–182.</w:t>
      </w:r>
    </w:p>
    <w:p w14:paraId="31C54FD3" w14:textId="77777777" w:rsidR="00D34145" w:rsidRPr="00D34145" w:rsidRDefault="00D34145" w:rsidP="00D512FC">
      <w:pPr>
        <w:ind w:left="360" w:hanging="360"/>
        <w:jc w:val="both"/>
        <w:rPr>
          <w:rFonts w:ascii="Times New Roman" w:hAnsi="Times New Roman" w:cs="Times New Roman"/>
        </w:rPr>
      </w:pPr>
      <w:r w:rsidRPr="00352276">
        <w:rPr>
          <w:rFonts w:ascii="Times New Roman" w:hAnsi="Times New Roman" w:cs="Times New Roman"/>
          <w:lang w:val="fr-FR"/>
        </w:rPr>
        <w:t xml:space="preserve">Fernandes, T. &amp; McMeans, B.C. (2019). </w:t>
      </w:r>
      <w:r w:rsidRPr="00D34145">
        <w:rPr>
          <w:rFonts w:ascii="Times New Roman" w:hAnsi="Times New Roman" w:cs="Times New Roman"/>
        </w:rPr>
        <w:t>Coping with the cold: energy storage strategies for surviving winter in freshwater fish. Ecography (Cop.)., 42, 2037–2052.</w:t>
      </w:r>
    </w:p>
    <w:p w14:paraId="799412D6"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Freckleton, R.P., Harvey, P.H. &amp; Pagel, M. (2003). Bergmann’s Rule and Body Size in Mammals. Am. Nat., 161, 821–825.</w:t>
      </w:r>
    </w:p>
    <w:p w14:paraId="40A39CF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Gaston, K.J. &amp; Blackburn, T.M. (2000). Pattern and process in macroecology. Blackwell Science Ltd.</w:t>
      </w:r>
    </w:p>
    <w:p w14:paraId="5FCAA2D9"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Gaston, K.J., Chown, S.L. &amp; Evans, K.L. (2008). Ecogeographical rules: elements of a synthesis. J. Biogeogr., 35, 483–500.</w:t>
      </w:r>
    </w:p>
    <w:p w14:paraId="7BD6523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Geist, V. (1987). Bergmann’s rule is invalid. Can. J. Zool., 65, 1035–1038.</w:t>
      </w:r>
    </w:p>
    <w:p w14:paraId="681D240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Giam, X. &amp; Olden, J.D. (2016). Environment and predation govern fish community assembly in temperate streams. Glob. Ecol. Biogeogr., 25, 1194–1205.</w:t>
      </w:r>
    </w:p>
    <w:p w14:paraId="40FD14B6"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Giam, X. &amp; Olden, J.D. (2018). Drivers and interrelationships among multiple dimensions of rarity for freshwater fishes. Ecography (Cop.)., 41, 331–344.</w:t>
      </w:r>
    </w:p>
    <w:p w14:paraId="48106BF9"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Gillooly, J.F., Brown, J.H., West, G.B., Savage, V.M. &amp; Charnov, E.L. (2001). Effects of size and temperature on metabolic rate. Science (80-. )., 293, 2248–2251.</w:t>
      </w:r>
    </w:p>
    <w:p w14:paraId="390B11D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Goolsby, E.W., Bruggeman, J. &amp; Ane, C. (2021). Rphylopars: Phylogenetic Comparative Tools for Missing Data and Within-Species Variation.</w:t>
      </w:r>
    </w:p>
    <w:p w14:paraId="78B82B89"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Goolsby, E.W., Bruggeman, J. &amp; Ané, C. (2017). Rphylopars: fast multivariate phylogenetic comparative methods for missing data and within-species variation. Methods Ecol. Evol., 8, 22–27.</w:t>
      </w:r>
    </w:p>
    <w:p w14:paraId="4C6B1D15"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Griffiths, D. (2013). Body size distributions in North American freshwater fish: Small-scale factors and synthesis. Glob. Ecol. Biogeogr., 22, 257–267.</w:t>
      </w:r>
    </w:p>
    <w:p w14:paraId="44478146"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Guégan, J.F., Lek, S. &amp; Oberdorff, T. (1998). Energy availability and habitat heterogeneity predict global riverine fish diversity. Nature, 391, 382–384.</w:t>
      </w:r>
    </w:p>
    <w:p w14:paraId="063741AF"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Hart, E.M. &amp; Bell, K. (2015). prism: Download data from the Oregon prism project.</w:t>
      </w:r>
    </w:p>
    <w:p w14:paraId="10DF959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Hawkins, B.A. &amp; Diniz-filho, J.A.F. (2006). Beyond Rapoport’s rule: Evaluating range size patterns of New World birds in a two-dimensional framework. Glob. Ecol. Biogeogr., 15, 461–469.</w:t>
      </w:r>
    </w:p>
    <w:p w14:paraId="6C7A927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Hill, R.A., Weber, M.H., Leibowitz, S.G., Olsen, A.R. &amp; Thornbrugh, D.J. (2016). The Stream-Catchment (StreamCat) Dataset: A Database of Watershed Metrics for the Conterminous United States. J. Am. Water Resour. Assoc., 52, 120–128.</w:t>
      </w:r>
    </w:p>
    <w:p w14:paraId="35523D3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lastRenderedPageBreak/>
        <w:t>Ilha, P., Schiesari, L., Yanagawa, F.I., Jankowski, K.J. &amp; Navas, C.A. (2018). Deforestation and stream warming affect body size of Amazonian fishes. PLoS One, 13, e0196560.</w:t>
      </w:r>
    </w:p>
    <w:p w14:paraId="2F04552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Johnson, T.F., Isaac, N.J.B., Paviolo, A. &amp; González-Suárez, M. (2021). Handling missing values in trait data. Glob. Ecol. Biogeogr., 30, 51–62.</w:t>
      </w:r>
    </w:p>
    <w:p w14:paraId="5443AD0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Knouft, J.H. (2004). Latitudinal variation in the shape of the species body size distribution: An analysis using freshwater fishes. Oecologia, 139, 408–417.</w:t>
      </w:r>
    </w:p>
    <w:p w14:paraId="4350F886"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Lefcheck, J.S. (2016). piecewiseSEM: Piecewise structural equation modelling in r for ecology, evolution, and systematics. Methods Ecol. Evol., 7, 573–579.</w:t>
      </w:r>
    </w:p>
    <w:p w14:paraId="145AFB8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Lindsey, C.C. (1966). Body sizes of poikilotherm vertebrates at different latitudes. Soc. Study Evol., 20, 456–465.</w:t>
      </w:r>
    </w:p>
    <w:p w14:paraId="016F6101"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Lindstedt, S. &amp; Boyce, M. (1985). Seasonality, Fasting Endurance, and Body Size in Mammals. Am. Nat., 125, 873–878.</w:t>
      </w:r>
    </w:p>
    <w:p w14:paraId="28E90E60"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McGarvey, D.J. (2014). Moving beyond species- discharge relationships to a flow-mediated, macroecological theory of fish species richness. Freshw. Sci., 33, 18–31.</w:t>
      </w:r>
    </w:p>
    <w:p w14:paraId="0FD93665"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McGarvey, D.J., Menon, M., Woods, T., Tassone, S., Reese, J., Vergamini, M., et al. (2018). On the use of climate covariates in aquatic species distribution models: are we at risk of throwing out the baby with the bath water? Ecography (Cop.)., 41, 695–712.</w:t>
      </w:r>
    </w:p>
    <w:p w14:paraId="1B08848B"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McKay, L., Bondelid, T., Dewald, T., Johnston, J., Moore, R. &amp; Rea, A. (2012). NHDPlus Version 2: User Guide.</w:t>
      </w:r>
    </w:p>
    <w:p w14:paraId="30D17B09"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Meiri, S. (2011). Bergmann’s Rule – what’s in a name? Glob. Ecol. Biogeogr., 20, 203–207.</w:t>
      </w:r>
    </w:p>
    <w:p w14:paraId="6F69E2B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Meiri, S. &amp; Dayan, T. (2003). On the validity of Bergmann’s rule. J. Biogeogr., 30, 331–351.</w:t>
      </w:r>
    </w:p>
    <w:p w14:paraId="4C2C8CBE" w14:textId="77777777" w:rsidR="00D34145" w:rsidRPr="00D34145" w:rsidRDefault="00D34145" w:rsidP="00D512FC">
      <w:pPr>
        <w:ind w:left="360" w:hanging="360"/>
        <w:jc w:val="both"/>
        <w:rPr>
          <w:rFonts w:ascii="Times New Roman" w:hAnsi="Times New Roman" w:cs="Times New Roman"/>
        </w:rPr>
      </w:pPr>
      <w:r w:rsidRPr="0069153B">
        <w:rPr>
          <w:rFonts w:ascii="Times New Roman" w:hAnsi="Times New Roman" w:cs="Times New Roman"/>
        </w:rPr>
        <w:t xml:space="preserve">Meiri, S., Dayan, T. &amp; Simberloff, D. (2004). </w:t>
      </w:r>
      <w:r w:rsidRPr="00D34145">
        <w:rPr>
          <w:rFonts w:ascii="Times New Roman" w:hAnsi="Times New Roman" w:cs="Times New Roman"/>
        </w:rPr>
        <w:t>Carnivores, biases and Bergmann’s rule. Biol. J. Linn. Soc., 81, 579–588.</w:t>
      </w:r>
    </w:p>
    <w:p w14:paraId="6420450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Meiri, S., Yom-Tov, Y. &amp; Geffen, E. (2007). What determines conformity to Bergmann’s rule? Glob. Ecol. Biogeogr., 16, 788–794.</w:t>
      </w:r>
    </w:p>
    <w:p w14:paraId="45057FAD"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Mims, M.C. &amp; Olden, J.D. (2012). Life history theory predicts fish assemblage response to hydrologic regimes. Ecology, 93, 35–45.</w:t>
      </w:r>
    </w:p>
    <w:p w14:paraId="7EFFF10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Mims, M.C. &amp; Olden, J.D. (2013). Fish assemblages respond to altered flow regimes via ecological filtering of life history strategies. Freshw. Biol., 58, 50–62.</w:t>
      </w:r>
    </w:p>
    <w:p w14:paraId="3BCE89F0"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Moulton II, S.R., Kennen, J.G., Goldstein, R.M. &amp; Hambrook, J.A. (2002). Revised Protocols for Sampling Algal, Invertebrate, and Fish Communities as Part of the National Water-Quality Assessment Program. U.S.Geological Surv. Open-File Rep. 02-150.</w:t>
      </w:r>
    </w:p>
    <w:p w14:paraId="7D8E815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Mousseau, T.A. (1997). Ectotherms Follow the Converse to Bergmann’s Rule. Evolution (N. Y)., 51, 630–632.</w:t>
      </w:r>
    </w:p>
    <w:p w14:paraId="5F04FFE8"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NatureServe. (2010). Digital Distribution Maps of the Freshwater Fishes in the Conterminous United States.</w:t>
      </w:r>
    </w:p>
    <w:p w14:paraId="5DDA59B2"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Olalla-Tárraga, M.Á. (2011). “Nullius in Bergmann” or the pluralistic approach to ecogeographical rules: A reply to Watt et al. (2010). Oikos, 120, 1441–1444.</w:t>
      </w:r>
    </w:p>
    <w:p w14:paraId="1CAFE984"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Pagel, M. (1999). Inferring the historical patterns of biological evolution. Nature, 401, 877–884.</w:t>
      </w:r>
    </w:p>
    <w:p w14:paraId="239E3D5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lastRenderedPageBreak/>
        <w:t>Paradis, E. &amp; Schliep, K. (2019). ape 5.0: an environment for modern phylogenetics and evolutionary analyses in R. Bioinformatics, 35, 526–528.</w:t>
      </w:r>
    </w:p>
    <w:p w14:paraId="08A47BB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Pinheiro, J., Bates, D., DebRoy, S., Sarkar, D. &amp; R Core Team. (2020). nlme: Linear and Nonlinear Mixed Effects Models.</w:t>
      </w:r>
    </w:p>
    <w:p w14:paraId="292AE30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 Core Team. (2020). R: A language and environment for statistical computing.</w:t>
      </w:r>
    </w:p>
    <w:p w14:paraId="6D54BC04"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Rabosky, D.L., Chang, J., Title, P.O., Cowman, P.F., Sallan, L., Friedman, M., et al. (2018). An inverse latitudinal gradient in speciation rate for marine fishes. Nature, 559, 392–395.</w:t>
      </w:r>
    </w:p>
    <w:p w14:paraId="66BDC6EF"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Rodríguez, M.Á., Olalla-Tárraga, M.Á. &amp; Hawkins, B.A. (2008). Bergmann’s rule and the geography of mammal body size in the Western Hemisphere. Glob. Ecol. Biogeogr., 17, 274–283.</w:t>
      </w:r>
    </w:p>
    <w:p w14:paraId="1985A4C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Rohr, J.R., Civitello, D.J., Cohen, J.M., Roznik, E.A., Sinervo, B. &amp; Dell, A.I. (2018). The complex drivers of thermal acclimation and breadth in ectotherms. Ecol. Lett., 21, 1425–1439.</w:t>
      </w:r>
    </w:p>
    <w:p w14:paraId="37102E7B"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Rosenzweig, M.L. (1968). The Strategy of Body Size in Mammalian Carnivores. Am. Midl. Nat., 80, 299–315.</w:t>
      </w:r>
    </w:p>
    <w:p w14:paraId="02D3EEA4"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Rypel, A.L. (2014). The Cold-Water Connection: Bergmann’s Rule in North American Freshwater Fishes. Am. Nat., 183, 147–156.</w:t>
      </w:r>
    </w:p>
    <w:p w14:paraId="1776C7C5"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Shelomi, M. (2012). Where Are We Now? Bergmann’s Rule Sensu Lato in Insects. Am. Nat., 180, 511–519.</w:t>
      </w:r>
    </w:p>
    <w:p w14:paraId="42DAA144"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Shipley, B. (2009). Confirmatory path analysis in a generalized multilevel context. Ecology, 90, 363–368.</w:t>
      </w:r>
    </w:p>
    <w:p w14:paraId="5869903C"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Shipley, B. (2016). Cause and correlation in biology: a user’s guide to path analysis, structural equations and causal inference with R. Second Edi. Cambridge University Press, Cambridge, UK.</w:t>
      </w:r>
    </w:p>
    <w:p w14:paraId="64CF222A"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Smith, G.R., Badgley, C., Eiting, T.P. &amp; Larson, P.S. (2010). Species diversity gradients in relation to geological history in North American freshwater fishes. Evol. Ecol. Res., 12, 693–726.</w:t>
      </w:r>
    </w:p>
    <w:p w14:paraId="795E9353"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Stachelek, J. (2019). Tools for working with the National Hydrography Dataset.</w:t>
      </w:r>
    </w:p>
    <w:p w14:paraId="3C46D0D6"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U.S. Geological Survey. (2019). Nonindigenous Aquatic Species Database. Available at: http://nas.er.usgs.gov. Last accessed .</w:t>
      </w:r>
    </w:p>
    <w:p w14:paraId="03C67AFC"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US Geological Survey (USGS). (2012). Federal standards and procedures for the National Watershed Boundary Dataset (WBD): Techniques and Methods 11-A3.</w:t>
      </w:r>
    </w:p>
    <w:p w14:paraId="7068D5D5"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Vannote, R.L., Minshall, G.W., Cummins, K.W., Sedell, J.R. &amp; Cushing, C.E. (1980). The River Continuum Concept. Can. J. Fish. Aquat. Sci., 37, 130–137.</w:t>
      </w:r>
    </w:p>
    <w:p w14:paraId="00E046BE"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Velasco, J.A., Villalobos, F., Diniz-Filho, J.A.F., Poe, S. &amp; Flores-Villela, O. (2020). Macroecology and macroevolution of body size in Anolis Lizards. Ecography (Cop.)., 43, 812–822.</w:t>
      </w:r>
    </w:p>
    <w:p w14:paraId="37068BF7"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Villeneuve, A.R., Komoroske, L.M. &amp; Cheng, B.S. (2021). Environment and phenology shape local adaptation in thermal performance. Proc. R. Soc. B Biol. Sci., 288, 20210741.</w:t>
      </w:r>
    </w:p>
    <w:p w14:paraId="11344B44"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Watt, C., Mitchell, S. &amp; Salewski, V. (2010). Bergmann’s Rule: A Concept Cluster? Oikos, 119, 89–100.</w:t>
      </w:r>
    </w:p>
    <w:p w14:paraId="1E38280D"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lastRenderedPageBreak/>
        <w:t>West, G., Brown, J. &amp; Enquist, B.J. (1997). A general model for the origin of allometric scaling laws in biology. Science (80-. )., 276, 122–126.</w:t>
      </w:r>
    </w:p>
    <w:p w14:paraId="6B6544F9" w14:textId="77777777" w:rsidR="00D34145" w:rsidRPr="00D34145" w:rsidRDefault="00D34145" w:rsidP="00D512FC">
      <w:pPr>
        <w:ind w:left="360" w:hanging="360"/>
        <w:jc w:val="both"/>
        <w:rPr>
          <w:rFonts w:ascii="Times New Roman" w:hAnsi="Times New Roman" w:cs="Times New Roman"/>
        </w:rPr>
      </w:pPr>
      <w:r w:rsidRPr="00D34145">
        <w:rPr>
          <w:rFonts w:ascii="Times New Roman" w:hAnsi="Times New Roman" w:cs="Times New Roman"/>
        </w:rPr>
        <w:t>Yom-Tov, Y. (2001). Global warming and body mass decline in Israeli passerine birds. Proc. R. Soc. B Biol. Sci., 268, 947–952.</w:t>
      </w:r>
    </w:p>
    <w:p w14:paraId="46A65EE1" w14:textId="460C38D4" w:rsidR="007C4379" w:rsidRPr="00DF7C87" w:rsidRDefault="00D34145" w:rsidP="00D512FC">
      <w:pPr>
        <w:ind w:left="360" w:hanging="360"/>
        <w:jc w:val="both"/>
        <w:rPr>
          <w:rFonts w:ascii="Times New Roman" w:hAnsi="Times New Roman" w:cs="Times New Roman"/>
        </w:rPr>
      </w:pPr>
      <w:r w:rsidRPr="00D34145">
        <w:rPr>
          <w:rFonts w:ascii="Times New Roman" w:hAnsi="Times New Roman" w:cs="Times New Roman"/>
        </w:rPr>
        <w:t>Zamora-Camacho, F.J., Reguera, S. &amp; Moreno-Rueda, G. (2014). Bergmann’s Rule rules body size in an ectotherm: Heat conservation in a lizard along a 2200-metre elevational gradient. J. Evol. Biol., 27, 2820–2828</w:t>
      </w:r>
      <w:r>
        <w:rPr>
          <w:rFonts w:ascii="Times New Roman" w:hAnsi="Times New Roman" w:cs="Times New Roman"/>
        </w:rPr>
        <w:t>.</w:t>
      </w:r>
    </w:p>
    <w:p w14:paraId="7792B46D" w14:textId="7C33D3F4" w:rsidR="007C4379" w:rsidRDefault="007C4379" w:rsidP="007C4379">
      <w:pPr>
        <w:pStyle w:val="Heading2"/>
        <w:rPr>
          <w:rFonts w:ascii="Times New Roman" w:hAnsi="Times New Roman" w:cs="Times New Roman"/>
        </w:rPr>
      </w:pPr>
      <w:r w:rsidRPr="00DF7C87">
        <w:rPr>
          <w:rFonts w:ascii="Times New Roman" w:hAnsi="Times New Roman" w:cs="Times New Roman"/>
          <w:sz w:val="24"/>
          <w:szCs w:val="24"/>
        </w:rPr>
        <w:br w:type="page"/>
      </w:r>
      <w:bookmarkStart w:id="103" w:name="_Toc100607927"/>
      <w:r w:rsidRPr="00DF7C87">
        <w:rPr>
          <w:rFonts w:ascii="Times New Roman" w:hAnsi="Times New Roman" w:cs="Times New Roman"/>
        </w:rPr>
        <w:lastRenderedPageBreak/>
        <w:t>A</w:t>
      </w:r>
      <w:r w:rsidR="00DF6E72">
        <w:rPr>
          <w:rFonts w:ascii="Times New Roman" w:hAnsi="Times New Roman" w:cs="Times New Roman"/>
        </w:rPr>
        <w:t>ppendix</w:t>
      </w:r>
      <w:bookmarkEnd w:id="103"/>
    </w:p>
    <w:p w14:paraId="5F0EF73D" w14:textId="77777777" w:rsidR="005933AD" w:rsidRDefault="005933AD" w:rsidP="00C91194">
      <w:pPr>
        <w:rPr>
          <w:rFonts w:ascii="Times New Roman" w:hAnsi="Times New Roman" w:cs="Times New Roman"/>
          <w:b/>
        </w:rPr>
      </w:pPr>
    </w:p>
    <w:p w14:paraId="3042C83C" w14:textId="65EC4336" w:rsidR="00584AC7" w:rsidRPr="004E4A91" w:rsidRDefault="00584AC7" w:rsidP="00584AC7">
      <w:pPr>
        <w:rPr>
          <w:rFonts w:ascii="Times New Roman" w:hAnsi="Times New Roman" w:cs="Times New Roman"/>
        </w:rPr>
      </w:pPr>
      <w:bookmarkStart w:id="104" w:name="_Toc93411184"/>
      <w:r w:rsidRPr="00211EFC">
        <w:rPr>
          <w:rFonts w:ascii="Times New Roman" w:hAnsi="Times New Roman" w:cs="Times New Roman"/>
          <w:b/>
          <w:bCs/>
        </w:rPr>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13</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rPr>
        <w:t>Top 10 models for the assemblage scale proximate model identified by multi-model inference model selection based on AICc.</w:t>
      </w:r>
      <w:bookmarkEnd w:id="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
        <w:gridCol w:w="591"/>
        <w:gridCol w:w="707"/>
        <w:gridCol w:w="591"/>
        <w:gridCol w:w="677"/>
        <w:gridCol w:w="897"/>
        <w:gridCol w:w="877"/>
        <w:gridCol w:w="877"/>
        <w:gridCol w:w="591"/>
        <w:gridCol w:w="616"/>
        <w:gridCol w:w="616"/>
        <w:gridCol w:w="739"/>
      </w:tblGrid>
      <w:tr w:rsidR="00A4407A" w14:paraId="522C4953" w14:textId="77777777" w:rsidTr="00672B2A">
        <w:tc>
          <w:tcPr>
            <w:tcW w:w="0" w:type="auto"/>
            <w:tcBorders>
              <w:top w:val="single" w:sz="4" w:space="0" w:color="auto"/>
              <w:bottom w:val="single" w:sz="4" w:space="0" w:color="auto"/>
            </w:tcBorders>
            <w:vAlign w:val="bottom"/>
          </w:tcPr>
          <w:p w14:paraId="0D087BE5"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Rank</w:t>
            </w:r>
          </w:p>
        </w:tc>
        <w:tc>
          <w:tcPr>
            <w:tcW w:w="0" w:type="auto"/>
            <w:tcBorders>
              <w:top w:val="single" w:sz="4" w:space="0" w:color="auto"/>
              <w:bottom w:val="single" w:sz="4" w:space="0" w:color="auto"/>
            </w:tcBorders>
            <w:vAlign w:val="bottom"/>
          </w:tcPr>
          <w:p w14:paraId="1985A85B"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Int.</w:t>
            </w:r>
          </w:p>
        </w:tc>
        <w:tc>
          <w:tcPr>
            <w:tcW w:w="0" w:type="auto"/>
            <w:tcBorders>
              <w:top w:val="single" w:sz="4" w:space="0" w:color="auto"/>
              <w:bottom w:val="single" w:sz="4" w:space="0" w:color="auto"/>
            </w:tcBorders>
            <w:vAlign w:val="bottom"/>
          </w:tcPr>
          <w:p w14:paraId="219E3BD1" w14:textId="77777777" w:rsidR="00DF7DBE" w:rsidRPr="00672B2A" w:rsidRDefault="00DF7DBE" w:rsidP="001707F6">
            <w:pPr>
              <w:rPr>
                <w:rFonts w:ascii="Times New Roman" w:hAnsi="Times New Roman" w:cs="Times New Roman"/>
                <w:b/>
                <w:bCs/>
                <w:color w:val="000000"/>
                <w:sz w:val="18"/>
                <w:szCs w:val="18"/>
              </w:rPr>
            </w:pPr>
            <w:r w:rsidRPr="00672B2A">
              <w:rPr>
                <w:rFonts w:ascii="Times New Roman" w:hAnsi="Times New Roman" w:cs="Times New Roman"/>
                <w:b/>
                <w:bCs/>
                <w:color w:val="000000"/>
                <w:sz w:val="18"/>
                <w:szCs w:val="18"/>
              </w:rPr>
              <w:t>DAM</w:t>
            </w:r>
          </w:p>
          <w:p w14:paraId="37986C52" w14:textId="1C5CBA76" w:rsidR="00A4407A" w:rsidRPr="00672B2A" w:rsidRDefault="00A4407A" w:rsidP="001707F6">
            <w:pPr>
              <w:rPr>
                <w:rFonts w:ascii="Times New Roman" w:hAnsi="Times New Roman" w:cs="Times New Roman"/>
                <w:b/>
                <w:bCs/>
                <w:sz w:val="18"/>
                <w:szCs w:val="18"/>
              </w:rPr>
            </w:pPr>
            <w:r w:rsidRPr="00672B2A">
              <w:rPr>
                <w:rFonts w:ascii="Times New Roman" w:hAnsi="Times New Roman" w:cs="Times New Roman"/>
                <w:b/>
                <w:bCs/>
                <w:sz w:val="18"/>
                <w:szCs w:val="18"/>
              </w:rPr>
              <w:t>STOR</w:t>
            </w:r>
          </w:p>
        </w:tc>
        <w:tc>
          <w:tcPr>
            <w:tcW w:w="0" w:type="auto"/>
            <w:tcBorders>
              <w:top w:val="single" w:sz="4" w:space="0" w:color="auto"/>
              <w:bottom w:val="single" w:sz="4" w:space="0" w:color="auto"/>
            </w:tcBorders>
            <w:vAlign w:val="bottom"/>
          </w:tcPr>
          <w:p w14:paraId="6D8067A5"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CTI</w:t>
            </w:r>
          </w:p>
        </w:tc>
        <w:tc>
          <w:tcPr>
            <w:tcW w:w="0" w:type="auto"/>
            <w:tcBorders>
              <w:top w:val="single" w:sz="4" w:space="0" w:color="auto"/>
              <w:bottom w:val="single" w:sz="4" w:space="0" w:color="auto"/>
            </w:tcBorders>
            <w:vAlign w:val="bottom"/>
          </w:tcPr>
          <w:p w14:paraId="72150752"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NDVI</w:t>
            </w:r>
          </w:p>
        </w:tc>
        <w:tc>
          <w:tcPr>
            <w:tcW w:w="0" w:type="auto"/>
            <w:tcBorders>
              <w:top w:val="single" w:sz="4" w:space="0" w:color="auto"/>
              <w:bottom w:val="single" w:sz="4" w:space="0" w:color="auto"/>
            </w:tcBorders>
            <w:vAlign w:val="bottom"/>
          </w:tcPr>
          <w:p w14:paraId="2BC6C1A9"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AGRWS</w:t>
            </w:r>
          </w:p>
        </w:tc>
        <w:tc>
          <w:tcPr>
            <w:tcW w:w="0" w:type="auto"/>
            <w:tcBorders>
              <w:top w:val="single" w:sz="4" w:space="0" w:color="auto"/>
              <w:bottom w:val="single" w:sz="4" w:space="0" w:color="auto"/>
            </w:tcBorders>
            <w:vAlign w:val="bottom"/>
          </w:tcPr>
          <w:p w14:paraId="03004764"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FORWS</w:t>
            </w:r>
          </w:p>
        </w:tc>
        <w:tc>
          <w:tcPr>
            <w:tcW w:w="0" w:type="auto"/>
            <w:tcBorders>
              <w:top w:val="single" w:sz="4" w:space="0" w:color="auto"/>
              <w:bottom w:val="single" w:sz="4" w:space="0" w:color="auto"/>
            </w:tcBorders>
            <w:vAlign w:val="bottom"/>
          </w:tcPr>
          <w:p w14:paraId="3CBF7662"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URBWS</w:t>
            </w:r>
          </w:p>
        </w:tc>
        <w:tc>
          <w:tcPr>
            <w:tcW w:w="0" w:type="auto"/>
            <w:tcBorders>
              <w:top w:val="single" w:sz="4" w:space="0" w:color="auto"/>
              <w:bottom w:val="single" w:sz="4" w:space="0" w:color="auto"/>
            </w:tcBorders>
            <w:vAlign w:val="bottom"/>
          </w:tcPr>
          <w:p w14:paraId="182D6A25"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Q</w:t>
            </w:r>
          </w:p>
        </w:tc>
        <w:tc>
          <w:tcPr>
            <w:tcW w:w="0" w:type="auto"/>
            <w:tcBorders>
              <w:top w:val="single" w:sz="4" w:space="0" w:color="auto"/>
              <w:bottom w:val="single" w:sz="4" w:space="0" w:color="auto"/>
            </w:tcBorders>
            <w:vAlign w:val="bottom"/>
          </w:tcPr>
          <w:p w14:paraId="3E818DF5" w14:textId="77777777"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TMP</w:t>
            </w:r>
          </w:p>
        </w:tc>
        <w:tc>
          <w:tcPr>
            <w:tcW w:w="0" w:type="auto"/>
            <w:tcBorders>
              <w:top w:val="single" w:sz="4" w:space="0" w:color="auto"/>
              <w:bottom w:val="single" w:sz="4" w:space="0" w:color="auto"/>
            </w:tcBorders>
            <w:vAlign w:val="bottom"/>
          </w:tcPr>
          <w:p w14:paraId="4E0018E7" w14:textId="77777777" w:rsidR="00DF7DBE" w:rsidRPr="00672B2A" w:rsidRDefault="00DF7DBE" w:rsidP="001707F6">
            <w:pPr>
              <w:rPr>
                <w:rFonts w:ascii="Times New Roman" w:hAnsi="Times New Roman" w:cs="Times New Roman"/>
                <w:b/>
                <w:bCs/>
                <w:color w:val="000000"/>
                <w:sz w:val="18"/>
                <w:szCs w:val="18"/>
              </w:rPr>
            </w:pPr>
            <w:r w:rsidRPr="00672B2A">
              <w:rPr>
                <w:rFonts w:ascii="Times New Roman" w:hAnsi="Times New Roman" w:cs="Times New Roman"/>
                <w:b/>
                <w:bCs/>
                <w:color w:val="000000"/>
                <w:sz w:val="18"/>
                <w:szCs w:val="18"/>
              </w:rPr>
              <w:t>CTI:</w:t>
            </w:r>
          </w:p>
          <w:p w14:paraId="0B2FCC8B" w14:textId="155737B0" w:rsidR="00DF7DBE" w:rsidRPr="00672B2A" w:rsidRDefault="00DF7DBE" w:rsidP="001707F6">
            <w:pPr>
              <w:rPr>
                <w:rFonts w:ascii="Times New Roman" w:hAnsi="Times New Roman" w:cs="Times New Roman"/>
                <w:b/>
                <w:bCs/>
                <w:sz w:val="18"/>
                <w:szCs w:val="18"/>
              </w:rPr>
            </w:pPr>
            <w:r w:rsidRPr="00672B2A">
              <w:rPr>
                <w:rFonts w:ascii="Times New Roman" w:hAnsi="Times New Roman" w:cs="Times New Roman"/>
                <w:b/>
                <w:bCs/>
                <w:color w:val="000000"/>
                <w:sz w:val="18"/>
                <w:szCs w:val="18"/>
              </w:rPr>
              <w:t>TMP</w:t>
            </w:r>
          </w:p>
        </w:tc>
        <w:tc>
          <w:tcPr>
            <w:tcW w:w="0" w:type="auto"/>
            <w:tcBorders>
              <w:top w:val="single" w:sz="4" w:space="0" w:color="auto"/>
              <w:bottom w:val="single" w:sz="4" w:space="0" w:color="auto"/>
            </w:tcBorders>
            <w:vAlign w:val="bottom"/>
          </w:tcPr>
          <w:p w14:paraId="5790341E" w14:textId="50169E92" w:rsidR="00DF7DBE" w:rsidRPr="00672B2A" w:rsidRDefault="00A91F3E" w:rsidP="001707F6">
            <w:pPr>
              <w:rPr>
                <w:rFonts w:ascii="Times New Roman" w:hAnsi="Times New Roman" w:cs="Times New Roman"/>
                <w:b/>
                <w:bCs/>
                <w:sz w:val="18"/>
                <w:szCs w:val="18"/>
              </w:rPr>
            </w:pPr>
            <w:r>
              <w:rPr>
                <w:rFonts w:ascii="Times New Roman" w:hAnsi="Times New Roman" w:cs="Times New Roman"/>
                <w:b/>
                <w:bCs/>
                <w:color w:val="000000"/>
                <w:sz w:val="18"/>
                <w:szCs w:val="18"/>
              </w:rPr>
              <w:t>ΔAICc</w:t>
            </w:r>
          </w:p>
        </w:tc>
      </w:tr>
      <w:tr w:rsidR="00A4407A" w14:paraId="15A4569B" w14:textId="77777777" w:rsidTr="00672B2A">
        <w:tc>
          <w:tcPr>
            <w:tcW w:w="0" w:type="auto"/>
            <w:tcBorders>
              <w:top w:val="single" w:sz="4" w:space="0" w:color="auto"/>
            </w:tcBorders>
            <w:vAlign w:val="bottom"/>
          </w:tcPr>
          <w:p w14:paraId="0805DA9C"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1</w:t>
            </w:r>
          </w:p>
        </w:tc>
        <w:tc>
          <w:tcPr>
            <w:tcW w:w="0" w:type="auto"/>
            <w:tcBorders>
              <w:top w:val="single" w:sz="4" w:space="0" w:color="auto"/>
            </w:tcBorders>
            <w:vAlign w:val="bottom"/>
          </w:tcPr>
          <w:p w14:paraId="63A043E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tcBorders>
              <w:top w:val="single" w:sz="4" w:space="0" w:color="auto"/>
            </w:tcBorders>
            <w:vAlign w:val="bottom"/>
          </w:tcPr>
          <w:p w14:paraId="1659B55C" w14:textId="77777777" w:rsidR="00DF7DBE" w:rsidRPr="00672B2A" w:rsidRDefault="00DF7DBE" w:rsidP="001707F6">
            <w:pPr>
              <w:jc w:val="right"/>
              <w:rPr>
                <w:rFonts w:ascii="Times New Roman" w:hAnsi="Times New Roman" w:cs="Times New Roman"/>
                <w:bCs/>
                <w:sz w:val="18"/>
                <w:szCs w:val="18"/>
              </w:rPr>
            </w:pPr>
          </w:p>
        </w:tc>
        <w:tc>
          <w:tcPr>
            <w:tcW w:w="0" w:type="auto"/>
            <w:tcBorders>
              <w:top w:val="single" w:sz="4" w:space="0" w:color="auto"/>
            </w:tcBorders>
            <w:vAlign w:val="bottom"/>
          </w:tcPr>
          <w:p w14:paraId="0A8F45FE"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-0.26</w:t>
            </w:r>
          </w:p>
        </w:tc>
        <w:tc>
          <w:tcPr>
            <w:tcW w:w="0" w:type="auto"/>
            <w:tcBorders>
              <w:top w:val="single" w:sz="4" w:space="0" w:color="auto"/>
            </w:tcBorders>
            <w:vAlign w:val="bottom"/>
          </w:tcPr>
          <w:p w14:paraId="357CE443"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tcBorders>
              <w:top w:val="single" w:sz="4" w:space="0" w:color="auto"/>
            </w:tcBorders>
            <w:vAlign w:val="bottom"/>
          </w:tcPr>
          <w:p w14:paraId="134DA0A8" w14:textId="77777777" w:rsidR="00DF7DBE" w:rsidRPr="00672B2A" w:rsidRDefault="00DF7DBE" w:rsidP="001707F6">
            <w:pPr>
              <w:jc w:val="right"/>
              <w:rPr>
                <w:rFonts w:ascii="Times New Roman" w:hAnsi="Times New Roman" w:cs="Times New Roman"/>
                <w:bCs/>
                <w:sz w:val="18"/>
                <w:szCs w:val="18"/>
              </w:rPr>
            </w:pPr>
          </w:p>
        </w:tc>
        <w:tc>
          <w:tcPr>
            <w:tcW w:w="0" w:type="auto"/>
            <w:tcBorders>
              <w:top w:val="single" w:sz="4" w:space="0" w:color="auto"/>
            </w:tcBorders>
            <w:vAlign w:val="bottom"/>
          </w:tcPr>
          <w:p w14:paraId="2418F6FE" w14:textId="77777777" w:rsidR="00DF7DBE" w:rsidRPr="00672B2A" w:rsidRDefault="00DF7DBE" w:rsidP="001707F6">
            <w:pPr>
              <w:jc w:val="right"/>
              <w:rPr>
                <w:rFonts w:ascii="Times New Roman" w:hAnsi="Times New Roman" w:cs="Times New Roman"/>
                <w:bCs/>
                <w:sz w:val="18"/>
                <w:szCs w:val="18"/>
              </w:rPr>
            </w:pPr>
          </w:p>
        </w:tc>
        <w:tc>
          <w:tcPr>
            <w:tcW w:w="0" w:type="auto"/>
            <w:tcBorders>
              <w:top w:val="single" w:sz="4" w:space="0" w:color="auto"/>
            </w:tcBorders>
            <w:vAlign w:val="bottom"/>
          </w:tcPr>
          <w:p w14:paraId="6CC83D5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tcBorders>
              <w:top w:val="single" w:sz="4" w:space="0" w:color="auto"/>
            </w:tcBorders>
            <w:vAlign w:val="bottom"/>
          </w:tcPr>
          <w:p w14:paraId="58E564D4" w14:textId="77777777" w:rsidR="00DF7DBE" w:rsidRPr="00672B2A" w:rsidRDefault="00DF7DBE" w:rsidP="001707F6">
            <w:pPr>
              <w:jc w:val="right"/>
              <w:rPr>
                <w:rFonts w:ascii="Times New Roman" w:hAnsi="Times New Roman" w:cs="Times New Roman"/>
                <w:bCs/>
                <w:sz w:val="18"/>
                <w:szCs w:val="18"/>
              </w:rPr>
            </w:pPr>
          </w:p>
        </w:tc>
        <w:tc>
          <w:tcPr>
            <w:tcW w:w="0" w:type="auto"/>
            <w:tcBorders>
              <w:top w:val="single" w:sz="4" w:space="0" w:color="auto"/>
            </w:tcBorders>
            <w:vAlign w:val="bottom"/>
          </w:tcPr>
          <w:p w14:paraId="5F6CEEB5"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c>
          <w:tcPr>
            <w:tcW w:w="0" w:type="auto"/>
            <w:tcBorders>
              <w:top w:val="single" w:sz="4" w:space="0" w:color="auto"/>
            </w:tcBorders>
            <w:vAlign w:val="bottom"/>
          </w:tcPr>
          <w:p w14:paraId="710E882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0.16</w:t>
            </w:r>
          </w:p>
        </w:tc>
        <w:tc>
          <w:tcPr>
            <w:tcW w:w="0" w:type="auto"/>
            <w:tcBorders>
              <w:top w:val="single" w:sz="4" w:space="0" w:color="auto"/>
            </w:tcBorders>
            <w:vAlign w:val="bottom"/>
          </w:tcPr>
          <w:p w14:paraId="26B8ABD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r>
      <w:tr w:rsidR="00A4407A" w14:paraId="7F724960" w14:textId="77777777" w:rsidTr="00672B2A">
        <w:tc>
          <w:tcPr>
            <w:tcW w:w="0" w:type="auto"/>
            <w:vAlign w:val="bottom"/>
          </w:tcPr>
          <w:p w14:paraId="5C9B3E71"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w:t>
            </w:r>
          </w:p>
        </w:tc>
        <w:tc>
          <w:tcPr>
            <w:tcW w:w="0" w:type="auto"/>
            <w:vAlign w:val="bottom"/>
          </w:tcPr>
          <w:p w14:paraId="4AB74F7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-0.07</w:t>
            </w:r>
          </w:p>
        </w:tc>
        <w:tc>
          <w:tcPr>
            <w:tcW w:w="0" w:type="auto"/>
            <w:vAlign w:val="bottom"/>
          </w:tcPr>
          <w:p w14:paraId="75715176"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174F210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-0.27</w:t>
            </w:r>
          </w:p>
        </w:tc>
        <w:tc>
          <w:tcPr>
            <w:tcW w:w="0" w:type="auto"/>
            <w:vAlign w:val="bottom"/>
          </w:tcPr>
          <w:p w14:paraId="51B267C0"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44430DA9"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5B6FEF39"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70394DF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vAlign w:val="bottom"/>
          </w:tcPr>
          <w:p w14:paraId="617040DC"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6D393DD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-0.02</w:t>
            </w:r>
          </w:p>
        </w:tc>
        <w:tc>
          <w:tcPr>
            <w:tcW w:w="0" w:type="auto"/>
            <w:vAlign w:val="bottom"/>
          </w:tcPr>
          <w:p w14:paraId="4805F13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0.18</w:t>
            </w:r>
          </w:p>
        </w:tc>
        <w:tc>
          <w:tcPr>
            <w:tcW w:w="0" w:type="auto"/>
            <w:vAlign w:val="bottom"/>
          </w:tcPr>
          <w:p w14:paraId="4AC194B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0.64</w:t>
            </w:r>
          </w:p>
        </w:tc>
      </w:tr>
      <w:tr w:rsidR="00A4407A" w14:paraId="7FC277B5" w14:textId="77777777" w:rsidTr="00672B2A">
        <w:tc>
          <w:tcPr>
            <w:tcW w:w="0" w:type="auto"/>
            <w:vAlign w:val="bottom"/>
          </w:tcPr>
          <w:p w14:paraId="5E75EA79"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3</w:t>
            </w:r>
          </w:p>
        </w:tc>
        <w:tc>
          <w:tcPr>
            <w:tcW w:w="0" w:type="auto"/>
            <w:vAlign w:val="bottom"/>
          </w:tcPr>
          <w:p w14:paraId="6CB114D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607AA4F2"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5C16D485"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-0.25</w:t>
            </w:r>
          </w:p>
        </w:tc>
        <w:tc>
          <w:tcPr>
            <w:tcW w:w="0" w:type="auto"/>
            <w:vAlign w:val="bottom"/>
          </w:tcPr>
          <w:p w14:paraId="72E3CEC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288087AE"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65E1DA87"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24894F5A"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0.12</w:t>
            </w:r>
          </w:p>
        </w:tc>
        <w:tc>
          <w:tcPr>
            <w:tcW w:w="0" w:type="auto"/>
            <w:vAlign w:val="bottom"/>
          </w:tcPr>
          <w:p w14:paraId="42B5EF29"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-0.03</w:t>
            </w:r>
          </w:p>
        </w:tc>
        <w:tc>
          <w:tcPr>
            <w:tcW w:w="0" w:type="auto"/>
            <w:vAlign w:val="bottom"/>
          </w:tcPr>
          <w:p w14:paraId="453194E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vAlign w:val="bottom"/>
          </w:tcPr>
          <w:p w14:paraId="1A2B2BE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0.16</w:t>
            </w:r>
          </w:p>
        </w:tc>
        <w:tc>
          <w:tcPr>
            <w:tcW w:w="0" w:type="auto"/>
            <w:vAlign w:val="bottom"/>
          </w:tcPr>
          <w:p w14:paraId="7AFE1041"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1.42</w:t>
            </w:r>
          </w:p>
        </w:tc>
      </w:tr>
      <w:tr w:rsidR="00A4407A" w14:paraId="1418AFC3" w14:textId="77777777" w:rsidTr="00672B2A">
        <w:tc>
          <w:tcPr>
            <w:tcW w:w="0" w:type="auto"/>
            <w:vAlign w:val="bottom"/>
          </w:tcPr>
          <w:p w14:paraId="627762B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4</w:t>
            </w:r>
          </w:p>
        </w:tc>
        <w:tc>
          <w:tcPr>
            <w:tcW w:w="0" w:type="auto"/>
            <w:vAlign w:val="bottom"/>
          </w:tcPr>
          <w:p w14:paraId="19142D4E"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361ABCBD"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3AC7695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-0.25</w:t>
            </w:r>
          </w:p>
        </w:tc>
        <w:tc>
          <w:tcPr>
            <w:tcW w:w="0" w:type="auto"/>
            <w:vAlign w:val="bottom"/>
          </w:tcPr>
          <w:p w14:paraId="0F21F24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24591B76"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097F4D25"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vAlign w:val="bottom"/>
          </w:tcPr>
          <w:p w14:paraId="73BF3EA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vAlign w:val="bottom"/>
          </w:tcPr>
          <w:p w14:paraId="0AD3B868"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401E1D70"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c>
          <w:tcPr>
            <w:tcW w:w="0" w:type="auto"/>
            <w:vAlign w:val="bottom"/>
          </w:tcPr>
          <w:p w14:paraId="5E5C39E9"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0.16</w:t>
            </w:r>
          </w:p>
        </w:tc>
        <w:tc>
          <w:tcPr>
            <w:tcW w:w="0" w:type="auto"/>
            <w:vAlign w:val="bottom"/>
          </w:tcPr>
          <w:p w14:paraId="5D7CB42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2.01</w:t>
            </w:r>
          </w:p>
        </w:tc>
      </w:tr>
      <w:tr w:rsidR="00A4407A" w14:paraId="50D597CF" w14:textId="77777777" w:rsidTr="00672B2A">
        <w:tc>
          <w:tcPr>
            <w:tcW w:w="0" w:type="auto"/>
            <w:vAlign w:val="bottom"/>
          </w:tcPr>
          <w:p w14:paraId="121B930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5</w:t>
            </w:r>
          </w:p>
        </w:tc>
        <w:tc>
          <w:tcPr>
            <w:tcW w:w="0" w:type="auto"/>
            <w:vAlign w:val="bottom"/>
          </w:tcPr>
          <w:p w14:paraId="46E4161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-0.07</w:t>
            </w:r>
          </w:p>
        </w:tc>
        <w:tc>
          <w:tcPr>
            <w:tcW w:w="0" w:type="auto"/>
            <w:vAlign w:val="bottom"/>
          </w:tcPr>
          <w:p w14:paraId="373019B7"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4B57658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-0.27</w:t>
            </w:r>
          </w:p>
        </w:tc>
        <w:tc>
          <w:tcPr>
            <w:tcW w:w="0" w:type="auto"/>
            <w:vAlign w:val="bottom"/>
          </w:tcPr>
          <w:p w14:paraId="72DE18D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4D6D0B63"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6B5AAFDA"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111924B3"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0.12</w:t>
            </w:r>
          </w:p>
        </w:tc>
        <w:tc>
          <w:tcPr>
            <w:tcW w:w="0" w:type="auto"/>
            <w:vAlign w:val="bottom"/>
          </w:tcPr>
          <w:p w14:paraId="0CA1AD1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-0.03</w:t>
            </w:r>
          </w:p>
        </w:tc>
        <w:tc>
          <w:tcPr>
            <w:tcW w:w="0" w:type="auto"/>
            <w:vAlign w:val="bottom"/>
          </w:tcPr>
          <w:p w14:paraId="2F3DAE0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vAlign w:val="bottom"/>
          </w:tcPr>
          <w:p w14:paraId="6C4ABA6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0.18</w:t>
            </w:r>
          </w:p>
        </w:tc>
        <w:tc>
          <w:tcPr>
            <w:tcW w:w="0" w:type="auto"/>
            <w:vAlign w:val="bottom"/>
          </w:tcPr>
          <w:p w14:paraId="0245F50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2.03</w:t>
            </w:r>
          </w:p>
        </w:tc>
      </w:tr>
      <w:tr w:rsidR="00A4407A" w14:paraId="5F5F045E" w14:textId="77777777" w:rsidTr="00672B2A">
        <w:tc>
          <w:tcPr>
            <w:tcW w:w="0" w:type="auto"/>
            <w:vAlign w:val="bottom"/>
          </w:tcPr>
          <w:p w14:paraId="2D2DB59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6</w:t>
            </w:r>
          </w:p>
        </w:tc>
        <w:tc>
          <w:tcPr>
            <w:tcW w:w="0" w:type="auto"/>
            <w:vAlign w:val="bottom"/>
          </w:tcPr>
          <w:p w14:paraId="4D9D61F0"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29C3117A"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c>
          <w:tcPr>
            <w:tcW w:w="0" w:type="auto"/>
            <w:vAlign w:val="bottom"/>
          </w:tcPr>
          <w:p w14:paraId="3B822E4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-0.26</w:t>
            </w:r>
          </w:p>
        </w:tc>
        <w:tc>
          <w:tcPr>
            <w:tcW w:w="0" w:type="auto"/>
            <w:vAlign w:val="bottom"/>
          </w:tcPr>
          <w:p w14:paraId="0C35C25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056D6311"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507E4663"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175F1B2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vAlign w:val="bottom"/>
          </w:tcPr>
          <w:p w14:paraId="36A29E09"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5FACC98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c>
          <w:tcPr>
            <w:tcW w:w="0" w:type="auto"/>
            <w:vAlign w:val="bottom"/>
          </w:tcPr>
          <w:p w14:paraId="02BC13F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0.16</w:t>
            </w:r>
          </w:p>
        </w:tc>
        <w:tc>
          <w:tcPr>
            <w:tcW w:w="0" w:type="auto"/>
            <w:vAlign w:val="bottom"/>
          </w:tcPr>
          <w:p w14:paraId="40CBA3F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2.05</w:t>
            </w:r>
          </w:p>
        </w:tc>
      </w:tr>
      <w:tr w:rsidR="00A4407A" w14:paraId="1F888DD5" w14:textId="77777777" w:rsidTr="00672B2A">
        <w:tc>
          <w:tcPr>
            <w:tcW w:w="0" w:type="auto"/>
            <w:vAlign w:val="bottom"/>
          </w:tcPr>
          <w:p w14:paraId="5B376CD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7</w:t>
            </w:r>
          </w:p>
        </w:tc>
        <w:tc>
          <w:tcPr>
            <w:tcW w:w="0" w:type="auto"/>
            <w:vAlign w:val="bottom"/>
          </w:tcPr>
          <w:p w14:paraId="7856E352"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385BA69E"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2F13CF8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-0.26</w:t>
            </w:r>
          </w:p>
        </w:tc>
        <w:tc>
          <w:tcPr>
            <w:tcW w:w="0" w:type="auto"/>
            <w:vAlign w:val="bottom"/>
          </w:tcPr>
          <w:p w14:paraId="260DE0AA"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vAlign w:val="bottom"/>
          </w:tcPr>
          <w:p w14:paraId="7D709313"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62C73E61"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10B10075"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vAlign w:val="bottom"/>
          </w:tcPr>
          <w:p w14:paraId="716B4D96"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7037285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0.00</w:t>
            </w:r>
          </w:p>
        </w:tc>
        <w:tc>
          <w:tcPr>
            <w:tcW w:w="0" w:type="auto"/>
            <w:vAlign w:val="bottom"/>
          </w:tcPr>
          <w:p w14:paraId="0F12FF0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0.16</w:t>
            </w:r>
          </w:p>
        </w:tc>
        <w:tc>
          <w:tcPr>
            <w:tcW w:w="0" w:type="auto"/>
            <w:vAlign w:val="bottom"/>
          </w:tcPr>
          <w:p w14:paraId="101C0F6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2.06</w:t>
            </w:r>
          </w:p>
        </w:tc>
      </w:tr>
      <w:tr w:rsidR="00A4407A" w14:paraId="13487A2F" w14:textId="77777777" w:rsidTr="00672B2A">
        <w:tc>
          <w:tcPr>
            <w:tcW w:w="0" w:type="auto"/>
            <w:vAlign w:val="bottom"/>
          </w:tcPr>
          <w:p w14:paraId="54B5F7EC"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8</w:t>
            </w:r>
          </w:p>
        </w:tc>
        <w:tc>
          <w:tcPr>
            <w:tcW w:w="0" w:type="auto"/>
            <w:vAlign w:val="bottom"/>
          </w:tcPr>
          <w:p w14:paraId="63F506E1"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-0.05</w:t>
            </w:r>
          </w:p>
        </w:tc>
        <w:tc>
          <w:tcPr>
            <w:tcW w:w="0" w:type="auto"/>
            <w:vAlign w:val="bottom"/>
          </w:tcPr>
          <w:p w14:paraId="4A15C007"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3F74A1A9"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-0.22</w:t>
            </w:r>
          </w:p>
        </w:tc>
        <w:tc>
          <w:tcPr>
            <w:tcW w:w="0" w:type="auto"/>
            <w:vAlign w:val="bottom"/>
          </w:tcPr>
          <w:p w14:paraId="786AB76B"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310B7AB5"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206F4EE4"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69325233"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0.15</w:t>
            </w:r>
          </w:p>
        </w:tc>
        <w:tc>
          <w:tcPr>
            <w:tcW w:w="0" w:type="auto"/>
            <w:vAlign w:val="bottom"/>
          </w:tcPr>
          <w:p w14:paraId="4A885268"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0540320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-0.05</w:t>
            </w:r>
          </w:p>
        </w:tc>
        <w:tc>
          <w:tcPr>
            <w:tcW w:w="0" w:type="auto"/>
            <w:vAlign w:val="bottom"/>
          </w:tcPr>
          <w:p w14:paraId="0ACC10A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0.18</w:t>
            </w:r>
          </w:p>
        </w:tc>
        <w:tc>
          <w:tcPr>
            <w:tcW w:w="0" w:type="auto"/>
            <w:vAlign w:val="bottom"/>
          </w:tcPr>
          <w:p w14:paraId="1EED5E5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2.23</w:t>
            </w:r>
          </w:p>
        </w:tc>
      </w:tr>
      <w:tr w:rsidR="00A4407A" w14:paraId="38924006" w14:textId="77777777" w:rsidTr="00672B2A">
        <w:tc>
          <w:tcPr>
            <w:tcW w:w="0" w:type="auto"/>
            <w:vAlign w:val="bottom"/>
          </w:tcPr>
          <w:p w14:paraId="5E84235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9</w:t>
            </w:r>
          </w:p>
        </w:tc>
        <w:tc>
          <w:tcPr>
            <w:tcW w:w="0" w:type="auto"/>
            <w:vAlign w:val="bottom"/>
          </w:tcPr>
          <w:p w14:paraId="0E4D4270"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-0.07</w:t>
            </w:r>
          </w:p>
        </w:tc>
        <w:tc>
          <w:tcPr>
            <w:tcW w:w="0" w:type="auto"/>
            <w:vAlign w:val="bottom"/>
          </w:tcPr>
          <w:p w14:paraId="44FA7723"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57B9593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-0.27</w:t>
            </w:r>
          </w:p>
        </w:tc>
        <w:tc>
          <w:tcPr>
            <w:tcW w:w="0" w:type="auto"/>
            <w:vAlign w:val="bottom"/>
          </w:tcPr>
          <w:p w14:paraId="7CA1B66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-0.11</w:t>
            </w:r>
          </w:p>
        </w:tc>
        <w:tc>
          <w:tcPr>
            <w:tcW w:w="0" w:type="auto"/>
            <w:vAlign w:val="bottom"/>
          </w:tcPr>
          <w:p w14:paraId="62E06D0E"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vAlign w:val="bottom"/>
          </w:tcPr>
          <w:p w14:paraId="56C49CDC"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0.02</w:t>
            </w:r>
          </w:p>
        </w:tc>
        <w:tc>
          <w:tcPr>
            <w:tcW w:w="0" w:type="auto"/>
            <w:vAlign w:val="bottom"/>
          </w:tcPr>
          <w:p w14:paraId="4FC2778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vAlign w:val="bottom"/>
          </w:tcPr>
          <w:p w14:paraId="7270DE3E" w14:textId="77777777" w:rsidR="00DF7DBE" w:rsidRPr="00672B2A" w:rsidRDefault="00DF7DBE" w:rsidP="001707F6">
            <w:pPr>
              <w:jc w:val="right"/>
              <w:rPr>
                <w:rFonts w:ascii="Times New Roman" w:hAnsi="Times New Roman" w:cs="Times New Roman"/>
                <w:bCs/>
                <w:sz w:val="18"/>
                <w:szCs w:val="18"/>
              </w:rPr>
            </w:pPr>
          </w:p>
        </w:tc>
        <w:tc>
          <w:tcPr>
            <w:tcW w:w="0" w:type="auto"/>
            <w:vAlign w:val="bottom"/>
          </w:tcPr>
          <w:p w14:paraId="113507BB"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vAlign w:val="bottom"/>
          </w:tcPr>
          <w:p w14:paraId="3A765C16"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0.17</w:t>
            </w:r>
          </w:p>
        </w:tc>
        <w:tc>
          <w:tcPr>
            <w:tcW w:w="0" w:type="auto"/>
            <w:vAlign w:val="bottom"/>
          </w:tcPr>
          <w:p w14:paraId="40AC99BA"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2.52</w:t>
            </w:r>
          </w:p>
        </w:tc>
      </w:tr>
      <w:tr w:rsidR="00A4407A" w14:paraId="2EA4D5EC" w14:textId="77777777" w:rsidTr="00672B2A">
        <w:tc>
          <w:tcPr>
            <w:tcW w:w="0" w:type="auto"/>
            <w:tcBorders>
              <w:bottom w:val="single" w:sz="4" w:space="0" w:color="auto"/>
            </w:tcBorders>
            <w:vAlign w:val="bottom"/>
          </w:tcPr>
          <w:p w14:paraId="5DAEFCA5"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10</w:t>
            </w:r>
          </w:p>
        </w:tc>
        <w:tc>
          <w:tcPr>
            <w:tcW w:w="0" w:type="auto"/>
            <w:tcBorders>
              <w:bottom w:val="single" w:sz="4" w:space="0" w:color="auto"/>
            </w:tcBorders>
            <w:vAlign w:val="bottom"/>
          </w:tcPr>
          <w:p w14:paraId="1D1F374F"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-0.07</w:t>
            </w:r>
          </w:p>
        </w:tc>
        <w:tc>
          <w:tcPr>
            <w:tcW w:w="0" w:type="auto"/>
            <w:tcBorders>
              <w:bottom w:val="single" w:sz="4" w:space="0" w:color="auto"/>
            </w:tcBorders>
            <w:vAlign w:val="bottom"/>
          </w:tcPr>
          <w:p w14:paraId="5199A4B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tcBorders>
              <w:bottom w:val="single" w:sz="4" w:space="0" w:color="auto"/>
            </w:tcBorders>
            <w:vAlign w:val="bottom"/>
          </w:tcPr>
          <w:p w14:paraId="0E510A94"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-0.27</w:t>
            </w:r>
          </w:p>
        </w:tc>
        <w:tc>
          <w:tcPr>
            <w:tcW w:w="0" w:type="auto"/>
            <w:tcBorders>
              <w:bottom w:val="single" w:sz="4" w:space="0" w:color="auto"/>
            </w:tcBorders>
            <w:vAlign w:val="bottom"/>
          </w:tcPr>
          <w:p w14:paraId="560F7A2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-0.10</w:t>
            </w:r>
          </w:p>
        </w:tc>
        <w:tc>
          <w:tcPr>
            <w:tcW w:w="0" w:type="auto"/>
            <w:tcBorders>
              <w:bottom w:val="single" w:sz="4" w:space="0" w:color="auto"/>
            </w:tcBorders>
            <w:vAlign w:val="bottom"/>
          </w:tcPr>
          <w:p w14:paraId="2ACEE2D8"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0.06</w:t>
            </w:r>
          </w:p>
        </w:tc>
        <w:tc>
          <w:tcPr>
            <w:tcW w:w="0" w:type="auto"/>
            <w:tcBorders>
              <w:bottom w:val="single" w:sz="4" w:space="0" w:color="auto"/>
            </w:tcBorders>
            <w:vAlign w:val="bottom"/>
          </w:tcPr>
          <w:p w14:paraId="5DE151C8" w14:textId="77777777" w:rsidR="00DF7DBE" w:rsidRPr="00672B2A" w:rsidRDefault="00DF7DBE" w:rsidP="001707F6">
            <w:pPr>
              <w:jc w:val="right"/>
              <w:rPr>
                <w:rFonts w:ascii="Times New Roman" w:hAnsi="Times New Roman" w:cs="Times New Roman"/>
                <w:bCs/>
                <w:sz w:val="18"/>
                <w:szCs w:val="18"/>
              </w:rPr>
            </w:pPr>
          </w:p>
        </w:tc>
        <w:tc>
          <w:tcPr>
            <w:tcW w:w="0" w:type="auto"/>
            <w:tcBorders>
              <w:bottom w:val="single" w:sz="4" w:space="0" w:color="auto"/>
            </w:tcBorders>
            <w:vAlign w:val="bottom"/>
          </w:tcPr>
          <w:p w14:paraId="280B534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0.13</w:t>
            </w:r>
          </w:p>
        </w:tc>
        <w:tc>
          <w:tcPr>
            <w:tcW w:w="0" w:type="auto"/>
            <w:tcBorders>
              <w:bottom w:val="single" w:sz="4" w:space="0" w:color="auto"/>
            </w:tcBorders>
            <w:vAlign w:val="bottom"/>
          </w:tcPr>
          <w:p w14:paraId="55869AAA" w14:textId="77777777" w:rsidR="00DF7DBE" w:rsidRPr="00672B2A" w:rsidRDefault="00DF7DBE" w:rsidP="001707F6">
            <w:pPr>
              <w:jc w:val="right"/>
              <w:rPr>
                <w:rFonts w:ascii="Times New Roman" w:hAnsi="Times New Roman" w:cs="Times New Roman"/>
                <w:bCs/>
                <w:sz w:val="18"/>
                <w:szCs w:val="18"/>
              </w:rPr>
            </w:pPr>
          </w:p>
        </w:tc>
        <w:tc>
          <w:tcPr>
            <w:tcW w:w="0" w:type="auto"/>
            <w:tcBorders>
              <w:bottom w:val="single" w:sz="4" w:space="0" w:color="auto"/>
            </w:tcBorders>
            <w:vAlign w:val="bottom"/>
          </w:tcPr>
          <w:p w14:paraId="1860669D"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-0.01</w:t>
            </w:r>
          </w:p>
        </w:tc>
        <w:tc>
          <w:tcPr>
            <w:tcW w:w="0" w:type="auto"/>
            <w:tcBorders>
              <w:bottom w:val="single" w:sz="4" w:space="0" w:color="auto"/>
            </w:tcBorders>
            <w:vAlign w:val="bottom"/>
          </w:tcPr>
          <w:p w14:paraId="454D57CC"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0.18</w:t>
            </w:r>
          </w:p>
        </w:tc>
        <w:tc>
          <w:tcPr>
            <w:tcW w:w="0" w:type="auto"/>
            <w:tcBorders>
              <w:bottom w:val="single" w:sz="4" w:space="0" w:color="auto"/>
            </w:tcBorders>
            <w:vAlign w:val="bottom"/>
          </w:tcPr>
          <w:p w14:paraId="1A1EE787" w14:textId="77777777" w:rsidR="00DF7DBE" w:rsidRPr="00672B2A" w:rsidRDefault="00DF7DBE" w:rsidP="001707F6">
            <w:pPr>
              <w:jc w:val="right"/>
              <w:rPr>
                <w:rFonts w:ascii="Times New Roman" w:hAnsi="Times New Roman" w:cs="Times New Roman"/>
                <w:bCs/>
                <w:sz w:val="18"/>
                <w:szCs w:val="18"/>
              </w:rPr>
            </w:pPr>
            <w:r w:rsidRPr="00672B2A">
              <w:rPr>
                <w:rFonts w:ascii="Times New Roman" w:hAnsi="Times New Roman" w:cs="Times New Roman"/>
                <w:color w:val="000000"/>
                <w:sz w:val="18"/>
                <w:szCs w:val="18"/>
              </w:rPr>
              <w:t>2.68</w:t>
            </w:r>
          </w:p>
        </w:tc>
      </w:tr>
    </w:tbl>
    <w:p w14:paraId="5FE1AC8C" w14:textId="77777777" w:rsidR="00584AC7" w:rsidRDefault="00584AC7">
      <w:pPr>
        <w:rPr>
          <w:rFonts w:ascii="Times New Roman" w:hAnsi="Times New Roman" w:cs="Times New Roman"/>
        </w:rPr>
      </w:pPr>
    </w:p>
    <w:p w14:paraId="49B036E5" w14:textId="77777777" w:rsidR="0011032A" w:rsidRDefault="0011032A">
      <w:pPr>
        <w:rPr>
          <w:rFonts w:ascii="Times New Roman" w:hAnsi="Times New Roman" w:cs="Times New Roman"/>
        </w:rPr>
      </w:pPr>
    </w:p>
    <w:p w14:paraId="3691E32F" w14:textId="77777777" w:rsidR="0011032A" w:rsidRDefault="0011032A">
      <w:pPr>
        <w:rPr>
          <w:rFonts w:ascii="Times New Roman" w:hAnsi="Times New Roman" w:cs="Times New Roman"/>
        </w:rPr>
      </w:pPr>
    </w:p>
    <w:p w14:paraId="35660592" w14:textId="2C58644A" w:rsidR="0011032A" w:rsidRDefault="00584AC7">
      <w:pPr>
        <w:rPr>
          <w:rFonts w:ascii="Times New Roman" w:hAnsi="Times New Roman" w:cs="Times New Roman"/>
        </w:rPr>
      </w:pPr>
      <w:r>
        <w:rPr>
          <w:rFonts w:ascii="Times New Roman" w:hAnsi="Times New Roman" w:cs="Times New Roman"/>
        </w:rPr>
        <w:br w:type="page"/>
      </w:r>
    </w:p>
    <w:p w14:paraId="00166E6D" w14:textId="33DB4A08" w:rsidR="00584AC7" w:rsidRPr="004E4A91" w:rsidRDefault="00584AC7" w:rsidP="00584AC7">
      <w:pPr>
        <w:rPr>
          <w:rFonts w:ascii="Times New Roman" w:hAnsi="Times New Roman" w:cs="Times New Roman"/>
          <w:bCs/>
        </w:rPr>
      </w:pPr>
      <w:bookmarkStart w:id="105" w:name="_Toc93411185"/>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14</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rPr>
        <w:t>Top 10 models for the species scale proximate model identified by multi-model inference model selection based on AICc.</w:t>
      </w:r>
      <w:bookmarkEnd w:id="1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566"/>
        <w:gridCol w:w="861"/>
        <w:gridCol w:w="1239"/>
        <w:gridCol w:w="972"/>
        <w:gridCol w:w="950"/>
        <w:gridCol w:w="566"/>
        <w:gridCol w:w="661"/>
        <w:gridCol w:w="1372"/>
        <w:gridCol w:w="739"/>
      </w:tblGrid>
      <w:tr w:rsidR="002B2147" w:rsidRPr="008F53B3" w14:paraId="5BCED3B6" w14:textId="77777777" w:rsidTr="00A91F3E">
        <w:tc>
          <w:tcPr>
            <w:tcW w:w="0" w:type="auto"/>
            <w:tcBorders>
              <w:top w:val="single" w:sz="4" w:space="0" w:color="auto"/>
              <w:bottom w:val="single" w:sz="4" w:space="0" w:color="auto"/>
            </w:tcBorders>
            <w:vAlign w:val="bottom"/>
          </w:tcPr>
          <w:p w14:paraId="7797073D"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Rank</w:t>
            </w:r>
          </w:p>
        </w:tc>
        <w:tc>
          <w:tcPr>
            <w:tcW w:w="0" w:type="auto"/>
            <w:tcBorders>
              <w:top w:val="single" w:sz="4" w:space="0" w:color="auto"/>
              <w:bottom w:val="single" w:sz="4" w:space="0" w:color="auto"/>
            </w:tcBorders>
            <w:vAlign w:val="bottom"/>
          </w:tcPr>
          <w:p w14:paraId="77FD9F7A"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Int</w:t>
            </w:r>
            <w:r>
              <w:rPr>
                <w:rFonts w:ascii="Times New Roman" w:hAnsi="Times New Roman" w:cs="Times New Roman"/>
                <w:b/>
                <w:bCs/>
                <w:color w:val="000000"/>
                <w:sz w:val="20"/>
                <w:szCs w:val="20"/>
              </w:rPr>
              <w:t>.</w:t>
            </w:r>
          </w:p>
        </w:tc>
        <w:tc>
          <w:tcPr>
            <w:tcW w:w="0" w:type="auto"/>
            <w:tcBorders>
              <w:top w:val="single" w:sz="4" w:space="0" w:color="auto"/>
              <w:bottom w:val="single" w:sz="4" w:space="0" w:color="auto"/>
            </w:tcBorders>
            <w:vAlign w:val="bottom"/>
          </w:tcPr>
          <w:p w14:paraId="57DBFD96"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C</w:t>
            </w:r>
            <w:r>
              <w:rPr>
                <w:rFonts w:ascii="Times New Roman" w:hAnsi="Times New Roman" w:cs="Times New Roman"/>
                <w:b/>
                <w:bCs/>
                <w:color w:val="000000"/>
                <w:sz w:val="20"/>
                <w:szCs w:val="20"/>
              </w:rPr>
              <w:t>T</w:t>
            </w:r>
            <w:r w:rsidRPr="008F53B3">
              <w:rPr>
                <w:rFonts w:ascii="Times New Roman" w:hAnsi="Times New Roman" w:cs="Times New Roman"/>
                <w:b/>
                <w:bCs/>
                <w:color w:val="000000"/>
                <w:sz w:val="20"/>
                <w:szCs w:val="20"/>
              </w:rPr>
              <w:t>max</w:t>
            </w:r>
          </w:p>
        </w:tc>
        <w:tc>
          <w:tcPr>
            <w:tcW w:w="0" w:type="auto"/>
            <w:tcBorders>
              <w:top w:val="single" w:sz="4" w:space="0" w:color="auto"/>
              <w:bottom w:val="single" w:sz="4" w:space="0" w:color="auto"/>
            </w:tcBorders>
            <w:vAlign w:val="bottom"/>
          </w:tcPr>
          <w:p w14:paraId="2D9C3D7C"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DAMSTOR</w:t>
            </w:r>
          </w:p>
        </w:tc>
        <w:tc>
          <w:tcPr>
            <w:tcW w:w="0" w:type="auto"/>
            <w:tcBorders>
              <w:top w:val="single" w:sz="4" w:space="0" w:color="auto"/>
              <w:bottom w:val="single" w:sz="4" w:space="0" w:color="auto"/>
            </w:tcBorders>
            <w:vAlign w:val="bottom"/>
          </w:tcPr>
          <w:p w14:paraId="5DEF774A"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AGRWS</w:t>
            </w:r>
          </w:p>
        </w:tc>
        <w:tc>
          <w:tcPr>
            <w:tcW w:w="0" w:type="auto"/>
            <w:tcBorders>
              <w:top w:val="single" w:sz="4" w:space="0" w:color="auto"/>
              <w:bottom w:val="single" w:sz="4" w:space="0" w:color="auto"/>
            </w:tcBorders>
            <w:vAlign w:val="bottom"/>
          </w:tcPr>
          <w:p w14:paraId="46C04965"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URBWS</w:t>
            </w:r>
          </w:p>
        </w:tc>
        <w:tc>
          <w:tcPr>
            <w:tcW w:w="0" w:type="auto"/>
            <w:tcBorders>
              <w:top w:val="single" w:sz="4" w:space="0" w:color="auto"/>
              <w:bottom w:val="single" w:sz="4" w:space="0" w:color="auto"/>
            </w:tcBorders>
            <w:vAlign w:val="bottom"/>
          </w:tcPr>
          <w:p w14:paraId="59CC76AA"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Q</w:t>
            </w:r>
          </w:p>
        </w:tc>
        <w:tc>
          <w:tcPr>
            <w:tcW w:w="0" w:type="auto"/>
            <w:tcBorders>
              <w:top w:val="single" w:sz="4" w:space="0" w:color="auto"/>
              <w:bottom w:val="single" w:sz="4" w:space="0" w:color="auto"/>
            </w:tcBorders>
            <w:vAlign w:val="bottom"/>
          </w:tcPr>
          <w:p w14:paraId="13F142D5"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TMP</w:t>
            </w:r>
          </w:p>
        </w:tc>
        <w:tc>
          <w:tcPr>
            <w:tcW w:w="0" w:type="auto"/>
            <w:tcBorders>
              <w:top w:val="single" w:sz="4" w:space="0" w:color="auto"/>
              <w:bottom w:val="single" w:sz="4" w:space="0" w:color="auto"/>
            </w:tcBorders>
            <w:vAlign w:val="bottom"/>
          </w:tcPr>
          <w:p w14:paraId="299DAE83" w14:textId="77777777" w:rsidR="002B2147" w:rsidRPr="008F53B3" w:rsidRDefault="002B2147" w:rsidP="001707F6">
            <w:pPr>
              <w:rPr>
                <w:rFonts w:ascii="Times New Roman" w:hAnsi="Times New Roman" w:cs="Times New Roman"/>
                <w:b/>
                <w:bCs/>
                <w:sz w:val="20"/>
                <w:szCs w:val="20"/>
              </w:rPr>
            </w:pPr>
            <w:r w:rsidRPr="008F53B3">
              <w:rPr>
                <w:rFonts w:ascii="Times New Roman" w:hAnsi="Times New Roman" w:cs="Times New Roman"/>
                <w:b/>
                <w:bCs/>
                <w:color w:val="000000"/>
                <w:sz w:val="20"/>
                <w:szCs w:val="20"/>
              </w:rPr>
              <w:t>C</w:t>
            </w:r>
            <w:r>
              <w:rPr>
                <w:rFonts w:ascii="Times New Roman" w:hAnsi="Times New Roman" w:cs="Times New Roman"/>
                <w:b/>
                <w:bCs/>
                <w:color w:val="000000"/>
                <w:sz w:val="20"/>
                <w:szCs w:val="20"/>
              </w:rPr>
              <w:t>T</w:t>
            </w:r>
            <w:r w:rsidRPr="008F53B3">
              <w:rPr>
                <w:rFonts w:ascii="Times New Roman" w:hAnsi="Times New Roman" w:cs="Times New Roman"/>
                <w:b/>
                <w:bCs/>
                <w:color w:val="000000"/>
                <w:sz w:val="20"/>
                <w:szCs w:val="20"/>
              </w:rPr>
              <w:t>max:TMP</w:t>
            </w:r>
          </w:p>
        </w:tc>
        <w:tc>
          <w:tcPr>
            <w:tcW w:w="0" w:type="auto"/>
            <w:tcBorders>
              <w:top w:val="single" w:sz="4" w:space="0" w:color="auto"/>
              <w:bottom w:val="single" w:sz="4" w:space="0" w:color="auto"/>
            </w:tcBorders>
            <w:vAlign w:val="bottom"/>
          </w:tcPr>
          <w:p w14:paraId="0EF15822" w14:textId="02700323" w:rsidR="002B2147" w:rsidRPr="008F53B3" w:rsidRDefault="00A91F3E" w:rsidP="001707F6">
            <w:pPr>
              <w:rPr>
                <w:rFonts w:ascii="Times New Roman" w:hAnsi="Times New Roman" w:cs="Times New Roman"/>
                <w:b/>
                <w:bCs/>
                <w:sz w:val="20"/>
                <w:szCs w:val="20"/>
              </w:rPr>
            </w:pPr>
            <w:r>
              <w:rPr>
                <w:rFonts w:ascii="Times New Roman" w:hAnsi="Times New Roman" w:cs="Times New Roman"/>
                <w:b/>
                <w:bCs/>
                <w:color w:val="000000"/>
                <w:sz w:val="18"/>
                <w:szCs w:val="18"/>
              </w:rPr>
              <w:t>ΔAICc</w:t>
            </w:r>
          </w:p>
        </w:tc>
      </w:tr>
      <w:tr w:rsidR="002B2147" w:rsidRPr="008F53B3" w14:paraId="6BFE87B8" w14:textId="77777777" w:rsidTr="00A91F3E">
        <w:tc>
          <w:tcPr>
            <w:tcW w:w="0" w:type="auto"/>
            <w:tcBorders>
              <w:top w:val="single" w:sz="4" w:space="0" w:color="auto"/>
            </w:tcBorders>
            <w:vAlign w:val="bottom"/>
          </w:tcPr>
          <w:p w14:paraId="289CD24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w:t>
            </w:r>
          </w:p>
        </w:tc>
        <w:tc>
          <w:tcPr>
            <w:tcW w:w="0" w:type="auto"/>
            <w:tcBorders>
              <w:top w:val="single" w:sz="4" w:space="0" w:color="auto"/>
            </w:tcBorders>
            <w:vAlign w:val="bottom"/>
          </w:tcPr>
          <w:p w14:paraId="233B832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0.43</w:t>
            </w:r>
          </w:p>
        </w:tc>
        <w:tc>
          <w:tcPr>
            <w:tcW w:w="0" w:type="auto"/>
            <w:tcBorders>
              <w:top w:val="single" w:sz="4" w:space="0" w:color="auto"/>
            </w:tcBorders>
            <w:vAlign w:val="bottom"/>
          </w:tcPr>
          <w:p w14:paraId="3D2319BA"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069ED502"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165E5870"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3C7388B2"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374FDD7F"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0DF119E5"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-0.16</w:t>
            </w:r>
          </w:p>
        </w:tc>
        <w:tc>
          <w:tcPr>
            <w:tcW w:w="0" w:type="auto"/>
            <w:tcBorders>
              <w:top w:val="single" w:sz="4" w:space="0" w:color="auto"/>
            </w:tcBorders>
            <w:vAlign w:val="bottom"/>
          </w:tcPr>
          <w:p w14:paraId="757B27FA" w14:textId="77777777" w:rsidR="002B2147" w:rsidRPr="008F53B3" w:rsidRDefault="002B2147" w:rsidP="001707F6">
            <w:pPr>
              <w:jc w:val="right"/>
              <w:rPr>
                <w:rFonts w:ascii="Times New Roman" w:hAnsi="Times New Roman" w:cs="Times New Roman"/>
                <w:bCs/>
                <w:sz w:val="20"/>
                <w:szCs w:val="20"/>
              </w:rPr>
            </w:pPr>
          </w:p>
        </w:tc>
        <w:tc>
          <w:tcPr>
            <w:tcW w:w="0" w:type="auto"/>
            <w:tcBorders>
              <w:top w:val="single" w:sz="4" w:space="0" w:color="auto"/>
            </w:tcBorders>
            <w:vAlign w:val="bottom"/>
          </w:tcPr>
          <w:p w14:paraId="044F29A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0.00</w:t>
            </w:r>
          </w:p>
        </w:tc>
      </w:tr>
      <w:tr w:rsidR="002B2147" w:rsidRPr="008F53B3" w14:paraId="16D0CF2B" w14:textId="77777777" w:rsidTr="00A91F3E">
        <w:tc>
          <w:tcPr>
            <w:tcW w:w="0" w:type="auto"/>
            <w:vAlign w:val="bottom"/>
          </w:tcPr>
          <w:p w14:paraId="1EA98EB0"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2</w:t>
            </w:r>
          </w:p>
        </w:tc>
        <w:tc>
          <w:tcPr>
            <w:tcW w:w="0" w:type="auto"/>
            <w:vAlign w:val="bottom"/>
          </w:tcPr>
          <w:p w14:paraId="69D3BEB1"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0.43</w:t>
            </w:r>
          </w:p>
        </w:tc>
        <w:tc>
          <w:tcPr>
            <w:tcW w:w="0" w:type="auto"/>
            <w:vAlign w:val="bottom"/>
          </w:tcPr>
          <w:p w14:paraId="7B47747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-0.16</w:t>
            </w:r>
          </w:p>
        </w:tc>
        <w:tc>
          <w:tcPr>
            <w:tcW w:w="0" w:type="auto"/>
            <w:vAlign w:val="bottom"/>
          </w:tcPr>
          <w:p w14:paraId="7F4B4C0C"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06B15456"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5BFD10FA"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16812755"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73CE998E"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-0.13</w:t>
            </w:r>
          </w:p>
        </w:tc>
        <w:tc>
          <w:tcPr>
            <w:tcW w:w="0" w:type="auto"/>
            <w:vAlign w:val="bottom"/>
          </w:tcPr>
          <w:p w14:paraId="57E5C6D5"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3D94F6E7"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0.14</w:t>
            </w:r>
          </w:p>
        </w:tc>
      </w:tr>
      <w:tr w:rsidR="002B2147" w:rsidRPr="008F53B3" w14:paraId="591C29C3" w14:textId="77777777" w:rsidTr="00A91F3E">
        <w:tc>
          <w:tcPr>
            <w:tcW w:w="0" w:type="auto"/>
            <w:vAlign w:val="bottom"/>
          </w:tcPr>
          <w:p w14:paraId="63A85087"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3</w:t>
            </w:r>
          </w:p>
        </w:tc>
        <w:tc>
          <w:tcPr>
            <w:tcW w:w="0" w:type="auto"/>
            <w:vAlign w:val="bottom"/>
          </w:tcPr>
          <w:p w14:paraId="4B2635D1"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0.40</w:t>
            </w:r>
          </w:p>
        </w:tc>
        <w:tc>
          <w:tcPr>
            <w:tcW w:w="0" w:type="auto"/>
            <w:vAlign w:val="bottom"/>
          </w:tcPr>
          <w:p w14:paraId="13EB668C"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-0.17</w:t>
            </w:r>
          </w:p>
        </w:tc>
        <w:tc>
          <w:tcPr>
            <w:tcW w:w="0" w:type="auto"/>
            <w:vAlign w:val="bottom"/>
          </w:tcPr>
          <w:p w14:paraId="48C9D79C"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026151D8"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6A8D7A99"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0.14</w:t>
            </w:r>
          </w:p>
        </w:tc>
        <w:tc>
          <w:tcPr>
            <w:tcW w:w="0" w:type="auto"/>
            <w:vAlign w:val="bottom"/>
          </w:tcPr>
          <w:p w14:paraId="50A52317"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0.10</w:t>
            </w:r>
          </w:p>
        </w:tc>
        <w:tc>
          <w:tcPr>
            <w:tcW w:w="0" w:type="auto"/>
            <w:vAlign w:val="bottom"/>
          </w:tcPr>
          <w:p w14:paraId="6A3FFC39"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33BC12DD"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DCD53FF"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0.89</w:t>
            </w:r>
          </w:p>
        </w:tc>
      </w:tr>
      <w:tr w:rsidR="002B2147" w:rsidRPr="008F53B3" w14:paraId="582A00A6" w14:textId="77777777" w:rsidTr="00A91F3E">
        <w:tc>
          <w:tcPr>
            <w:tcW w:w="0" w:type="auto"/>
            <w:vAlign w:val="bottom"/>
          </w:tcPr>
          <w:p w14:paraId="287B0CA9"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4</w:t>
            </w:r>
          </w:p>
        </w:tc>
        <w:tc>
          <w:tcPr>
            <w:tcW w:w="0" w:type="auto"/>
            <w:vAlign w:val="bottom"/>
          </w:tcPr>
          <w:p w14:paraId="13A17BA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0.42</w:t>
            </w:r>
          </w:p>
        </w:tc>
        <w:tc>
          <w:tcPr>
            <w:tcW w:w="0" w:type="auto"/>
            <w:vAlign w:val="bottom"/>
          </w:tcPr>
          <w:p w14:paraId="35124BE1"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-0.17</w:t>
            </w:r>
          </w:p>
        </w:tc>
        <w:tc>
          <w:tcPr>
            <w:tcW w:w="0" w:type="auto"/>
            <w:vAlign w:val="bottom"/>
          </w:tcPr>
          <w:p w14:paraId="19F5BAC7"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030B1513"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5B3436E5"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0.07</w:t>
            </w:r>
          </w:p>
        </w:tc>
        <w:tc>
          <w:tcPr>
            <w:tcW w:w="0" w:type="auto"/>
            <w:vAlign w:val="bottom"/>
          </w:tcPr>
          <w:p w14:paraId="7D2AC37C"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6C9A6A2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7AE7289D"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30556C57"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1.05</w:t>
            </w:r>
          </w:p>
        </w:tc>
      </w:tr>
      <w:tr w:rsidR="002B2147" w:rsidRPr="008F53B3" w14:paraId="03B44D0A" w14:textId="77777777" w:rsidTr="00A91F3E">
        <w:tc>
          <w:tcPr>
            <w:tcW w:w="0" w:type="auto"/>
            <w:vAlign w:val="bottom"/>
          </w:tcPr>
          <w:p w14:paraId="5E67BF3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5</w:t>
            </w:r>
          </w:p>
        </w:tc>
        <w:tc>
          <w:tcPr>
            <w:tcW w:w="0" w:type="auto"/>
            <w:vAlign w:val="bottom"/>
          </w:tcPr>
          <w:p w14:paraId="4D206652"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0.42</w:t>
            </w:r>
          </w:p>
        </w:tc>
        <w:tc>
          <w:tcPr>
            <w:tcW w:w="0" w:type="auto"/>
            <w:vAlign w:val="bottom"/>
          </w:tcPr>
          <w:p w14:paraId="6F02257D"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065141C"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00C15F00"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15663AE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0.06</w:t>
            </w:r>
          </w:p>
        </w:tc>
        <w:tc>
          <w:tcPr>
            <w:tcW w:w="0" w:type="auto"/>
            <w:vAlign w:val="bottom"/>
          </w:tcPr>
          <w:p w14:paraId="0DEE505E"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0A8DD7B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-0.19</w:t>
            </w:r>
          </w:p>
        </w:tc>
        <w:tc>
          <w:tcPr>
            <w:tcW w:w="0" w:type="auto"/>
            <w:vAlign w:val="bottom"/>
          </w:tcPr>
          <w:p w14:paraId="7E995417"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5A3378F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1.07</w:t>
            </w:r>
          </w:p>
        </w:tc>
      </w:tr>
      <w:tr w:rsidR="002B2147" w:rsidRPr="008F53B3" w14:paraId="2453C62B" w14:textId="77777777" w:rsidTr="00A91F3E">
        <w:tc>
          <w:tcPr>
            <w:tcW w:w="0" w:type="auto"/>
            <w:vAlign w:val="bottom"/>
          </w:tcPr>
          <w:p w14:paraId="36FC19A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6</w:t>
            </w:r>
          </w:p>
        </w:tc>
        <w:tc>
          <w:tcPr>
            <w:tcW w:w="0" w:type="auto"/>
            <w:vAlign w:val="bottom"/>
          </w:tcPr>
          <w:p w14:paraId="0071DFA9"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0.40</w:t>
            </w:r>
          </w:p>
        </w:tc>
        <w:tc>
          <w:tcPr>
            <w:tcW w:w="0" w:type="auto"/>
            <w:vAlign w:val="bottom"/>
          </w:tcPr>
          <w:p w14:paraId="2B9E19C2"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6B4EE644"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CE4AC49"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7BB24C3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0.13</w:t>
            </w:r>
          </w:p>
        </w:tc>
        <w:tc>
          <w:tcPr>
            <w:tcW w:w="0" w:type="auto"/>
            <w:vAlign w:val="bottom"/>
          </w:tcPr>
          <w:p w14:paraId="02223F0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0.10</w:t>
            </w:r>
          </w:p>
        </w:tc>
        <w:tc>
          <w:tcPr>
            <w:tcW w:w="0" w:type="auto"/>
            <w:vAlign w:val="bottom"/>
          </w:tcPr>
          <w:p w14:paraId="76D7FA94"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-0.18</w:t>
            </w:r>
          </w:p>
        </w:tc>
        <w:tc>
          <w:tcPr>
            <w:tcW w:w="0" w:type="auto"/>
            <w:vAlign w:val="bottom"/>
          </w:tcPr>
          <w:p w14:paraId="56B4EB37"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3DD856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1.08</w:t>
            </w:r>
          </w:p>
        </w:tc>
      </w:tr>
      <w:tr w:rsidR="002B2147" w:rsidRPr="008F53B3" w14:paraId="7FB90BD1" w14:textId="77777777" w:rsidTr="00A91F3E">
        <w:tc>
          <w:tcPr>
            <w:tcW w:w="0" w:type="auto"/>
            <w:vAlign w:val="bottom"/>
          </w:tcPr>
          <w:p w14:paraId="3CE61BD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7</w:t>
            </w:r>
          </w:p>
        </w:tc>
        <w:tc>
          <w:tcPr>
            <w:tcW w:w="0" w:type="auto"/>
            <w:vAlign w:val="bottom"/>
          </w:tcPr>
          <w:p w14:paraId="62C7C89F"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0.42</w:t>
            </w:r>
          </w:p>
        </w:tc>
        <w:tc>
          <w:tcPr>
            <w:tcW w:w="0" w:type="auto"/>
            <w:vAlign w:val="bottom"/>
          </w:tcPr>
          <w:p w14:paraId="256865B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-0.17</w:t>
            </w:r>
          </w:p>
        </w:tc>
        <w:tc>
          <w:tcPr>
            <w:tcW w:w="0" w:type="auto"/>
            <w:vAlign w:val="bottom"/>
          </w:tcPr>
          <w:p w14:paraId="3112CAD0"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38FB634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0.04</w:t>
            </w:r>
          </w:p>
        </w:tc>
        <w:tc>
          <w:tcPr>
            <w:tcW w:w="0" w:type="auto"/>
            <w:vAlign w:val="bottom"/>
          </w:tcPr>
          <w:p w14:paraId="1F1C9334"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264807C3"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345E7D7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-0.10</w:t>
            </w:r>
          </w:p>
        </w:tc>
        <w:tc>
          <w:tcPr>
            <w:tcW w:w="0" w:type="auto"/>
            <w:vAlign w:val="bottom"/>
          </w:tcPr>
          <w:p w14:paraId="27FFE57F"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133F555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1.68</w:t>
            </w:r>
          </w:p>
        </w:tc>
      </w:tr>
      <w:tr w:rsidR="002B2147" w:rsidRPr="008F53B3" w14:paraId="5C51F29C" w14:textId="77777777" w:rsidTr="00A91F3E">
        <w:tc>
          <w:tcPr>
            <w:tcW w:w="0" w:type="auto"/>
            <w:vAlign w:val="bottom"/>
          </w:tcPr>
          <w:p w14:paraId="790759BE"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8</w:t>
            </w:r>
          </w:p>
        </w:tc>
        <w:tc>
          <w:tcPr>
            <w:tcW w:w="0" w:type="auto"/>
            <w:vAlign w:val="bottom"/>
          </w:tcPr>
          <w:p w14:paraId="2A0AC1F0"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0.36</w:t>
            </w:r>
          </w:p>
        </w:tc>
        <w:tc>
          <w:tcPr>
            <w:tcW w:w="0" w:type="auto"/>
            <w:vAlign w:val="bottom"/>
          </w:tcPr>
          <w:p w14:paraId="79BEEE0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2CBE5437"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1CB19B86"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64A8197A"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1FE64732"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0.13</w:t>
            </w:r>
          </w:p>
        </w:tc>
        <w:tc>
          <w:tcPr>
            <w:tcW w:w="0" w:type="auto"/>
            <w:vAlign w:val="bottom"/>
          </w:tcPr>
          <w:p w14:paraId="604615E4"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7BC2A5AA"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0.07</w:t>
            </w:r>
          </w:p>
        </w:tc>
        <w:tc>
          <w:tcPr>
            <w:tcW w:w="0" w:type="auto"/>
            <w:vAlign w:val="bottom"/>
          </w:tcPr>
          <w:p w14:paraId="6A550FF4"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1.76</w:t>
            </w:r>
          </w:p>
        </w:tc>
      </w:tr>
      <w:tr w:rsidR="002B2147" w:rsidRPr="008F53B3" w14:paraId="4E42C6F0" w14:textId="77777777" w:rsidTr="00A91F3E">
        <w:tc>
          <w:tcPr>
            <w:tcW w:w="0" w:type="auto"/>
            <w:vAlign w:val="bottom"/>
          </w:tcPr>
          <w:p w14:paraId="4ED524E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9</w:t>
            </w:r>
          </w:p>
        </w:tc>
        <w:tc>
          <w:tcPr>
            <w:tcW w:w="0" w:type="auto"/>
            <w:vAlign w:val="bottom"/>
          </w:tcPr>
          <w:p w14:paraId="61F4E69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0.42</w:t>
            </w:r>
          </w:p>
        </w:tc>
        <w:tc>
          <w:tcPr>
            <w:tcW w:w="0" w:type="auto"/>
            <w:vAlign w:val="bottom"/>
          </w:tcPr>
          <w:p w14:paraId="0B400030"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3153DB2C"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790C077D"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0.03</w:t>
            </w:r>
          </w:p>
        </w:tc>
        <w:tc>
          <w:tcPr>
            <w:tcW w:w="0" w:type="auto"/>
            <w:vAlign w:val="bottom"/>
          </w:tcPr>
          <w:p w14:paraId="5D8844D0"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FC4C9E3"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4B81D9A3"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-0.15</w:t>
            </w:r>
          </w:p>
        </w:tc>
        <w:tc>
          <w:tcPr>
            <w:tcW w:w="0" w:type="auto"/>
            <w:vAlign w:val="bottom"/>
          </w:tcPr>
          <w:p w14:paraId="4F8729B1" w14:textId="77777777" w:rsidR="002B2147" w:rsidRPr="008F53B3" w:rsidRDefault="002B2147" w:rsidP="001707F6">
            <w:pPr>
              <w:jc w:val="right"/>
              <w:rPr>
                <w:rFonts w:ascii="Times New Roman" w:hAnsi="Times New Roman" w:cs="Times New Roman"/>
                <w:bCs/>
                <w:sz w:val="20"/>
                <w:szCs w:val="20"/>
              </w:rPr>
            </w:pPr>
          </w:p>
        </w:tc>
        <w:tc>
          <w:tcPr>
            <w:tcW w:w="0" w:type="auto"/>
            <w:vAlign w:val="bottom"/>
          </w:tcPr>
          <w:p w14:paraId="7904F54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1.77</w:t>
            </w:r>
          </w:p>
        </w:tc>
      </w:tr>
      <w:tr w:rsidR="002B2147" w:rsidRPr="008F53B3" w14:paraId="11652B9E" w14:textId="77777777" w:rsidTr="00A91F3E">
        <w:tc>
          <w:tcPr>
            <w:tcW w:w="0" w:type="auto"/>
            <w:tcBorders>
              <w:bottom w:val="single" w:sz="4" w:space="0" w:color="auto"/>
            </w:tcBorders>
            <w:vAlign w:val="bottom"/>
          </w:tcPr>
          <w:p w14:paraId="72D6C1B9"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10</w:t>
            </w:r>
          </w:p>
        </w:tc>
        <w:tc>
          <w:tcPr>
            <w:tcW w:w="0" w:type="auto"/>
            <w:tcBorders>
              <w:bottom w:val="single" w:sz="4" w:space="0" w:color="auto"/>
            </w:tcBorders>
            <w:vAlign w:val="bottom"/>
          </w:tcPr>
          <w:p w14:paraId="33D2BC8F"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0.43</w:t>
            </w:r>
          </w:p>
        </w:tc>
        <w:tc>
          <w:tcPr>
            <w:tcW w:w="0" w:type="auto"/>
            <w:tcBorders>
              <w:bottom w:val="single" w:sz="4" w:space="0" w:color="auto"/>
            </w:tcBorders>
            <w:vAlign w:val="bottom"/>
          </w:tcPr>
          <w:p w14:paraId="36989896" w14:textId="77777777" w:rsidR="002B2147" w:rsidRPr="008F53B3" w:rsidRDefault="002B2147" w:rsidP="001707F6">
            <w:pPr>
              <w:jc w:val="right"/>
              <w:rPr>
                <w:rFonts w:ascii="Times New Roman" w:hAnsi="Times New Roman" w:cs="Times New Roman"/>
                <w:bCs/>
                <w:sz w:val="20"/>
                <w:szCs w:val="20"/>
              </w:rPr>
            </w:pPr>
          </w:p>
        </w:tc>
        <w:tc>
          <w:tcPr>
            <w:tcW w:w="0" w:type="auto"/>
            <w:tcBorders>
              <w:bottom w:val="single" w:sz="4" w:space="0" w:color="auto"/>
            </w:tcBorders>
            <w:vAlign w:val="bottom"/>
          </w:tcPr>
          <w:p w14:paraId="172275C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-0.02</w:t>
            </w:r>
          </w:p>
        </w:tc>
        <w:tc>
          <w:tcPr>
            <w:tcW w:w="0" w:type="auto"/>
            <w:tcBorders>
              <w:bottom w:val="single" w:sz="4" w:space="0" w:color="auto"/>
            </w:tcBorders>
            <w:vAlign w:val="bottom"/>
          </w:tcPr>
          <w:p w14:paraId="200D317B" w14:textId="77777777" w:rsidR="002B2147" w:rsidRPr="008F53B3" w:rsidRDefault="002B2147" w:rsidP="001707F6">
            <w:pPr>
              <w:jc w:val="right"/>
              <w:rPr>
                <w:rFonts w:ascii="Times New Roman" w:hAnsi="Times New Roman" w:cs="Times New Roman"/>
                <w:bCs/>
                <w:sz w:val="20"/>
                <w:szCs w:val="20"/>
              </w:rPr>
            </w:pPr>
          </w:p>
        </w:tc>
        <w:tc>
          <w:tcPr>
            <w:tcW w:w="0" w:type="auto"/>
            <w:tcBorders>
              <w:bottom w:val="single" w:sz="4" w:space="0" w:color="auto"/>
            </w:tcBorders>
            <w:vAlign w:val="bottom"/>
          </w:tcPr>
          <w:p w14:paraId="352FFB86" w14:textId="77777777" w:rsidR="002B2147" w:rsidRPr="008F53B3" w:rsidRDefault="002B2147" w:rsidP="001707F6">
            <w:pPr>
              <w:jc w:val="right"/>
              <w:rPr>
                <w:rFonts w:ascii="Times New Roman" w:hAnsi="Times New Roman" w:cs="Times New Roman"/>
                <w:bCs/>
                <w:sz w:val="20"/>
                <w:szCs w:val="20"/>
              </w:rPr>
            </w:pPr>
          </w:p>
        </w:tc>
        <w:tc>
          <w:tcPr>
            <w:tcW w:w="0" w:type="auto"/>
            <w:tcBorders>
              <w:bottom w:val="single" w:sz="4" w:space="0" w:color="auto"/>
            </w:tcBorders>
            <w:vAlign w:val="bottom"/>
          </w:tcPr>
          <w:p w14:paraId="0CD1143B" w14:textId="77777777" w:rsidR="002B2147" w:rsidRPr="008F53B3" w:rsidRDefault="002B2147" w:rsidP="001707F6">
            <w:pPr>
              <w:jc w:val="right"/>
              <w:rPr>
                <w:rFonts w:ascii="Times New Roman" w:hAnsi="Times New Roman" w:cs="Times New Roman"/>
                <w:bCs/>
                <w:sz w:val="20"/>
                <w:szCs w:val="20"/>
              </w:rPr>
            </w:pPr>
          </w:p>
        </w:tc>
        <w:tc>
          <w:tcPr>
            <w:tcW w:w="0" w:type="auto"/>
            <w:tcBorders>
              <w:bottom w:val="single" w:sz="4" w:space="0" w:color="auto"/>
            </w:tcBorders>
            <w:vAlign w:val="bottom"/>
          </w:tcPr>
          <w:p w14:paraId="4C01D906"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-0.16</w:t>
            </w:r>
          </w:p>
        </w:tc>
        <w:tc>
          <w:tcPr>
            <w:tcW w:w="0" w:type="auto"/>
            <w:tcBorders>
              <w:bottom w:val="single" w:sz="4" w:space="0" w:color="auto"/>
            </w:tcBorders>
            <w:vAlign w:val="bottom"/>
          </w:tcPr>
          <w:p w14:paraId="7DEFA0DB" w14:textId="77777777" w:rsidR="002B2147" w:rsidRPr="008F53B3" w:rsidRDefault="002B2147" w:rsidP="001707F6">
            <w:pPr>
              <w:jc w:val="right"/>
              <w:rPr>
                <w:rFonts w:ascii="Times New Roman" w:hAnsi="Times New Roman" w:cs="Times New Roman"/>
                <w:bCs/>
                <w:sz w:val="20"/>
                <w:szCs w:val="20"/>
              </w:rPr>
            </w:pPr>
          </w:p>
        </w:tc>
        <w:tc>
          <w:tcPr>
            <w:tcW w:w="0" w:type="auto"/>
            <w:tcBorders>
              <w:bottom w:val="single" w:sz="4" w:space="0" w:color="auto"/>
            </w:tcBorders>
            <w:vAlign w:val="bottom"/>
          </w:tcPr>
          <w:p w14:paraId="0849C708" w14:textId="77777777" w:rsidR="002B2147" w:rsidRPr="008F53B3" w:rsidRDefault="002B2147" w:rsidP="001707F6">
            <w:pPr>
              <w:jc w:val="right"/>
              <w:rPr>
                <w:rFonts w:ascii="Times New Roman" w:hAnsi="Times New Roman" w:cs="Times New Roman"/>
                <w:bCs/>
                <w:sz w:val="20"/>
                <w:szCs w:val="20"/>
              </w:rPr>
            </w:pPr>
            <w:r w:rsidRPr="008F53B3">
              <w:rPr>
                <w:rFonts w:ascii="Times New Roman" w:hAnsi="Times New Roman" w:cs="Times New Roman"/>
                <w:color w:val="000000"/>
                <w:sz w:val="20"/>
                <w:szCs w:val="20"/>
              </w:rPr>
              <w:t>1.91</w:t>
            </w:r>
          </w:p>
        </w:tc>
      </w:tr>
    </w:tbl>
    <w:p w14:paraId="4AADD33D" w14:textId="77777777" w:rsidR="00584AC7" w:rsidRDefault="00584AC7">
      <w:pPr>
        <w:rPr>
          <w:rFonts w:ascii="Times New Roman" w:hAnsi="Times New Roman" w:cs="Times New Roman"/>
        </w:rPr>
      </w:pPr>
    </w:p>
    <w:p w14:paraId="78B8FC9C" w14:textId="71E5454F" w:rsidR="00584AC7" w:rsidRDefault="00584AC7" w:rsidP="00584AC7">
      <w:pPr>
        <w:rPr>
          <w:rFonts w:ascii="Times New Roman" w:hAnsi="Times New Roman" w:cs="Times New Roman"/>
        </w:rPr>
      </w:pPr>
      <w:r>
        <w:rPr>
          <w:rFonts w:ascii="Times New Roman" w:hAnsi="Times New Roman" w:cs="Times New Roman"/>
        </w:rPr>
        <w:br w:type="page"/>
      </w:r>
    </w:p>
    <w:p w14:paraId="6CA6EDD9" w14:textId="7EB3DF75" w:rsidR="00584AC7" w:rsidRPr="004E4A91" w:rsidRDefault="00584AC7" w:rsidP="00584AC7">
      <w:pPr>
        <w:rPr>
          <w:rFonts w:ascii="Times New Roman" w:hAnsi="Times New Roman" w:cs="Times New Roman"/>
          <w:b/>
        </w:rPr>
      </w:pPr>
      <w:bookmarkStart w:id="106" w:name="_Toc93411186"/>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15</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rPr>
        <w:t>Top 10 models for the population scale proximate model identified by multi-model inference model selection based on AICc.</w:t>
      </w:r>
      <w:bookmarkEnd w:id="106"/>
    </w:p>
    <w:tbl>
      <w:tblPr>
        <w:tblStyle w:val="TableGrid"/>
        <w:tblW w:w="3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566"/>
        <w:gridCol w:w="861"/>
        <w:gridCol w:w="728"/>
        <w:gridCol w:w="972"/>
        <w:gridCol w:w="950"/>
        <w:gridCol w:w="950"/>
        <w:gridCol w:w="566"/>
        <w:gridCol w:w="661"/>
        <w:gridCol w:w="661"/>
        <w:gridCol w:w="739"/>
      </w:tblGrid>
      <w:tr w:rsidR="002B2147" w:rsidRPr="00A11B55" w14:paraId="0AF18799" w14:textId="77777777" w:rsidTr="002B2147">
        <w:tc>
          <w:tcPr>
            <w:tcW w:w="417" w:type="pct"/>
            <w:tcBorders>
              <w:top w:val="single" w:sz="4" w:space="0" w:color="auto"/>
              <w:bottom w:val="single" w:sz="4" w:space="0" w:color="auto"/>
            </w:tcBorders>
            <w:vAlign w:val="bottom"/>
          </w:tcPr>
          <w:p w14:paraId="5AFF8768"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Rank</w:t>
            </w:r>
          </w:p>
        </w:tc>
        <w:tc>
          <w:tcPr>
            <w:tcW w:w="352" w:type="pct"/>
            <w:tcBorders>
              <w:top w:val="single" w:sz="4" w:space="0" w:color="auto"/>
              <w:bottom w:val="single" w:sz="4" w:space="0" w:color="auto"/>
            </w:tcBorders>
            <w:vAlign w:val="bottom"/>
          </w:tcPr>
          <w:p w14:paraId="17FA7813"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Int</w:t>
            </w:r>
            <w:r>
              <w:rPr>
                <w:rFonts w:ascii="Times New Roman" w:hAnsi="Times New Roman" w:cs="Times New Roman"/>
                <w:b/>
                <w:bCs/>
                <w:color w:val="000000"/>
                <w:sz w:val="20"/>
                <w:szCs w:val="20"/>
              </w:rPr>
              <w:t>.</w:t>
            </w:r>
          </w:p>
        </w:tc>
        <w:tc>
          <w:tcPr>
            <w:tcW w:w="517" w:type="pct"/>
            <w:tcBorders>
              <w:top w:val="single" w:sz="4" w:space="0" w:color="auto"/>
              <w:bottom w:val="single" w:sz="4" w:space="0" w:color="auto"/>
            </w:tcBorders>
            <w:vAlign w:val="bottom"/>
          </w:tcPr>
          <w:p w14:paraId="7EDD3BD4"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C</w:t>
            </w:r>
            <w:r>
              <w:rPr>
                <w:rFonts w:ascii="Times New Roman" w:hAnsi="Times New Roman" w:cs="Times New Roman"/>
                <w:b/>
                <w:bCs/>
                <w:color w:val="000000"/>
                <w:sz w:val="20"/>
                <w:szCs w:val="20"/>
              </w:rPr>
              <w:t>T</w:t>
            </w:r>
            <w:r w:rsidRPr="00A11B55">
              <w:rPr>
                <w:rFonts w:ascii="Times New Roman" w:hAnsi="Times New Roman" w:cs="Times New Roman"/>
                <w:b/>
                <w:bCs/>
                <w:color w:val="000000"/>
                <w:sz w:val="20"/>
                <w:szCs w:val="20"/>
              </w:rPr>
              <w:t>max</w:t>
            </w:r>
          </w:p>
        </w:tc>
        <w:tc>
          <w:tcPr>
            <w:tcW w:w="443" w:type="pct"/>
            <w:tcBorders>
              <w:top w:val="single" w:sz="4" w:space="0" w:color="auto"/>
              <w:bottom w:val="single" w:sz="4" w:space="0" w:color="auto"/>
            </w:tcBorders>
            <w:vAlign w:val="bottom"/>
          </w:tcPr>
          <w:p w14:paraId="084D266F"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NDVI</w:t>
            </w:r>
          </w:p>
        </w:tc>
        <w:tc>
          <w:tcPr>
            <w:tcW w:w="579" w:type="pct"/>
            <w:tcBorders>
              <w:top w:val="single" w:sz="4" w:space="0" w:color="auto"/>
              <w:bottom w:val="single" w:sz="4" w:space="0" w:color="auto"/>
            </w:tcBorders>
            <w:vAlign w:val="bottom"/>
          </w:tcPr>
          <w:p w14:paraId="12C831E4"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AGRWS</w:t>
            </w:r>
          </w:p>
        </w:tc>
        <w:tc>
          <w:tcPr>
            <w:tcW w:w="567" w:type="pct"/>
            <w:tcBorders>
              <w:top w:val="single" w:sz="4" w:space="0" w:color="auto"/>
              <w:bottom w:val="single" w:sz="4" w:space="0" w:color="auto"/>
            </w:tcBorders>
            <w:vAlign w:val="bottom"/>
          </w:tcPr>
          <w:p w14:paraId="252EA8D5"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FORWS</w:t>
            </w:r>
          </w:p>
        </w:tc>
        <w:tc>
          <w:tcPr>
            <w:tcW w:w="567" w:type="pct"/>
            <w:tcBorders>
              <w:top w:val="single" w:sz="4" w:space="0" w:color="auto"/>
              <w:bottom w:val="single" w:sz="4" w:space="0" w:color="auto"/>
            </w:tcBorders>
            <w:vAlign w:val="bottom"/>
          </w:tcPr>
          <w:p w14:paraId="0A0FC547"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URBWS</w:t>
            </w:r>
          </w:p>
        </w:tc>
        <w:tc>
          <w:tcPr>
            <w:tcW w:w="353" w:type="pct"/>
            <w:tcBorders>
              <w:top w:val="single" w:sz="4" w:space="0" w:color="auto"/>
              <w:bottom w:val="single" w:sz="4" w:space="0" w:color="auto"/>
            </w:tcBorders>
            <w:vAlign w:val="bottom"/>
          </w:tcPr>
          <w:p w14:paraId="1A0FFCBA"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Q</w:t>
            </w:r>
          </w:p>
        </w:tc>
        <w:tc>
          <w:tcPr>
            <w:tcW w:w="406" w:type="pct"/>
            <w:tcBorders>
              <w:top w:val="single" w:sz="4" w:space="0" w:color="auto"/>
              <w:bottom w:val="single" w:sz="4" w:space="0" w:color="auto"/>
            </w:tcBorders>
            <w:vAlign w:val="bottom"/>
          </w:tcPr>
          <w:p w14:paraId="725F2D6E"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QCV</w:t>
            </w:r>
          </w:p>
        </w:tc>
        <w:tc>
          <w:tcPr>
            <w:tcW w:w="406" w:type="pct"/>
            <w:tcBorders>
              <w:top w:val="single" w:sz="4" w:space="0" w:color="auto"/>
              <w:bottom w:val="single" w:sz="4" w:space="0" w:color="auto"/>
            </w:tcBorders>
            <w:vAlign w:val="bottom"/>
          </w:tcPr>
          <w:p w14:paraId="485EC833" w14:textId="77777777" w:rsidR="002B2147" w:rsidRPr="00A11B55" w:rsidRDefault="002B2147" w:rsidP="001707F6">
            <w:pPr>
              <w:rPr>
                <w:rFonts w:ascii="Times New Roman" w:hAnsi="Times New Roman" w:cs="Times New Roman"/>
                <w:b/>
                <w:bCs/>
                <w:sz w:val="20"/>
                <w:szCs w:val="20"/>
              </w:rPr>
            </w:pPr>
            <w:r w:rsidRPr="00A11B55">
              <w:rPr>
                <w:rFonts w:ascii="Times New Roman" w:hAnsi="Times New Roman" w:cs="Times New Roman"/>
                <w:b/>
                <w:bCs/>
                <w:color w:val="000000"/>
                <w:sz w:val="20"/>
                <w:szCs w:val="20"/>
              </w:rPr>
              <w:t>TMP</w:t>
            </w:r>
          </w:p>
        </w:tc>
        <w:tc>
          <w:tcPr>
            <w:tcW w:w="394" w:type="pct"/>
            <w:tcBorders>
              <w:top w:val="single" w:sz="4" w:space="0" w:color="auto"/>
              <w:bottom w:val="single" w:sz="4" w:space="0" w:color="auto"/>
            </w:tcBorders>
            <w:vAlign w:val="bottom"/>
          </w:tcPr>
          <w:p w14:paraId="13B1114E" w14:textId="7D92E9E2" w:rsidR="002B2147" w:rsidRPr="00A11B55" w:rsidRDefault="00A91F3E" w:rsidP="001707F6">
            <w:pPr>
              <w:rPr>
                <w:rFonts w:ascii="Times New Roman" w:hAnsi="Times New Roman" w:cs="Times New Roman"/>
                <w:b/>
                <w:bCs/>
                <w:sz w:val="20"/>
                <w:szCs w:val="20"/>
              </w:rPr>
            </w:pPr>
            <w:r>
              <w:rPr>
                <w:rFonts w:ascii="Times New Roman" w:hAnsi="Times New Roman" w:cs="Times New Roman"/>
                <w:b/>
                <w:bCs/>
                <w:color w:val="000000"/>
                <w:sz w:val="18"/>
                <w:szCs w:val="18"/>
              </w:rPr>
              <w:t>ΔAICc</w:t>
            </w:r>
          </w:p>
        </w:tc>
      </w:tr>
      <w:tr w:rsidR="002B2147" w:rsidRPr="00A11B55" w14:paraId="2818CC37" w14:textId="77777777" w:rsidTr="002B2147">
        <w:tc>
          <w:tcPr>
            <w:tcW w:w="417" w:type="pct"/>
            <w:tcBorders>
              <w:top w:val="single" w:sz="4" w:space="0" w:color="auto"/>
            </w:tcBorders>
            <w:vAlign w:val="bottom"/>
          </w:tcPr>
          <w:p w14:paraId="6EEBBD2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w:t>
            </w:r>
          </w:p>
        </w:tc>
        <w:tc>
          <w:tcPr>
            <w:tcW w:w="352" w:type="pct"/>
            <w:tcBorders>
              <w:top w:val="single" w:sz="4" w:space="0" w:color="auto"/>
            </w:tcBorders>
            <w:vAlign w:val="bottom"/>
          </w:tcPr>
          <w:p w14:paraId="64C3EFA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tcBorders>
              <w:top w:val="single" w:sz="4" w:space="0" w:color="auto"/>
            </w:tcBorders>
            <w:vAlign w:val="bottom"/>
          </w:tcPr>
          <w:p w14:paraId="4BCD06D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-0.16</w:t>
            </w:r>
          </w:p>
        </w:tc>
        <w:tc>
          <w:tcPr>
            <w:tcW w:w="443" w:type="pct"/>
            <w:tcBorders>
              <w:top w:val="single" w:sz="4" w:space="0" w:color="auto"/>
            </w:tcBorders>
            <w:vAlign w:val="bottom"/>
          </w:tcPr>
          <w:p w14:paraId="138D7DDE"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-0.04</w:t>
            </w:r>
          </w:p>
        </w:tc>
        <w:tc>
          <w:tcPr>
            <w:tcW w:w="579" w:type="pct"/>
            <w:tcBorders>
              <w:top w:val="single" w:sz="4" w:space="0" w:color="auto"/>
            </w:tcBorders>
            <w:vAlign w:val="bottom"/>
          </w:tcPr>
          <w:p w14:paraId="362273D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tcBorders>
              <w:top w:val="single" w:sz="4" w:space="0" w:color="auto"/>
            </w:tcBorders>
            <w:vAlign w:val="bottom"/>
          </w:tcPr>
          <w:p w14:paraId="62C379F7"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0.04</w:t>
            </w:r>
          </w:p>
        </w:tc>
        <w:tc>
          <w:tcPr>
            <w:tcW w:w="567" w:type="pct"/>
            <w:tcBorders>
              <w:top w:val="single" w:sz="4" w:space="0" w:color="auto"/>
            </w:tcBorders>
            <w:vAlign w:val="bottom"/>
          </w:tcPr>
          <w:p w14:paraId="002AD7A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tcBorders>
              <w:top w:val="single" w:sz="4" w:space="0" w:color="auto"/>
            </w:tcBorders>
            <w:vAlign w:val="bottom"/>
          </w:tcPr>
          <w:p w14:paraId="06A073EC" w14:textId="77777777" w:rsidR="002B2147" w:rsidRPr="00A11B55" w:rsidRDefault="002B2147" w:rsidP="001707F6">
            <w:pPr>
              <w:jc w:val="right"/>
              <w:rPr>
                <w:rFonts w:ascii="Times New Roman" w:hAnsi="Times New Roman" w:cs="Times New Roman"/>
                <w:bCs/>
                <w:sz w:val="20"/>
                <w:szCs w:val="20"/>
              </w:rPr>
            </w:pPr>
          </w:p>
        </w:tc>
        <w:tc>
          <w:tcPr>
            <w:tcW w:w="406" w:type="pct"/>
            <w:tcBorders>
              <w:top w:val="single" w:sz="4" w:space="0" w:color="auto"/>
            </w:tcBorders>
            <w:vAlign w:val="bottom"/>
          </w:tcPr>
          <w:p w14:paraId="548BCC1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tcBorders>
              <w:top w:val="single" w:sz="4" w:space="0" w:color="auto"/>
            </w:tcBorders>
            <w:vAlign w:val="bottom"/>
          </w:tcPr>
          <w:p w14:paraId="1220C49D"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-0.08</w:t>
            </w:r>
          </w:p>
        </w:tc>
        <w:tc>
          <w:tcPr>
            <w:tcW w:w="394" w:type="pct"/>
            <w:tcBorders>
              <w:top w:val="single" w:sz="4" w:space="0" w:color="auto"/>
            </w:tcBorders>
            <w:vAlign w:val="bottom"/>
          </w:tcPr>
          <w:p w14:paraId="706D31B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0.00</w:t>
            </w:r>
          </w:p>
        </w:tc>
      </w:tr>
      <w:tr w:rsidR="002B2147" w:rsidRPr="00A11B55" w14:paraId="43D07287" w14:textId="77777777" w:rsidTr="002B2147">
        <w:tc>
          <w:tcPr>
            <w:tcW w:w="417" w:type="pct"/>
            <w:vAlign w:val="bottom"/>
          </w:tcPr>
          <w:p w14:paraId="5A5F1D57"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2</w:t>
            </w:r>
          </w:p>
        </w:tc>
        <w:tc>
          <w:tcPr>
            <w:tcW w:w="352" w:type="pct"/>
            <w:vAlign w:val="bottom"/>
          </w:tcPr>
          <w:p w14:paraId="0DF577C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1D002F8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-0.15</w:t>
            </w:r>
          </w:p>
        </w:tc>
        <w:tc>
          <w:tcPr>
            <w:tcW w:w="443" w:type="pct"/>
            <w:vAlign w:val="bottom"/>
          </w:tcPr>
          <w:p w14:paraId="2B2D51E0" w14:textId="77777777" w:rsidR="002B2147" w:rsidRPr="00A11B55" w:rsidRDefault="002B2147" w:rsidP="001707F6">
            <w:pPr>
              <w:jc w:val="right"/>
              <w:rPr>
                <w:rFonts w:ascii="Times New Roman" w:hAnsi="Times New Roman" w:cs="Times New Roman"/>
                <w:bCs/>
                <w:sz w:val="20"/>
                <w:szCs w:val="20"/>
              </w:rPr>
            </w:pPr>
          </w:p>
        </w:tc>
        <w:tc>
          <w:tcPr>
            <w:tcW w:w="579" w:type="pct"/>
            <w:vAlign w:val="bottom"/>
          </w:tcPr>
          <w:p w14:paraId="04AAB873"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2472BE7D"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6102896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vAlign w:val="bottom"/>
          </w:tcPr>
          <w:p w14:paraId="395E96B4"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7CC8402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2951B39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-0.09</w:t>
            </w:r>
          </w:p>
        </w:tc>
        <w:tc>
          <w:tcPr>
            <w:tcW w:w="394" w:type="pct"/>
            <w:vAlign w:val="bottom"/>
          </w:tcPr>
          <w:p w14:paraId="3B15865D"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0.71</w:t>
            </w:r>
          </w:p>
        </w:tc>
      </w:tr>
      <w:tr w:rsidR="002B2147" w:rsidRPr="00A11B55" w14:paraId="513F3D00" w14:textId="77777777" w:rsidTr="002B2147">
        <w:tc>
          <w:tcPr>
            <w:tcW w:w="417" w:type="pct"/>
            <w:vAlign w:val="bottom"/>
          </w:tcPr>
          <w:p w14:paraId="2EC68F9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3</w:t>
            </w:r>
          </w:p>
        </w:tc>
        <w:tc>
          <w:tcPr>
            <w:tcW w:w="352" w:type="pct"/>
            <w:vAlign w:val="bottom"/>
          </w:tcPr>
          <w:p w14:paraId="127F78F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3F4F43F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-0.16</w:t>
            </w:r>
          </w:p>
        </w:tc>
        <w:tc>
          <w:tcPr>
            <w:tcW w:w="443" w:type="pct"/>
            <w:vAlign w:val="bottom"/>
          </w:tcPr>
          <w:p w14:paraId="5EEE233B" w14:textId="77777777" w:rsidR="002B2147" w:rsidRPr="00A11B55" w:rsidRDefault="002B2147" w:rsidP="001707F6">
            <w:pPr>
              <w:jc w:val="right"/>
              <w:rPr>
                <w:rFonts w:ascii="Times New Roman" w:hAnsi="Times New Roman" w:cs="Times New Roman"/>
                <w:bCs/>
                <w:sz w:val="20"/>
                <w:szCs w:val="20"/>
              </w:rPr>
            </w:pPr>
          </w:p>
        </w:tc>
        <w:tc>
          <w:tcPr>
            <w:tcW w:w="579" w:type="pct"/>
            <w:vAlign w:val="bottom"/>
          </w:tcPr>
          <w:p w14:paraId="70CA6E7D"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0.02</w:t>
            </w:r>
          </w:p>
        </w:tc>
        <w:tc>
          <w:tcPr>
            <w:tcW w:w="567" w:type="pct"/>
            <w:vAlign w:val="bottom"/>
          </w:tcPr>
          <w:p w14:paraId="20FDAC5F"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3ECA6ED6"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vAlign w:val="bottom"/>
          </w:tcPr>
          <w:p w14:paraId="770AD5AA"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75B3D75C"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0F59E75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-0.09</w:t>
            </w:r>
          </w:p>
        </w:tc>
        <w:tc>
          <w:tcPr>
            <w:tcW w:w="394" w:type="pct"/>
            <w:vAlign w:val="bottom"/>
          </w:tcPr>
          <w:p w14:paraId="299EEEE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0.82</w:t>
            </w:r>
          </w:p>
        </w:tc>
      </w:tr>
      <w:tr w:rsidR="002B2147" w:rsidRPr="00A11B55" w14:paraId="45EFBB4A" w14:textId="77777777" w:rsidTr="002B2147">
        <w:tc>
          <w:tcPr>
            <w:tcW w:w="417" w:type="pct"/>
            <w:vAlign w:val="bottom"/>
          </w:tcPr>
          <w:p w14:paraId="02140E3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4</w:t>
            </w:r>
          </w:p>
        </w:tc>
        <w:tc>
          <w:tcPr>
            <w:tcW w:w="352" w:type="pct"/>
            <w:vAlign w:val="bottom"/>
          </w:tcPr>
          <w:p w14:paraId="5672B01E"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0.47</w:t>
            </w:r>
          </w:p>
        </w:tc>
        <w:tc>
          <w:tcPr>
            <w:tcW w:w="517" w:type="pct"/>
            <w:vAlign w:val="bottom"/>
          </w:tcPr>
          <w:p w14:paraId="08DB6212" w14:textId="77777777" w:rsidR="002B2147" w:rsidRPr="00A11B55" w:rsidRDefault="002B2147" w:rsidP="001707F6">
            <w:pPr>
              <w:jc w:val="right"/>
              <w:rPr>
                <w:rFonts w:ascii="Times New Roman" w:hAnsi="Times New Roman" w:cs="Times New Roman"/>
                <w:bCs/>
                <w:sz w:val="20"/>
                <w:szCs w:val="20"/>
              </w:rPr>
            </w:pPr>
          </w:p>
        </w:tc>
        <w:tc>
          <w:tcPr>
            <w:tcW w:w="443" w:type="pct"/>
            <w:vAlign w:val="bottom"/>
          </w:tcPr>
          <w:p w14:paraId="634DF79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-0.04</w:t>
            </w:r>
          </w:p>
        </w:tc>
        <w:tc>
          <w:tcPr>
            <w:tcW w:w="579" w:type="pct"/>
            <w:vAlign w:val="bottom"/>
          </w:tcPr>
          <w:p w14:paraId="4121799C"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vAlign w:val="bottom"/>
          </w:tcPr>
          <w:p w14:paraId="3C43304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0.04</w:t>
            </w:r>
          </w:p>
        </w:tc>
        <w:tc>
          <w:tcPr>
            <w:tcW w:w="567" w:type="pct"/>
            <w:vAlign w:val="bottom"/>
          </w:tcPr>
          <w:p w14:paraId="789F44F7"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vAlign w:val="bottom"/>
          </w:tcPr>
          <w:p w14:paraId="1125B4A4"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6E8FA34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17771736"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-0.09</w:t>
            </w:r>
          </w:p>
        </w:tc>
        <w:tc>
          <w:tcPr>
            <w:tcW w:w="394" w:type="pct"/>
            <w:vAlign w:val="bottom"/>
          </w:tcPr>
          <w:p w14:paraId="288D0B1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1.24</w:t>
            </w:r>
          </w:p>
        </w:tc>
      </w:tr>
      <w:tr w:rsidR="002B2147" w:rsidRPr="00A11B55" w14:paraId="232FC829" w14:textId="77777777" w:rsidTr="002B2147">
        <w:tc>
          <w:tcPr>
            <w:tcW w:w="417" w:type="pct"/>
            <w:vAlign w:val="bottom"/>
          </w:tcPr>
          <w:p w14:paraId="18F0CD5E"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5</w:t>
            </w:r>
          </w:p>
        </w:tc>
        <w:tc>
          <w:tcPr>
            <w:tcW w:w="352" w:type="pct"/>
            <w:vAlign w:val="bottom"/>
          </w:tcPr>
          <w:p w14:paraId="69034D9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3EC372E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-0.15</w:t>
            </w:r>
          </w:p>
        </w:tc>
        <w:tc>
          <w:tcPr>
            <w:tcW w:w="443" w:type="pct"/>
            <w:vAlign w:val="bottom"/>
          </w:tcPr>
          <w:p w14:paraId="6B1C6089" w14:textId="77777777" w:rsidR="002B2147" w:rsidRPr="00A11B55" w:rsidRDefault="002B2147" w:rsidP="001707F6">
            <w:pPr>
              <w:jc w:val="right"/>
              <w:rPr>
                <w:rFonts w:ascii="Times New Roman" w:hAnsi="Times New Roman" w:cs="Times New Roman"/>
                <w:bCs/>
                <w:sz w:val="20"/>
                <w:szCs w:val="20"/>
              </w:rPr>
            </w:pPr>
          </w:p>
        </w:tc>
        <w:tc>
          <w:tcPr>
            <w:tcW w:w="579" w:type="pct"/>
            <w:vAlign w:val="bottom"/>
          </w:tcPr>
          <w:p w14:paraId="3AB04654"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1786E759"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2D660B36"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353" w:type="pct"/>
            <w:vAlign w:val="bottom"/>
          </w:tcPr>
          <w:p w14:paraId="3EC8F43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0.02</w:t>
            </w:r>
          </w:p>
        </w:tc>
        <w:tc>
          <w:tcPr>
            <w:tcW w:w="406" w:type="pct"/>
            <w:vAlign w:val="bottom"/>
          </w:tcPr>
          <w:p w14:paraId="3E4D43B6"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406" w:type="pct"/>
            <w:vAlign w:val="bottom"/>
          </w:tcPr>
          <w:p w14:paraId="352B684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-0.09</w:t>
            </w:r>
          </w:p>
        </w:tc>
        <w:tc>
          <w:tcPr>
            <w:tcW w:w="394" w:type="pct"/>
            <w:vAlign w:val="bottom"/>
          </w:tcPr>
          <w:p w14:paraId="43A81B6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1.34</w:t>
            </w:r>
          </w:p>
        </w:tc>
      </w:tr>
      <w:tr w:rsidR="002B2147" w:rsidRPr="00A11B55" w14:paraId="2EBE00F8" w14:textId="77777777" w:rsidTr="002B2147">
        <w:tc>
          <w:tcPr>
            <w:tcW w:w="417" w:type="pct"/>
            <w:vAlign w:val="bottom"/>
          </w:tcPr>
          <w:p w14:paraId="7B1E97E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6</w:t>
            </w:r>
          </w:p>
        </w:tc>
        <w:tc>
          <w:tcPr>
            <w:tcW w:w="352" w:type="pct"/>
            <w:vAlign w:val="bottom"/>
          </w:tcPr>
          <w:p w14:paraId="5FB6259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69CC5C21"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-0.15</w:t>
            </w:r>
          </w:p>
        </w:tc>
        <w:tc>
          <w:tcPr>
            <w:tcW w:w="443" w:type="pct"/>
            <w:vAlign w:val="bottom"/>
          </w:tcPr>
          <w:p w14:paraId="5FF7551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79" w:type="pct"/>
            <w:vAlign w:val="bottom"/>
          </w:tcPr>
          <w:p w14:paraId="2E897F1F"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6BDEA19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vAlign w:val="bottom"/>
          </w:tcPr>
          <w:p w14:paraId="56E9720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vAlign w:val="bottom"/>
          </w:tcPr>
          <w:p w14:paraId="54C82021"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1C85649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446FA23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-0.08</w:t>
            </w:r>
          </w:p>
        </w:tc>
        <w:tc>
          <w:tcPr>
            <w:tcW w:w="394" w:type="pct"/>
            <w:vAlign w:val="bottom"/>
          </w:tcPr>
          <w:p w14:paraId="6F691E5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1.49</w:t>
            </w:r>
          </w:p>
        </w:tc>
      </w:tr>
      <w:tr w:rsidR="002B2147" w:rsidRPr="00A11B55" w14:paraId="2C20A35D" w14:textId="77777777" w:rsidTr="002B2147">
        <w:tc>
          <w:tcPr>
            <w:tcW w:w="417" w:type="pct"/>
            <w:vAlign w:val="bottom"/>
          </w:tcPr>
          <w:p w14:paraId="4A37EC41"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7</w:t>
            </w:r>
          </w:p>
        </w:tc>
        <w:tc>
          <w:tcPr>
            <w:tcW w:w="352" w:type="pct"/>
            <w:vAlign w:val="bottom"/>
          </w:tcPr>
          <w:p w14:paraId="5E6F625D"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721D6113"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-0.16</w:t>
            </w:r>
          </w:p>
        </w:tc>
        <w:tc>
          <w:tcPr>
            <w:tcW w:w="443" w:type="pct"/>
            <w:vAlign w:val="bottom"/>
          </w:tcPr>
          <w:p w14:paraId="6C220731" w14:textId="77777777" w:rsidR="002B2147" w:rsidRPr="00A11B55" w:rsidRDefault="002B2147" w:rsidP="001707F6">
            <w:pPr>
              <w:jc w:val="right"/>
              <w:rPr>
                <w:rFonts w:ascii="Times New Roman" w:hAnsi="Times New Roman" w:cs="Times New Roman"/>
                <w:bCs/>
                <w:sz w:val="20"/>
                <w:szCs w:val="20"/>
              </w:rPr>
            </w:pPr>
          </w:p>
        </w:tc>
        <w:tc>
          <w:tcPr>
            <w:tcW w:w="579" w:type="pct"/>
            <w:vAlign w:val="bottom"/>
          </w:tcPr>
          <w:p w14:paraId="707AD537"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vAlign w:val="bottom"/>
          </w:tcPr>
          <w:p w14:paraId="335286E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0.02</w:t>
            </w:r>
          </w:p>
        </w:tc>
        <w:tc>
          <w:tcPr>
            <w:tcW w:w="567" w:type="pct"/>
            <w:vAlign w:val="bottom"/>
          </w:tcPr>
          <w:p w14:paraId="000E49B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353" w:type="pct"/>
            <w:vAlign w:val="bottom"/>
          </w:tcPr>
          <w:p w14:paraId="3F2F1713"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0C94F7B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49EFF75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-0.10</w:t>
            </w:r>
          </w:p>
        </w:tc>
        <w:tc>
          <w:tcPr>
            <w:tcW w:w="394" w:type="pct"/>
            <w:vAlign w:val="bottom"/>
          </w:tcPr>
          <w:p w14:paraId="1F7D7C9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1.59</w:t>
            </w:r>
          </w:p>
        </w:tc>
      </w:tr>
      <w:tr w:rsidR="002B2147" w:rsidRPr="00A11B55" w14:paraId="4A175394" w14:textId="77777777" w:rsidTr="002B2147">
        <w:tc>
          <w:tcPr>
            <w:tcW w:w="417" w:type="pct"/>
            <w:vAlign w:val="bottom"/>
          </w:tcPr>
          <w:p w14:paraId="7B28003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8</w:t>
            </w:r>
          </w:p>
        </w:tc>
        <w:tc>
          <w:tcPr>
            <w:tcW w:w="352" w:type="pct"/>
            <w:vAlign w:val="bottom"/>
          </w:tcPr>
          <w:p w14:paraId="489CFC8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0.47</w:t>
            </w:r>
          </w:p>
        </w:tc>
        <w:tc>
          <w:tcPr>
            <w:tcW w:w="517" w:type="pct"/>
            <w:vAlign w:val="bottom"/>
          </w:tcPr>
          <w:p w14:paraId="498FE436" w14:textId="77777777" w:rsidR="002B2147" w:rsidRPr="00A11B55" w:rsidRDefault="002B2147" w:rsidP="001707F6">
            <w:pPr>
              <w:jc w:val="right"/>
              <w:rPr>
                <w:rFonts w:ascii="Times New Roman" w:hAnsi="Times New Roman" w:cs="Times New Roman"/>
                <w:bCs/>
                <w:sz w:val="20"/>
                <w:szCs w:val="20"/>
              </w:rPr>
            </w:pPr>
          </w:p>
        </w:tc>
        <w:tc>
          <w:tcPr>
            <w:tcW w:w="443" w:type="pct"/>
            <w:vAlign w:val="bottom"/>
          </w:tcPr>
          <w:p w14:paraId="3032D56B" w14:textId="77777777" w:rsidR="002B2147" w:rsidRPr="00A11B55" w:rsidRDefault="002B2147" w:rsidP="001707F6">
            <w:pPr>
              <w:jc w:val="right"/>
              <w:rPr>
                <w:rFonts w:ascii="Times New Roman" w:hAnsi="Times New Roman" w:cs="Times New Roman"/>
                <w:bCs/>
                <w:sz w:val="20"/>
                <w:szCs w:val="20"/>
              </w:rPr>
            </w:pPr>
          </w:p>
        </w:tc>
        <w:tc>
          <w:tcPr>
            <w:tcW w:w="579" w:type="pct"/>
            <w:vAlign w:val="bottom"/>
          </w:tcPr>
          <w:p w14:paraId="29322FA2"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055A1174" w14:textId="77777777" w:rsidR="002B2147" w:rsidRPr="00A11B55" w:rsidRDefault="002B2147" w:rsidP="001707F6">
            <w:pPr>
              <w:jc w:val="right"/>
              <w:rPr>
                <w:rFonts w:ascii="Times New Roman" w:hAnsi="Times New Roman" w:cs="Times New Roman"/>
                <w:bCs/>
                <w:sz w:val="20"/>
                <w:szCs w:val="20"/>
              </w:rPr>
            </w:pPr>
          </w:p>
        </w:tc>
        <w:tc>
          <w:tcPr>
            <w:tcW w:w="567" w:type="pct"/>
            <w:vAlign w:val="bottom"/>
          </w:tcPr>
          <w:p w14:paraId="6B5C3A1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353" w:type="pct"/>
            <w:vAlign w:val="bottom"/>
          </w:tcPr>
          <w:p w14:paraId="4C2CC7D0" w14:textId="77777777" w:rsidR="002B2147" w:rsidRPr="00A11B55" w:rsidRDefault="002B2147" w:rsidP="001707F6">
            <w:pPr>
              <w:jc w:val="right"/>
              <w:rPr>
                <w:rFonts w:ascii="Times New Roman" w:hAnsi="Times New Roman" w:cs="Times New Roman"/>
                <w:bCs/>
                <w:sz w:val="20"/>
                <w:szCs w:val="20"/>
              </w:rPr>
            </w:pPr>
          </w:p>
        </w:tc>
        <w:tc>
          <w:tcPr>
            <w:tcW w:w="406" w:type="pct"/>
            <w:vAlign w:val="bottom"/>
          </w:tcPr>
          <w:p w14:paraId="6CFA596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5B444192"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-0.10</w:t>
            </w:r>
          </w:p>
        </w:tc>
        <w:tc>
          <w:tcPr>
            <w:tcW w:w="394" w:type="pct"/>
            <w:vAlign w:val="bottom"/>
          </w:tcPr>
          <w:p w14:paraId="57AE058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1.66</w:t>
            </w:r>
          </w:p>
        </w:tc>
      </w:tr>
      <w:tr w:rsidR="002B2147" w:rsidRPr="00A11B55" w14:paraId="0E3D4EE3" w14:textId="77777777" w:rsidTr="002B2147">
        <w:tc>
          <w:tcPr>
            <w:tcW w:w="417" w:type="pct"/>
            <w:vAlign w:val="bottom"/>
          </w:tcPr>
          <w:p w14:paraId="7BEE237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9</w:t>
            </w:r>
          </w:p>
        </w:tc>
        <w:tc>
          <w:tcPr>
            <w:tcW w:w="352" w:type="pct"/>
            <w:vAlign w:val="bottom"/>
          </w:tcPr>
          <w:p w14:paraId="79D2753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vAlign w:val="bottom"/>
          </w:tcPr>
          <w:p w14:paraId="19E8F1F1"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-0.16</w:t>
            </w:r>
          </w:p>
        </w:tc>
        <w:tc>
          <w:tcPr>
            <w:tcW w:w="443" w:type="pct"/>
            <w:vAlign w:val="bottom"/>
          </w:tcPr>
          <w:p w14:paraId="18966E5D"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-0.04</w:t>
            </w:r>
          </w:p>
        </w:tc>
        <w:tc>
          <w:tcPr>
            <w:tcW w:w="579" w:type="pct"/>
            <w:vAlign w:val="bottom"/>
          </w:tcPr>
          <w:p w14:paraId="5E14A805"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vAlign w:val="bottom"/>
          </w:tcPr>
          <w:p w14:paraId="597EB789"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0.03</w:t>
            </w:r>
          </w:p>
        </w:tc>
        <w:tc>
          <w:tcPr>
            <w:tcW w:w="567" w:type="pct"/>
            <w:vAlign w:val="bottom"/>
          </w:tcPr>
          <w:p w14:paraId="6D53D5F0"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353" w:type="pct"/>
            <w:vAlign w:val="bottom"/>
          </w:tcPr>
          <w:p w14:paraId="444349D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0.01</w:t>
            </w:r>
          </w:p>
        </w:tc>
        <w:tc>
          <w:tcPr>
            <w:tcW w:w="406" w:type="pct"/>
            <w:vAlign w:val="bottom"/>
          </w:tcPr>
          <w:p w14:paraId="64751F2A"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406" w:type="pct"/>
            <w:vAlign w:val="bottom"/>
          </w:tcPr>
          <w:p w14:paraId="7C396878"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-0.08</w:t>
            </w:r>
          </w:p>
        </w:tc>
        <w:tc>
          <w:tcPr>
            <w:tcW w:w="394" w:type="pct"/>
            <w:vAlign w:val="bottom"/>
          </w:tcPr>
          <w:p w14:paraId="1B1EF8D9"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1.77</w:t>
            </w:r>
          </w:p>
        </w:tc>
      </w:tr>
      <w:tr w:rsidR="002B2147" w:rsidRPr="00A11B55" w14:paraId="1E11053F" w14:textId="77777777" w:rsidTr="002B2147">
        <w:tc>
          <w:tcPr>
            <w:tcW w:w="417" w:type="pct"/>
            <w:tcBorders>
              <w:bottom w:val="single" w:sz="4" w:space="0" w:color="auto"/>
            </w:tcBorders>
            <w:vAlign w:val="bottom"/>
          </w:tcPr>
          <w:p w14:paraId="61081AD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10</w:t>
            </w:r>
          </w:p>
        </w:tc>
        <w:tc>
          <w:tcPr>
            <w:tcW w:w="352" w:type="pct"/>
            <w:tcBorders>
              <w:bottom w:val="single" w:sz="4" w:space="0" w:color="auto"/>
            </w:tcBorders>
            <w:vAlign w:val="bottom"/>
          </w:tcPr>
          <w:p w14:paraId="0EFA11F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0.49</w:t>
            </w:r>
          </w:p>
        </w:tc>
        <w:tc>
          <w:tcPr>
            <w:tcW w:w="517" w:type="pct"/>
            <w:tcBorders>
              <w:bottom w:val="single" w:sz="4" w:space="0" w:color="auto"/>
            </w:tcBorders>
            <w:vAlign w:val="bottom"/>
          </w:tcPr>
          <w:p w14:paraId="2A90914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-0.16</w:t>
            </w:r>
          </w:p>
        </w:tc>
        <w:tc>
          <w:tcPr>
            <w:tcW w:w="443" w:type="pct"/>
            <w:tcBorders>
              <w:bottom w:val="single" w:sz="4" w:space="0" w:color="auto"/>
            </w:tcBorders>
            <w:vAlign w:val="bottom"/>
          </w:tcPr>
          <w:p w14:paraId="0722AC30" w14:textId="77777777" w:rsidR="002B2147" w:rsidRPr="00A11B55" w:rsidRDefault="002B2147" w:rsidP="001707F6">
            <w:pPr>
              <w:jc w:val="right"/>
              <w:rPr>
                <w:rFonts w:ascii="Times New Roman" w:hAnsi="Times New Roman" w:cs="Times New Roman"/>
                <w:bCs/>
                <w:sz w:val="20"/>
                <w:szCs w:val="20"/>
              </w:rPr>
            </w:pPr>
          </w:p>
        </w:tc>
        <w:tc>
          <w:tcPr>
            <w:tcW w:w="579" w:type="pct"/>
            <w:tcBorders>
              <w:bottom w:val="single" w:sz="4" w:space="0" w:color="auto"/>
            </w:tcBorders>
            <w:vAlign w:val="bottom"/>
          </w:tcPr>
          <w:p w14:paraId="58345AEB"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0.02</w:t>
            </w:r>
          </w:p>
        </w:tc>
        <w:tc>
          <w:tcPr>
            <w:tcW w:w="567" w:type="pct"/>
            <w:tcBorders>
              <w:bottom w:val="single" w:sz="4" w:space="0" w:color="auto"/>
            </w:tcBorders>
            <w:vAlign w:val="bottom"/>
          </w:tcPr>
          <w:p w14:paraId="6B90CD06" w14:textId="77777777" w:rsidR="002B2147" w:rsidRPr="00A11B55" w:rsidRDefault="002B2147" w:rsidP="001707F6">
            <w:pPr>
              <w:jc w:val="right"/>
              <w:rPr>
                <w:rFonts w:ascii="Times New Roman" w:hAnsi="Times New Roman" w:cs="Times New Roman"/>
                <w:bCs/>
                <w:sz w:val="20"/>
                <w:szCs w:val="20"/>
              </w:rPr>
            </w:pPr>
          </w:p>
        </w:tc>
        <w:tc>
          <w:tcPr>
            <w:tcW w:w="567" w:type="pct"/>
            <w:tcBorders>
              <w:bottom w:val="single" w:sz="4" w:space="0" w:color="auto"/>
            </w:tcBorders>
            <w:vAlign w:val="bottom"/>
          </w:tcPr>
          <w:p w14:paraId="2D164F59"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0.06</w:t>
            </w:r>
          </w:p>
        </w:tc>
        <w:tc>
          <w:tcPr>
            <w:tcW w:w="353" w:type="pct"/>
            <w:tcBorders>
              <w:bottom w:val="single" w:sz="4" w:space="0" w:color="auto"/>
            </w:tcBorders>
            <w:vAlign w:val="bottom"/>
          </w:tcPr>
          <w:p w14:paraId="4BEEE006"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0.02</w:t>
            </w:r>
          </w:p>
        </w:tc>
        <w:tc>
          <w:tcPr>
            <w:tcW w:w="406" w:type="pct"/>
            <w:tcBorders>
              <w:bottom w:val="single" w:sz="4" w:space="0" w:color="auto"/>
            </w:tcBorders>
            <w:vAlign w:val="bottom"/>
          </w:tcPr>
          <w:p w14:paraId="26152617"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-0.05</w:t>
            </w:r>
          </w:p>
        </w:tc>
        <w:tc>
          <w:tcPr>
            <w:tcW w:w="406" w:type="pct"/>
            <w:tcBorders>
              <w:bottom w:val="single" w:sz="4" w:space="0" w:color="auto"/>
            </w:tcBorders>
            <w:vAlign w:val="bottom"/>
          </w:tcPr>
          <w:p w14:paraId="14630704"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-0.09</w:t>
            </w:r>
          </w:p>
        </w:tc>
        <w:tc>
          <w:tcPr>
            <w:tcW w:w="394" w:type="pct"/>
            <w:tcBorders>
              <w:bottom w:val="single" w:sz="4" w:space="0" w:color="auto"/>
            </w:tcBorders>
            <w:vAlign w:val="bottom"/>
          </w:tcPr>
          <w:p w14:paraId="132F710F" w14:textId="77777777" w:rsidR="002B2147" w:rsidRPr="00A11B55" w:rsidRDefault="002B2147" w:rsidP="001707F6">
            <w:pPr>
              <w:jc w:val="right"/>
              <w:rPr>
                <w:rFonts w:ascii="Times New Roman" w:hAnsi="Times New Roman" w:cs="Times New Roman"/>
                <w:bCs/>
                <w:sz w:val="20"/>
                <w:szCs w:val="20"/>
              </w:rPr>
            </w:pPr>
            <w:r w:rsidRPr="00A11B55">
              <w:rPr>
                <w:rFonts w:ascii="Times New Roman" w:hAnsi="Times New Roman" w:cs="Times New Roman"/>
                <w:color w:val="000000"/>
                <w:sz w:val="20"/>
                <w:szCs w:val="20"/>
              </w:rPr>
              <w:t>1.81</w:t>
            </w:r>
          </w:p>
        </w:tc>
      </w:tr>
    </w:tbl>
    <w:p w14:paraId="565F8C9B" w14:textId="0E030F97" w:rsidR="00584AC7" w:rsidRDefault="00584AC7">
      <w:pPr>
        <w:rPr>
          <w:rFonts w:ascii="Times New Roman" w:hAnsi="Times New Roman" w:cs="Times New Roman"/>
        </w:rPr>
      </w:pPr>
    </w:p>
    <w:p w14:paraId="6F18B212" w14:textId="77777777" w:rsidR="004A4B19" w:rsidRDefault="004A4B19" w:rsidP="004A4B19">
      <w:pPr>
        <w:rPr>
          <w:rFonts w:ascii="Times New Roman" w:hAnsi="Times New Roman" w:cs="Times New Roman"/>
        </w:rPr>
      </w:pPr>
    </w:p>
    <w:p w14:paraId="20E5BAB9" w14:textId="6C688249" w:rsidR="00584AC7" w:rsidRDefault="00584AC7">
      <w:pPr>
        <w:rPr>
          <w:rFonts w:ascii="Times New Roman" w:hAnsi="Times New Roman" w:cs="Times New Roman"/>
        </w:rPr>
      </w:pPr>
      <w:r>
        <w:rPr>
          <w:rFonts w:ascii="Times New Roman" w:hAnsi="Times New Roman" w:cs="Times New Roman"/>
        </w:rPr>
        <w:br w:type="page"/>
      </w:r>
    </w:p>
    <w:p w14:paraId="24A80A91" w14:textId="55908171" w:rsidR="00584AC7" w:rsidRDefault="00584AC7" w:rsidP="00584AC7">
      <w:pPr>
        <w:rPr>
          <w:rFonts w:ascii="Times New Roman" w:hAnsi="Times New Roman" w:cs="Times New Roman"/>
        </w:rPr>
      </w:pPr>
      <w:bookmarkStart w:id="107" w:name="_Toc93411187"/>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16</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Assemblage piecewise path model coefficients.</w:t>
      </w:r>
      <w:bookmarkEnd w:id="10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189"/>
        <w:gridCol w:w="1123"/>
        <w:gridCol w:w="636"/>
        <w:gridCol w:w="876"/>
        <w:gridCol w:w="876"/>
        <w:gridCol w:w="952"/>
      </w:tblGrid>
      <w:tr w:rsidR="00584AC7" w14:paraId="2A0C4375" w14:textId="77777777" w:rsidTr="004E4A91">
        <w:trPr>
          <w:jc w:val="center"/>
        </w:trPr>
        <w:tc>
          <w:tcPr>
            <w:tcW w:w="0" w:type="auto"/>
            <w:tcBorders>
              <w:top w:val="single" w:sz="4" w:space="0" w:color="auto"/>
              <w:bottom w:val="single" w:sz="4" w:space="0" w:color="auto"/>
            </w:tcBorders>
            <w:vAlign w:val="bottom"/>
          </w:tcPr>
          <w:p w14:paraId="5DAA1BFD"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Response</w:t>
            </w:r>
          </w:p>
        </w:tc>
        <w:tc>
          <w:tcPr>
            <w:tcW w:w="0" w:type="auto"/>
            <w:tcBorders>
              <w:top w:val="single" w:sz="4" w:space="0" w:color="auto"/>
              <w:bottom w:val="single" w:sz="4" w:space="0" w:color="auto"/>
            </w:tcBorders>
            <w:vAlign w:val="bottom"/>
          </w:tcPr>
          <w:p w14:paraId="6200A568"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Predictor</w:t>
            </w:r>
          </w:p>
        </w:tc>
        <w:tc>
          <w:tcPr>
            <w:tcW w:w="0" w:type="auto"/>
            <w:tcBorders>
              <w:top w:val="single" w:sz="4" w:space="0" w:color="auto"/>
              <w:bottom w:val="single" w:sz="4" w:space="0" w:color="auto"/>
            </w:tcBorders>
            <w:vAlign w:val="bottom"/>
          </w:tcPr>
          <w:p w14:paraId="4DD66138"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Estimate</w:t>
            </w:r>
          </w:p>
        </w:tc>
        <w:tc>
          <w:tcPr>
            <w:tcW w:w="0" w:type="auto"/>
            <w:tcBorders>
              <w:top w:val="single" w:sz="4" w:space="0" w:color="auto"/>
              <w:bottom w:val="single" w:sz="4" w:space="0" w:color="auto"/>
            </w:tcBorders>
            <w:vAlign w:val="bottom"/>
          </w:tcPr>
          <w:p w14:paraId="345C8466"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SE</w:t>
            </w:r>
          </w:p>
        </w:tc>
        <w:tc>
          <w:tcPr>
            <w:tcW w:w="0" w:type="auto"/>
            <w:tcBorders>
              <w:top w:val="single" w:sz="4" w:space="0" w:color="auto"/>
              <w:bottom w:val="single" w:sz="4" w:space="0" w:color="auto"/>
            </w:tcBorders>
            <w:vAlign w:val="bottom"/>
          </w:tcPr>
          <w:p w14:paraId="5C501BD6"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df</w:t>
            </w:r>
          </w:p>
        </w:tc>
        <w:tc>
          <w:tcPr>
            <w:tcW w:w="0" w:type="auto"/>
            <w:tcBorders>
              <w:top w:val="single" w:sz="4" w:space="0" w:color="auto"/>
              <w:bottom w:val="single" w:sz="4" w:space="0" w:color="auto"/>
            </w:tcBorders>
            <w:vAlign w:val="bottom"/>
          </w:tcPr>
          <w:p w14:paraId="0848D855"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w:t>
            </w:r>
            <w:r w:rsidRPr="004D3460">
              <w:rPr>
                <w:rFonts w:ascii="Times New Roman" w:hAnsi="Times New Roman" w:cs="Times New Roman"/>
                <w:b/>
                <w:i/>
                <w:iCs/>
                <w:color w:val="000000"/>
              </w:rPr>
              <w:t>t</w:t>
            </w:r>
            <w:r w:rsidRPr="004D3460">
              <w:rPr>
                <w:rFonts w:ascii="Times New Roman" w:hAnsi="Times New Roman" w:cs="Times New Roman"/>
                <w:b/>
                <w:color w:val="000000"/>
              </w:rPr>
              <w:t>|</w:t>
            </w:r>
          </w:p>
        </w:tc>
        <w:tc>
          <w:tcPr>
            <w:tcW w:w="0" w:type="auto"/>
            <w:tcBorders>
              <w:top w:val="single" w:sz="4" w:space="0" w:color="auto"/>
              <w:bottom w:val="single" w:sz="4" w:space="0" w:color="auto"/>
            </w:tcBorders>
            <w:vAlign w:val="bottom"/>
          </w:tcPr>
          <w:p w14:paraId="6D9FE475" w14:textId="77777777" w:rsidR="00584AC7" w:rsidRPr="004D3460" w:rsidRDefault="00584AC7" w:rsidP="001707F6">
            <w:pPr>
              <w:rPr>
                <w:rFonts w:ascii="Times New Roman" w:hAnsi="Times New Roman" w:cs="Times New Roman"/>
                <w:b/>
                <w:i/>
                <w:iCs/>
                <w:color w:val="000000"/>
              </w:rPr>
            </w:pPr>
            <w:r w:rsidRPr="004D3460">
              <w:rPr>
                <w:rFonts w:ascii="Times New Roman" w:hAnsi="Times New Roman" w:cs="Times New Roman"/>
                <w:b/>
                <w:i/>
                <w:iCs/>
                <w:color w:val="000000"/>
              </w:rPr>
              <w:t>p</w:t>
            </w:r>
          </w:p>
        </w:tc>
      </w:tr>
      <w:tr w:rsidR="00584AC7" w14:paraId="77CBA23B" w14:textId="77777777" w:rsidTr="004E4A91">
        <w:trPr>
          <w:jc w:val="center"/>
        </w:trPr>
        <w:tc>
          <w:tcPr>
            <w:tcW w:w="0" w:type="auto"/>
            <w:tcBorders>
              <w:top w:val="single" w:sz="4" w:space="0" w:color="auto"/>
            </w:tcBorders>
            <w:vAlign w:val="bottom"/>
          </w:tcPr>
          <w:p w14:paraId="3384A929"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tcBorders>
              <w:top w:val="single" w:sz="4" w:space="0" w:color="auto"/>
            </w:tcBorders>
            <w:vAlign w:val="bottom"/>
          </w:tcPr>
          <w:p w14:paraId="035A5294"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tcBorders>
              <w:top w:val="single" w:sz="4" w:space="0" w:color="auto"/>
            </w:tcBorders>
            <w:vAlign w:val="bottom"/>
          </w:tcPr>
          <w:p w14:paraId="3B1EB29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0.001</w:t>
            </w:r>
          </w:p>
        </w:tc>
        <w:tc>
          <w:tcPr>
            <w:tcW w:w="0" w:type="auto"/>
            <w:tcBorders>
              <w:top w:val="single" w:sz="4" w:space="0" w:color="auto"/>
            </w:tcBorders>
            <w:vAlign w:val="bottom"/>
          </w:tcPr>
          <w:p w14:paraId="23B5EE8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0.10</w:t>
            </w:r>
          </w:p>
        </w:tc>
        <w:tc>
          <w:tcPr>
            <w:tcW w:w="0" w:type="auto"/>
            <w:tcBorders>
              <w:top w:val="single" w:sz="4" w:space="0" w:color="auto"/>
            </w:tcBorders>
            <w:vAlign w:val="bottom"/>
          </w:tcPr>
          <w:p w14:paraId="158C4FD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131.94</w:t>
            </w:r>
          </w:p>
        </w:tc>
        <w:tc>
          <w:tcPr>
            <w:tcW w:w="0" w:type="auto"/>
            <w:tcBorders>
              <w:top w:val="single" w:sz="4" w:space="0" w:color="auto"/>
            </w:tcBorders>
            <w:vAlign w:val="bottom"/>
          </w:tcPr>
          <w:p w14:paraId="42DFB7A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w:t>
            </w:r>
          </w:p>
        </w:tc>
        <w:tc>
          <w:tcPr>
            <w:tcW w:w="0" w:type="auto"/>
            <w:tcBorders>
              <w:top w:val="single" w:sz="4" w:space="0" w:color="auto"/>
            </w:tcBorders>
            <w:vAlign w:val="bottom"/>
          </w:tcPr>
          <w:p w14:paraId="1B96807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0.993</w:t>
            </w:r>
          </w:p>
        </w:tc>
      </w:tr>
      <w:tr w:rsidR="00584AC7" w14:paraId="11552533" w14:textId="77777777" w:rsidTr="004E4A91">
        <w:trPr>
          <w:jc w:val="center"/>
        </w:trPr>
        <w:tc>
          <w:tcPr>
            <w:tcW w:w="0" w:type="auto"/>
            <w:vAlign w:val="bottom"/>
          </w:tcPr>
          <w:p w14:paraId="5A1BB070"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vAlign w:val="bottom"/>
          </w:tcPr>
          <w:p w14:paraId="734C8E07"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vAlign w:val="bottom"/>
          </w:tcPr>
          <w:p w14:paraId="5AF19E79"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-0.256</w:t>
            </w:r>
          </w:p>
        </w:tc>
        <w:tc>
          <w:tcPr>
            <w:tcW w:w="0" w:type="auto"/>
            <w:vAlign w:val="bottom"/>
          </w:tcPr>
          <w:p w14:paraId="0259729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0.08</w:t>
            </w:r>
          </w:p>
        </w:tc>
        <w:tc>
          <w:tcPr>
            <w:tcW w:w="0" w:type="auto"/>
            <w:vAlign w:val="bottom"/>
          </w:tcPr>
          <w:p w14:paraId="3C8D83D0"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446.18</w:t>
            </w:r>
          </w:p>
        </w:tc>
        <w:tc>
          <w:tcPr>
            <w:tcW w:w="0" w:type="auto"/>
            <w:vAlign w:val="bottom"/>
          </w:tcPr>
          <w:p w14:paraId="1C06998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10.59</w:t>
            </w:r>
          </w:p>
        </w:tc>
        <w:tc>
          <w:tcPr>
            <w:tcW w:w="0" w:type="auto"/>
            <w:vAlign w:val="bottom"/>
          </w:tcPr>
          <w:p w14:paraId="443DC90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0.001</w:t>
            </w:r>
          </w:p>
        </w:tc>
      </w:tr>
      <w:tr w:rsidR="00584AC7" w14:paraId="4EEE35CD" w14:textId="77777777" w:rsidTr="004E4A91">
        <w:trPr>
          <w:jc w:val="center"/>
        </w:trPr>
        <w:tc>
          <w:tcPr>
            <w:tcW w:w="0" w:type="auto"/>
            <w:vAlign w:val="bottom"/>
          </w:tcPr>
          <w:p w14:paraId="0A80D658"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vAlign w:val="bottom"/>
          </w:tcPr>
          <w:p w14:paraId="0BABA605"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NDVI</w:t>
            </w:r>
          </w:p>
        </w:tc>
        <w:tc>
          <w:tcPr>
            <w:tcW w:w="0" w:type="auto"/>
            <w:vAlign w:val="bottom"/>
          </w:tcPr>
          <w:p w14:paraId="530CBC3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-0.100</w:t>
            </w:r>
          </w:p>
        </w:tc>
        <w:tc>
          <w:tcPr>
            <w:tcW w:w="0" w:type="auto"/>
            <w:vAlign w:val="bottom"/>
          </w:tcPr>
          <w:p w14:paraId="2A9CB4B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0.05</w:t>
            </w:r>
          </w:p>
        </w:tc>
        <w:tc>
          <w:tcPr>
            <w:tcW w:w="0" w:type="auto"/>
            <w:vAlign w:val="bottom"/>
          </w:tcPr>
          <w:p w14:paraId="58CD8F3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532.93</w:t>
            </w:r>
          </w:p>
        </w:tc>
        <w:tc>
          <w:tcPr>
            <w:tcW w:w="0" w:type="auto"/>
            <w:vAlign w:val="bottom"/>
          </w:tcPr>
          <w:p w14:paraId="60FB4C4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4.29</w:t>
            </w:r>
          </w:p>
        </w:tc>
        <w:tc>
          <w:tcPr>
            <w:tcW w:w="0" w:type="auto"/>
            <w:vAlign w:val="bottom"/>
          </w:tcPr>
          <w:p w14:paraId="23AA14D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0.039</w:t>
            </w:r>
          </w:p>
        </w:tc>
      </w:tr>
      <w:tr w:rsidR="00584AC7" w14:paraId="05E7F8BE" w14:textId="77777777" w:rsidTr="004E4A91">
        <w:trPr>
          <w:jc w:val="center"/>
        </w:trPr>
        <w:tc>
          <w:tcPr>
            <w:tcW w:w="0" w:type="auto"/>
            <w:vAlign w:val="bottom"/>
          </w:tcPr>
          <w:p w14:paraId="2392CE1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vAlign w:val="bottom"/>
          </w:tcPr>
          <w:p w14:paraId="51F83EC9"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URBWS</w:t>
            </w:r>
          </w:p>
        </w:tc>
        <w:tc>
          <w:tcPr>
            <w:tcW w:w="0" w:type="auto"/>
            <w:vAlign w:val="bottom"/>
          </w:tcPr>
          <w:p w14:paraId="3B8D925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0.126</w:t>
            </w:r>
          </w:p>
        </w:tc>
        <w:tc>
          <w:tcPr>
            <w:tcW w:w="0" w:type="auto"/>
            <w:vAlign w:val="bottom"/>
          </w:tcPr>
          <w:p w14:paraId="4133EDF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0.05</w:t>
            </w:r>
          </w:p>
        </w:tc>
        <w:tc>
          <w:tcPr>
            <w:tcW w:w="0" w:type="auto"/>
            <w:vAlign w:val="bottom"/>
          </w:tcPr>
          <w:p w14:paraId="003D1F2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599.86</w:t>
            </w:r>
          </w:p>
        </w:tc>
        <w:tc>
          <w:tcPr>
            <w:tcW w:w="0" w:type="auto"/>
            <w:vAlign w:val="bottom"/>
          </w:tcPr>
          <w:p w14:paraId="43E20A9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6.80</w:t>
            </w:r>
          </w:p>
        </w:tc>
        <w:tc>
          <w:tcPr>
            <w:tcW w:w="0" w:type="auto"/>
            <w:vAlign w:val="bottom"/>
          </w:tcPr>
          <w:p w14:paraId="51BE203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0.009</w:t>
            </w:r>
          </w:p>
        </w:tc>
      </w:tr>
      <w:tr w:rsidR="00584AC7" w14:paraId="38141E9E" w14:textId="77777777" w:rsidTr="004E4A91">
        <w:trPr>
          <w:jc w:val="center"/>
        </w:trPr>
        <w:tc>
          <w:tcPr>
            <w:tcW w:w="0" w:type="auto"/>
            <w:vAlign w:val="bottom"/>
          </w:tcPr>
          <w:p w14:paraId="2F3E3B0F"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vAlign w:val="bottom"/>
          </w:tcPr>
          <w:p w14:paraId="016C8479"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TMP:CTI</w:t>
            </w:r>
          </w:p>
        </w:tc>
        <w:tc>
          <w:tcPr>
            <w:tcW w:w="0" w:type="auto"/>
            <w:vAlign w:val="bottom"/>
          </w:tcPr>
          <w:p w14:paraId="3B22B72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0.158</w:t>
            </w:r>
          </w:p>
        </w:tc>
        <w:tc>
          <w:tcPr>
            <w:tcW w:w="0" w:type="auto"/>
            <w:vAlign w:val="bottom"/>
          </w:tcPr>
          <w:p w14:paraId="3DD9188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0.05</w:t>
            </w:r>
          </w:p>
        </w:tc>
        <w:tc>
          <w:tcPr>
            <w:tcW w:w="0" w:type="auto"/>
            <w:vAlign w:val="bottom"/>
          </w:tcPr>
          <w:p w14:paraId="4C8FC62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395.17</w:t>
            </w:r>
          </w:p>
        </w:tc>
        <w:tc>
          <w:tcPr>
            <w:tcW w:w="0" w:type="auto"/>
            <w:vAlign w:val="bottom"/>
          </w:tcPr>
          <w:p w14:paraId="42B23D8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8.16</w:t>
            </w:r>
          </w:p>
        </w:tc>
        <w:tc>
          <w:tcPr>
            <w:tcW w:w="0" w:type="auto"/>
            <w:vAlign w:val="bottom"/>
          </w:tcPr>
          <w:p w14:paraId="4AEE6E8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0.005</w:t>
            </w:r>
          </w:p>
        </w:tc>
      </w:tr>
      <w:tr w:rsidR="00584AC7" w14:paraId="6992E779" w14:textId="77777777" w:rsidTr="004E4A91">
        <w:trPr>
          <w:jc w:val="center"/>
        </w:trPr>
        <w:tc>
          <w:tcPr>
            <w:tcW w:w="0" w:type="auto"/>
            <w:vAlign w:val="bottom"/>
          </w:tcPr>
          <w:p w14:paraId="76E775DA"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URBWS</w:t>
            </w:r>
          </w:p>
        </w:tc>
        <w:tc>
          <w:tcPr>
            <w:tcW w:w="0" w:type="auto"/>
            <w:vAlign w:val="bottom"/>
          </w:tcPr>
          <w:p w14:paraId="28A11FF6"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4853EC4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-0.335</w:t>
            </w:r>
          </w:p>
        </w:tc>
        <w:tc>
          <w:tcPr>
            <w:tcW w:w="0" w:type="auto"/>
            <w:vAlign w:val="bottom"/>
          </w:tcPr>
          <w:p w14:paraId="569BECF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0.04</w:t>
            </w:r>
          </w:p>
        </w:tc>
        <w:tc>
          <w:tcPr>
            <w:tcW w:w="0" w:type="auto"/>
            <w:vAlign w:val="bottom"/>
          </w:tcPr>
          <w:p w14:paraId="36DF31D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564.80</w:t>
            </w:r>
          </w:p>
        </w:tc>
        <w:tc>
          <w:tcPr>
            <w:tcW w:w="0" w:type="auto"/>
            <w:vAlign w:val="bottom"/>
          </w:tcPr>
          <w:p w14:paraId="2B8740E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61.99</w:t>
            </w:r>
          </w:p>
        </w:tc>
        <w:tc>
          <w:tcPr>
            <w:tcW w:w="0" w:type="auto"/>
            <w:vAlign w:val="bottom"/>
          </w:tcPr>
          <w:p w14:paraId="7ED26C5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1F1BA871" w14:textId="77777777" w:rsidTr="004E4A91">
        <w:trPr>
          <w:jc w:val="center"/>
        </w:trPr>
        <w:tc>
          <w:tcPr>
            <w:tcW w:w="0" w:type="auto"/>
            <w:vAlign w:val="bottom"/>
          </w:tcPr>
          <w:p w14:paraId="43C6EAB1"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41266B0E"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79E5E15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-0.352</w:t>
            </w:r>
          </w:p>
        </w:tc>
        <w:tc>
          <w:tcPr>
            <w:tcW w:w="0" w:type="auto"/>
            <w:vAlign w:val="bottom"/>
          </w:tcPr>
          <w:p w14:paraId="0303682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0.01</w:t>
            </w:r>
          </w:p>
        </w:tc>
        <w:tc>
          <w:tcPr>
            <w:tcW w:w="0" w:type="auto"/>
            <w:vAlign w:val="bottom"/>
          </w:tcPr>
          <w:p w14:paraId="34BE8E6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621.35</w:t>
            </w:r>
          </w:p>
        </w:tc>
        <w:tc>
          <w:tcPr>
            <w:tcW w:w="0" w:type="auto"/>
            <w:vAlign w:val="bottom"/>
          </w:tcPr>
          <w:p w14:paraId="0D6B0701"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615.59</w:t>
            </w:r>
          </w:p>
        </w:tc>
        <w:tc>
          <w:tcPr>
            <w:tcW w:w="0" w:type="auto"/>
            <w:vAlign w:val="bottom"/>
          </w:tcPr>
          <w:p w14:paraId="5DF8713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1F409163" w14:textId="77777777" w:rsidTr="004E4A91">
        <w:trPr>
          <w:jc w:val="center"/>
        </w:trPr>
        <w:tc>
          <w:tcPr>
            <w:tcW w:w="0" w:type="auto"/>
            <w:vAlign w:val="bottom"/>
          </w:tcPr>
          <w:p w14:paraId="0319B4A5"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0C33DD4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LAT</w:t>
            </w:r>
          </w:p>
        </w:tc>
        <w:tc>
          <w:tcPr>
            <w:tcW w:w="0" w:type="auto"/>
            <w:vAlign w:val="bottom"/>
          </w:tcPr>
          <w:p w14:paraId="3CBBF31D"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-0.729</w:t>
            </w:r>
          </w:p>
        </w:tc>
        <w:tc>
          <w:tcPr>
            <w:tcW w:w="0" w:type="auto"/>
            <w:vAlign w:val="bottom"/>
          </w:tcPr>
          <w:p w14:paraId="116A6A9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0.03</w:t>
            </w:r>
          </w:p>
        </w:tc>
        <w:tc>
          <w:tcPr>
            <w:tcW w:w="0" w:type="auto"/>
            <w:vAlign w:val="bottom"/>
          </w:tcPr>
          <w:p w14:paraId="3A88870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430.80</w:t>
            </w:r>
          </w:p>
        </w:tc>
        <w:tc>
          <w:tcPr>
            <w:tcW w:w="0" w:type="auto"/>
            <w:vAlign w:val="bottom"/>
          </w:tcPr>
          <w:p w14:paraId="22B05B9A"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447.07</w:t>
            </w:r>
          </w:p>
        </w:tc>
        <w:tc>
          <w:tcPr>
            <w:tcW w:w="0" w:type="auto"/>
            <w:vAlign w:val="bottom"/>
          </w:tcPr>
          <w:p w14:paraId="62B6F0C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5933261F" w14:textId="77777777" w:rsidTr="004E4A91">
        <w:trPr>
          <w:jc w:val="center"/>
        </w:trPr>
        <w:tc>
          <w:tcPr>
            <w:tcW w:w="0" w:type="auto"/>
            <w:vAlign w:val="bottom"/>
          </w:tcPr>
          <w:p w14:paraId="0B163D30"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vAlign w:val="bottom"/>
          </w:tcPr>
          <w:p w14:paraId="6F361315"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0886F2C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-0.246</w:t>
            </w:r>
          </w:p>
        </w:tc>
        <w:tc>
          <w:tcPr>
            <w:tcW w:w="0" w:type="auto"/>
            <w:vAlign w:val="bottom"/>
          </w:tcPr>
          <w:p w14:paraId="3C1BC62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0.02</w:t>
            </w:r>
          </w:p>
        </w:tc>
        <w:tc>
          <w:tcPr>
            <w:tcW w:w="0" w:type="auto"/>
            <w:vAlign w:val="bottom"/>
          </w:tcPr>
          <w:p w14:paraId="108CCF09"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620.38</w:t>
            </w:r>
          </w:p>
        </w:tc>
        <w:tc>
          <w:tcPr>
            <w:tcW w:w="0" w:type="auto"/>
            <w:vAlign w:val="bottom"/>
          </w:tcPr>
          <w:p w14:paraId="04EF471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113.32</w:t>
            </w:r>
          </w:p>
        </w:tc>
        <w:tc>
          <w:tcPr>
            <w:tcW w:w="0" w:type="auto"/>
            <w:vAlign w:val="bottom"/>
          </w:tcPr>
          <w:p w14:paraId="6A87076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3CE3A38F" w14:textId="77777777" w:rsidTr="004E4A91">
        <w:trPr>
          <w:jc w:val="center"/>
        </w:trPr>
        <w:tc>
          <w:tcPr>
            <w:tcW w:w="0" w:type="auto"/>
            <w:vAlign w:val="bottom"/>
          </w:tcPr>
          <w:p w14:paraId="1A4A6634"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vAlign w:val="bottom"/>
          </w:tcPr>
          <w:p w14:paraId="333FA4CB"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LAT</w:t>
            </w:r>
          </w:p>
        </w:tc>
        <w:tc>
          <w:tcPr>
            <w:tcW w:w="0" w:type="auto"/>
            <w:vAlign w:val="bottom"/>
          </w:tcPr>
          <w:p w14:paraId="2BA1D9A9"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-0.626</w:t>
            </w:r>
          </w:p>
        </w:tc>
        <w:tc>
          <w:tcPr>
            <w:tcW w:w="0" w:type="auto"/>
            <w:vAlign w:val="bottom"/>
          </w:tcPr>
          <w:p w14:paraId="7B28010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0.06</w:t>
            </w:r>
          </w:p>
        </w:tc>
        <w:tc>
          <w:tcPr>
            <w:tcW w:w="0" w:type="auto"/>
            <w:vAlign w:val="bottom"/>
          </w:tcPr>
          <w:p w14:paraId="48BC8B8A"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468.98</w:t>
            </w:r>
          </w:p>
        </w:tc>
        <w:tc>
          <w:tcPr>
            <w:tcW w:w="0" w:type="auto"/>
            <w:vAlign w:val="bottom"/>
          </w:tcPr>
          <w:p w14:paraId="0441FBE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122.67</w:t>
            </w:r>
          </w:p>
        </w:tc>
        <w:tc>
          <w:tcPr>
            <w:tcW w:w="0" w:type="auto"/>
            <w:vAlign w:val="bottom"/>
          </w:tcPr>
          <w:p w14:paraId="7268E34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0C8EB9FC" w14:textId="77777777" w:rsidTr="004E4A91">
        <w:trPr>
          <w:jc w:val="center"/>
        </w:trPr>
        <w:tc>
          <w:tcPr>
            <w:tcW w:w="0" w:type="auto"/>
            <w:vAlign w:val="bottom"/>
          </w:tcPr>
          <w:p w14:paraId="04068888"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NDVI</w:t>
            </w:r>
          </w:p>
        </w:tc>
        <w:tc>
          <w:tcPr>
            <w:tcW w:w="0" w:type="auto"/>
            <w:vAlign w:val="bottom"/>
          </w:tcPr>
          <w:p w14:paraId="09B08C3F"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5501014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-0.250</w:t>
            </w:r>
          </w:p>
        </w:tc>
        <w:tc>
          <w:tcPr>
            <w:tcW w:w="0" w:type="auto"/>
            <w:vAlign w:val="bottom"/>
          </w:tcPr>
          <w:p w14:paraId="229A3FE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0.04</w:t>
            </w:r>
          </w:p>
        </w:tc>
        <w:tc>
          <w:tcPr>
            <w:tcW w:w="0" w:type="auto"/>
            <w:vAlign w:val="bottom"/>
          </w:tcPr>
          <w:p w14:paraId="1292759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624.77</w:t>
            </w:r>
          </w:p>
        </w:tc>
        <w:tc>
          <w:tcPr>
            <w:tcW w:w="0" w:type="auto"/>
            <w:vAlign w:val="bottom"/>
          </w:tcPr>
          <w:p w14:paraId="17B5A7DA"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38.83</w:t>
            </w:r>
          </w:p>
        </w:tc>
        <w:tc>
          <w:tcPr>
            <w:tcW w:w="0" w:type="auto"/>
            <w:vAlign w:val="bottom"/>
          </w:tcPr>
          <w:p w14:paraId="2EF51E0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18B5D8DD" w14:textId="77777777" w:rsidTr="004E4A91">
        <w:trPr>
          <w:jc w:val="center"/>
        </w:trPr>
        <w:tc>
          <w:tcPr>
            <w:tcW w:w="0" w:type="auto"/>
            <w:vAlign w:val="bottom"/>
          </w:tcPr>
          <w:p w14:paraId="5A81A32E"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3A5E031D"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~~LAT</w:t>
            </w:r>
          </w:p>
        </w:tc>
        <w:tc>
          <w:tcPr>
            <w:tcW w:w="0" w:type="auto"/>
            <w:vAlign w:val="bottom"/>
          </w:tcPr>
          <w:p w14:paraId="43AA3C7D"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0.203</w:t>
            </w:r>
          </w:p>
        </w:tc>
        <w:tc>
          <w:tcPr>
            <w:tcW w:w="0" w:type="auto"/>
            <w:vAlign w:val="bottom"/>
          </w:tcPr>
          <w:p w14:paraId="74DF4FCA"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3604E40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625</w:t>
            </w:r>
          </w:p>
        </w:tc>
        <w:tc>
          <w:tcPr>
            <w:tcW w:w="0" w:type="auto"/>
            <w:vAlign w:val="bottom"/>
          </w:tcPr>
          <w:p w14:paraId="74ADC7A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5.19</w:t>
            </w:r>
          </w:p>
        </w:tc>
        <w:tc>
          <w:tcPr>
            <w:tcW w:w="0" w:type="auto"/>
            <w:vAlign w:val="bottom"/>
          </w:tcPr>
          <w:p w14:paraId="49D2027A"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3B76531B" w14:textId="77777777" w:rsidTr="004E4A91">
        <w:trPr>
          <w:jc w:val="center"/>
        </w:trPr>
        <w:tc>
          <w:tcPr>
            <w:tcW w:w="0" w:type="auto"/>
            <w:vAlign w:val="bottom"/>
          </w:tcPr>
          <w:p w14:paraId="134D684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~~URBWS</w:t>
            </w:r>
          </w:p>
        </w:tc>
        <w:tc>
          <w:tcPr>
            <w:tcW w:w="0" w:type="auto"/>
            <w:vAlign w:val="bottom"/>
          </w:tcPr>
          <w:p w14:paraId="1BA57AE1"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3667C77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0.453</w:t>
            </w:r>
          </w:p>
        </w:tc>
        <w:tc>
          <w:tcPr>
            <w:tcW w:w="0" w:type="auto"/>
            <w:vAlign w:val="bottom"/>
          </w:tcPr>
          <w:p w14:paraId="465C86EF"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66B1631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vAlign w:val="bottom"/>
          </w:tcPr>
          <w:p w14:paraId="3E32D17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12.67</w:t>
            </w:r>
          </w:p>
        </w:tc>
        <w:tc>
          <w:tcPr>
            <w:tcW w:w="0" w:type="auto"/>
            <w:vAlign w:val="bottom"/>
          </w:tcPr>
          <w:p w14:paraId="3E9A2B2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39A88906" w14:textId="77777777" w:rsidTr="004E4A91">
        <w:trPr>
          <w:jc w:val="center"/>
        </w:trPr>
        <w:tc>
          <w:tcPr>
            <w:tcW w:w="0" w:type="auto"/>
            <w:vAlign w:val="bottom"/>
          </w:tcPr>
          <w:p w14:paraId="455F07C7"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~~URBWS</w:t>
            </w:r>
          </w:p>
        </w:tc>
        <w:tc>
          <w:tcPr>
            <w:tcW w:w="0" w:type="auto"/>
            <w:vAlign w:val="bottom"/>
          </w:tcPr>
          <w:p w14:paraId="69BA3661"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vAlign w:val="bottom"/>
          </w:tcPr>
          <w:p w14:paraId="27C5265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0.177</w:t>
            </w:r>
          </w:p>
        </w:tc>
        <w:tc>
          <w:tcPr>
            <w:tcW w:w="0" w:type="auto"/>
            <w:vAlign w:val="bottom"/>
          </w:tcPr>
          <w:p w14:paraId="515BCDA9"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49EDBD3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vAlign w:val="bottom"/>
          </w:tcPr>
          <w:p w14:paraId="408195C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4.50</w:t>
            </w:r>
          </w:p>
        </w:tc>
        <w:tc>
          <w:tcPr>
            <w:tcW w:w="0" w:type="auto"/>
            <w:vAlign w:val="bottom"/>
          </w:tcPr>
          <w:p w14:paraId="465B5A6B"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2FC0A635" w14:textId="77777777" w:rsidTr="004E4A91">
        <w:trPr>
          <w:jc w:val="center"/>
        </w:trPr>
        <w:tc>
          <w:tcPr>
            <w:tcW w:w="0" w:type="auto"/>
            <w:vAlign w:val="bottom"/>
          </w:tcPr>
          <w:p w14:paraId="119D6FF8"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~~URBWS</w:t>
            </w:r>
          </w:p>
        </w:tc>
        <w:tc>
          <w:tcPr>
            <w:tcW w:w="0" w:type="auto"/>
            <w:vAlign w:val="bottom"/>
          </w:tcPr>
          <w:p w14:paraId="5FDD26D4"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~~NDVI</w:t>
            </w:r>
          </w:p>
        </w:tc>
        <w:tc>
          <w:tcPr>
            <w:tcW w:w="0" w:type="auto"/>
            <w:vAlign w:val="bottom"/>
          </w:tcPr>
          <w:p w14:paraId="4227738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-0.132</w:t>
            </w:r>
          </w:p>
        </w:tc>
        <w:tc>
          <w:tcPr>
            <w:tcW w:w="0" w:type="auto"/>
            <w:vAlign w:val="bottom"/>
          </w:tcPr>
          <w:p w14:paraId="7E87B3B8"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3706841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vAlign w:val="bottom"/>
          </w:tcPr>
          <w:p w14:paraId="1006561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3.33</w:t>
            </w:r>
          </w:p>
        </w:tc>
        <w:tc>
          <w:tcPr>
            <w:tcW w:w="0" w:type="auto"/>
            <w:vAlign w:val="bottom"/>
          </w:tcPr>
          <w:p w14:paraId="5E20EA1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0.001</w:t>
            </w:r>
          </w:p>
        </w:tc>
      </w:tr>
      <w:tr w:rsidR="00584AC7" w14:paraId="70649B49" w14:textId="77777777" w:rsidTr="004E4A91">
        <w:trPr>
          <w:jc w:val="center"/>
        </w:trPr>
        <w:tc>
          <w:tcPr>
            <w:tcW w:w="0" w:type="auto"/>
            <w:vAlign w:val="bottom"/>
          </w:tcPr>
          <w:p w14:paraId="0CB507CA"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17F87D45"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vAlign w:val="bottom"/>
          </w:tcPr>
          <w:p w14:paraId="32EA6BFA"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0.142</w:t>
            </w:r>
          </w:p>
        </w:tc>
        <w:tc>
          <w:tcPr>
            <w:tcW w:w="0" w:type="auto"/>
            <w:vAlign w:val="bottom"/>
          </w:tcPr>
          <w:p w14:paraId="663D1A3A"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51241D0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vAlign w:val="bottom"/>
          </w:tcPr>
          <w:p w14:paraId="717B70D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3.58</w:t>
            </w:r>
          </w:p>
        </w:tc>
        <w:tc>
          <w:tcPr>
            <w:tcW w:w="0" w:type="auto"/>
            <w:vAlign w:val="bottom"/>
          </w:tcPr>
          <w:p w14:paraId="27A497E9"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1BD6ED0B" w14:textId="77777777" w:rsidTr="004E4A91">
        <w:trPr>
          <w:jc w:val="center"/>
        </w:trPr>
        <w:tc>
          <w:tcPr>
            <w:tcW w:w="0" w:type="auto"/>
            <w:vAlign w:val="bottom"/>
          </w:tcPr>
          <w:p w14:paraId="5EA630F6"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28B1278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~~NDVI</w:t>
            </w:r>
          </w:p>
        </w:tc>
        <w:tc>
          <w:tcPr>
            <w:tcW w:w="0" w:type="auto"/>
            <w:vAlign w:val="bottom"/>
          </w:tcPr>
          <w:p w14:paraId="2F456D69"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0.249</w:t>
            </w:r>
          </w:p>
        </w:tc>
        <w:tc>
          <w:tcPr>
            <w:tcW w:w="0" w:type="auto"/>
            <w:vAlign w:val="bottom"/>
          </w:tcPr>
          <w:p w14:paraId="15831E0D" w14:textId="77777777" w:rsidR="00584AC7" w:rsidRPr="004D3460" w:rsidRDefault="00584AC7" w:rsidP="001707F6">
            <w:pPr>
              <w:jc w:val="right"/>
              <w:rPr>
                <w:rFonts w:ascii="Times New Roman" w:hAnsi="Times New Roman" w:cs="Times New Roman"/>
                <w:color w:val="000000"/>
              </w:rPr>
            </w:pPr>
          </w:p>
        </w:tc>
        <w:tc>
          <w:tcPr>
            <w:tcW w:w="0" w:type="auto"/>
            <w:vAlign w:val="bottom"/>
          </w:tcPr>
          <w:p w14:paraId="6224A87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vAlign w:val="bottom"/>
          </w:tcPr>
          <w:p w14:paraId="335F017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6.41</w:t>
            </w:r>
          </w:p>
        </w:tc>
        <w:tc>
          <w:tcPr>
            <w:tcW w:w="0" w:type="auto"/>
            <w:vAlign w:val="bottom"/>
          </w:tcPr>
          <w:p w14:paraId="5EC738B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15F73301" w14:textId="77777777" w:rsidTr="004E4A91">
        <w:trPr>
          <w:jc w:val="center"/>
        </w:trPr>
        <w:tc>
          <w:tcPr>
            <w:tcW w:w="0" w:type="auto"/>
            <w:tcBorders>
              <w:bottom w:val="single" w:sz="4" w:space="0" w:color="auto"/>
            </w:tcBorders>
            <w:vAlign w:val="bottom"/>
          </w:tcPr>
          <w:p w14:paraId="1F507373"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~~CTI</w:t>
            </w:r>
          </w:p>
        </w:tc>
        <w:tc>
          <w:tcPr>
            <w:tcW w:w="0" w:type="auto"/>
            <w:tcBorders>
              <w:bottom w:val="single" w:sz="4" w:space="0" w:color="auto"/>
            </w:tcBorders>
            <w:vAlign w:val="bottom"/>
          </w:tcPr>
          <w:p w14:paraId="6C69BBF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~~NDVI</w:t>
            </w:r>
          </w:p>
        </w:tc>
        <w:tc>
          <w:tcPr>
            <w:tcW w:w="0" w:type="auto"/>
            <w:tcBorders>
              <w:bottom w:val="single" w:sz="4" w:space="0" w:color="auto"/>
            </w:tcBorders>
            <w:vAlign w:val="bottom"/>
          </w:tcPr>
          <w:p w14:paraId="2F5C237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-0.164</w:t>
            </w:r>
          </w:p>
        </w:tc>
        <w:tc>
          <w:tcPr>
            <w:tcW w:w="0" w:type="auto"/>
            <w:tcBorders>
              <w:bottom w:val="single" w:sz="4" w:space="0" w:color="auto"/>
            </w:tcBorders>
            <w:vAlign w:val="bottom"/>
          </w:tcPr>
          <w:p w14:paraId="7CC912BF" w14:textId="77777777" w:rsidR="00584AC7" w:rsidRPr="004D3460" w:rsidRDefault="00584AC7" w:rsidP="001707F6">
            <w:pPr>
              <w:jc w:val="right"/>
              <w:rPr>
                <w:rFonts w:ascii="Times New Roman" w:hAnsi="Times New Roman" w:cs="Times New Roman"/>
                <w:color w:val="000000"/>
              </w:rPr>
            </w:pPr>
          </w:p>
        </w:tc>
        <w:tc>
          <w:tcPr>
            <w:tcW w:w="0" w:type="auto"/>
            <w:tcBorders>
              <w:bottom w:val="single" w:sz="4" w:space="0" w:color="auto"/>
            </w:tcBorders>
            <w:vAlign w:val="bottom"/>
          </w:tcPr>
          <w:p w14:paraId="48E1220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627</w:t>
            </w:r>
          </w:p>
        </w:tc>
        <w:tc>
          <w:tcPr>
            <w:tcW w:w="0" w:type="auto"/>
            <w:tcBorders>
              <w:bottom w:val="single" w:sz="4" w:space="0" w:color="auto"/>
            </w:tcBorders>
            <w:vAlign w:val="bottom"/>
          </w:tcPr>
          <w:p w14:paraId="7FE304B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4.15</w:t>
            </w:r>
          </w:p>
        </w:tc>
        <w:tc>
          <w:tcPr>
            <w:tcW w:w="0" w:type="auto"/>
            <w:tcBorders>
              <w:bottom w:val="single" w:sz="4" w:space="0" w:color="auto"/>
            </w:tcBorders>
            <w:vAlign w:val="bottom"/>
          </w:tcPr>
          <w:p w14:paraId="4339A83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bl>
    <w:p w14:paraId="476C6BDA" w14:textId="77777777" w:rsidR="00584AC7" w:rsidRDefault="00584AC7" w:rsidP="00584AC7">
      <w:pPr>
        <w:rPr>
          <w:rFonts w:ascii="Times New Roman" w:hAnsi="Times New Roman" w:cs="Times New Roman"/>
          <w:b/>
        </w:rPr>
      </w:pPr>
    </w:p>
    <w:p w14:paraId="257276C5" w14:textId="77777777" w:rsidR="00584AC7" w:rsidRDefault="00584AC7" w:rsidP="00584AC7">
      <w:pPr>
        <w:rPr>
          <w:rFonts w:ascii="Times New Roman" w:hAnsi="Times New Roman" w:cs="Times New Roman"/>
          <w:b/>
        </w:rPr>
      </w:pPr>
      <w:r>
        <w:rPr>
          <w:rFonts w:ascii="Times New Roman" w:hAnsi="Times New Roman" w:cs="Times New Roman"/>
          <w:b/>
        </w:rPr>
        <w:br w:type="page"/>
      </w:r>
    </w:p>
    <w:p w14:paraId="30FA259B" w14:textId="23C2A24C" w:rsidR="00584AC7" w:rsidRDefault="00584AC7" w:rsidP="00584AC7">
      <w:pPr>
        <w:rPr>
          <w:rFonts w:ascii="Times New Roman" w:hAnsi="Times New Roman" w:cs="Times New Roman"/>
        </w:rPr>
      </w:pPr>
      <w:bookmarkStart w:id="108" w:name="_Toc93411188"/>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17</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Species piecewise path model coefficients.</w:t>
      </w:r>
      <w:bookmarkEnd w:id="10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189"/>
        <w:gridCol w:w="1123"/>
        <w:gridCol w:w="636"/>
        <w:gridCol w:w="576"/>
        <w:gridCol w:w="756"/>
        <w:gridCol w:w="952"/>
      </w:tblGrid>
      <w:tr w:rsidR="00584AC7" w14:paraId="6A02A8EF" w14:textId="77777777" w:rsidTr="004E4A91">
        <w:trPr>
          <w:jc w:val="center"/>
        </w:trPr>
        <w:tc>
          <w:tcPr>
            <w:tcW w:w="0" w:type="auto"/>
            <w:tcBorders>
              <w:top w:val="single" w:sz="4" w:space="0" w:color="auto"/>
              <w:bottom w:val="single" w:sz="4" w:space="0" w:color="auto"/>
            </w:tcBorders>
            <w:vAlign w:val="bottom"/>
          </w:tcPr>
          <w:p w14:paraId="07818A79"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Response</w:t>
            </w:r>
          </w:p>
        </w:tc>
        <w:tc>
          <w:tcPr>
            <w:tcW w:w="0" w:type="auto"/>
            <w:tcBorders>
              <w:top w:val="single" w:sz="4" w:space="0" w:color="auto"/>
              <w:bottom w:val="single" w:sz="4" w:space="0" w:color="auto"/>
            </w:tcBorders>
            <w:vAlign w:val="bottom"/>
          </w:tcPr>
          <w:p w14:paraId="0FA9EB4C"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Predictor</w:t>
            </w:r>
          </w:p>
        </w:tc>
        <w:tc>
          <w:tcPr>
            <w:tcW w:w="0" w:type="auto"/>
            <w:tcBorders>
              <w:top w:val="single" w:sz="4" w:space="0" w:color="auto"/>
              <w:bottom w:val="single" w:sz="4" w:space="0" w:color="auto"/>
            </w:tcBorders>
            <w:vAlign w:val="bottom"/>
          </w:tcPr>
          <w:p w14:paraId="04B483F3"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Estimate</w:t>
            </w:r>
          </w:p>
        </w:tc>
        <w:tc>
          <w:tcPr>
            <w:tcW w:w="0" w:type="auto"/>
            <w:tcBorders>
              <w:top w:val="single" w:sz="4" w:space="0" w:color="auto"/>
              <w:bottom w:val="single" w:sz="4" w:space="0" w:color="auto"/>
            </w:tcBorders>
            <w:vAlign w:val="bottom"/>
          </w:tcPr>
          <w:p w14:paraId="1C36C3BE"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SE</w:t>
            </w:r>
          </w:p>
        </w:tc>
        <w:tc>
          <w:tcPr>
            <w:tcW w:w="0" w:type="auto"/>
            <w:tcBorders>
              <w:top w:val="single" w:sz="4" w:space="0" w:color="auto"/>
              <w:bottom w:val="single" w:sz="4" w:space="0" w:color="auto"/>
            </w:tcBorders>
            <w:vAlign w:val="bottom"/>
          </w:tcPr>
          <w:p w14:paraId="7C0007EB" w14:textId="77777777" w:rsidR="00584AC7" w:rsidRPr="004D3460" w:rsidRDefault="00584AC7" w:rsidP="001707F6">
            <w:pPr>
              <w:rPr>
                <w:rFonts w:ascii="Times New Roman" w:hAnsi="Times New Roman" w:cs="Times New Roman"/>
                <w:b/>
                <w:i/>
                <w:iCs/>
                <w:color w:val="000000"/>
              </w:rPr>
            </w:pPr>
            <w:r w:rsidRPr="004D3460">
              <w:rPr>
                <w:rFonts w:ascii="Times New Roman" w:hAnsi="Times New Roman" w:cs="Times New Roman"/>
                <w:b/>
                <w:i/>
                <w:iCs/>
                <w:color w:val="000000"/>
              </w:rPr>
              <w:t>df</w:t>
            </w:r>
          </w:p>
        </w:tc>
        <w:tc>
          <w:tcPr>
            <w:tcW w:w="0" w:type="auto"/>
            <w:tcBorders>
              <w:top w:val="single" w:sz="4" w:space="0" w:color="auto"/>
              <w:bottom w:val="single" w:sz="4" w:space="0" w:color="auto"/>
            </w:tcBorders>
            <w:vAlign w:val="bottom"/>
          </w:tcPr>
          <w:p w14:paraId="283CAF8B" w14:textId="77777777" w:rsidR="00584AC7" w:rsidRPr="004D3460" w:rsidRDefault="00584AC7" w:rsidP="001707F6">
            <w:pPr>
              <w:rPr>
                <w:rFonts w:ascii="Times New Roman" w:hAnsi="Times New Roman" w:cs="Times New Roman"/>
                <w:b/>
                <w:color w:val="000000"/>
              </w:rPr>
            </w:pPr>
            <w:r w:rsidRPr="004D3460">
              <w:rPr>
                <w:rFonts w:ascii="Times New Roman" w:hAnsi="Times New Roman" w:cs="Times New Roman"/>
                <w:b/>
                <w:color w:val="000000"/>
              </w:rPr>
              <w:t>|</w:t>
            </w:r>
            <w:r w:rsidRPr="004D3460">
              <w:rPr>
                <w:rFonts w:ascii="Times New Roman" w:hAnsi="Times New Roman" w:cs="Times New Roman"/>
                <w:b/>
                <w:i/>
                <w:iCs/>
                <w:color w:val="000000"/>
              </w:rPr>
              <w:t>t</w:t>
            </w:r>
            <w:r w:rsidRPr="004D3460">
              <w:rPr>
                <w:rFonts w:ascii="Times New Roman" w:hAnsi="Times New Roman" w:cs="Times New Roman"/>
                <w:b/>
                <w:color w:val="000000"/>
              </w:rPr>
              <w:t>|</w:t>
            </w:r>
          </w:p>
        </w:tc>
        <w:tc>
          <w:tcPr>
            <w:tcW w:w="0" w:type="auto"/>
            <w:tcBorders>
              <w:top w:val="single" w:sz="4" w:space="0" w:color="auto"/>
              <w:bottom w:val="single" w:sz="4" w:space="0" w:color="auto"/>
            </w:tcBorders>
            <w:vAlign w:val="bottom"/>
          </w:tcPr>
          <w:p w14:paraId="3B273400" w14:textId="77777777" w:rsidR="00584AC7" w:rsidRPr="004D3460" w:rsidRDefault="00584AC7" w:rsidP="001707F6">
            <w:pPr>
              <w:rPr>
                <w:rFonts w:ascii="Times New Roman" w:hAnsi="Times New Roman" w:cs="Times New Roman"/>
                <w:b/>
                <w:i/>
                <w:iCs/>
                <w:color w:val="000000"/>
              </w:rPr>
            </w:pPr>
            <w:r w:rsidRPr="004D3460">
              <w:rPr>
                <w:rFonts w:ascii="Times New Roman" w:hAnsi="Times New Roman" w:cs="Times New Roman"/>
                <w:b/>
                <w:i/>
                <w:iCs/>
                <w:color w:val="000000"/>
              </w:rPr>
              <w:t>p</w:t>
            </w:r>
          </w:p>
        </w:tc>
      </w:tr>
      <w:tr w:rsidR="00584AC7" w14:paraId="4069AE99" w14:textId="77777777" w:rsidTr="004E4A91">
        <w:trPr>
          <w:jc w:val="center"/>
        </w:trPr>
        <w:tc>
          <w:tcPr>
            <w:tcW w:w="0" w:type="auto"/>
            <w:tcBorders>
              <w:top w:val="single" w:sz="4" w:space="0" w:color="auto"/>
            </w:tcBorders>
            <w:vAlign w:val="bottom"/>
          </w:tcPr>
          <w:p w14:paraId="0317B6DD"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Mass</w:t>
            </w:r>
          </w:p>
        </w:tc>
        <w:tc>
          <w:tcPr>
            <w:tcW w:w="0" w:type="auto"/>
            <w:tcBorders>
              <w:top w:val="single" w:sz="4" w:space="0" w:color="auto"/>
            </w:tcBorders>
            <w:vAlign w:val="bottom"/>
          </w:tcPr>
          <w:p w14:paraId="3FCEEE30"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tcBorders>
              <w:top w:val="single" w:sz="4" w:space="0" w:color="auto"/>
            </w:tcBorders>
            <w:vAlign w:val="bottom"/>
          </w:tcPr>
          <w:p w14:paraId="0094803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-0.162</w:t>
            </w:r>
          </w:p>
        </w:tc>
        <w:tc>
          <w:tcPr>
            <w:tcW w:w="0" w:type="auto"/>
            <w:tcBorders>
              <w:top w:val="single" w:sz="4" w:space="0" w:color="auto"/>
            </w:tcBorders>
            <w:vAlign w:val="bottom"/>
          </w:tcPr>
          <w:p w14:paraId="5C082B4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0.05</w:t>
            </w:r>
          </w:p>
        </w:tc>
        <w:tc>
          <w:tcPr>
            <w:tcW w:w="0" w:type="auto"/>
            <w:tcBorders>
              <w:top w:val="single" w:sz="4" w:space="0" w:color="auto"/>
            </w:tcBorders>
            <w:vAlign w:val="bottom"/>
          </w:tcPr>
          <w:p w14:paraId="40712673"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145</w:t>
            </w:r>
          </w:p>
        </w:tc>
        <w:tc>
          <w:tcPr>
            <w:tcW w:w="0" w:type="auto"/>
            <w:tcBorders>
              <w:top w:val="single" w:sz="4" w:space="0" w:color="auto"/>
            </w:tcBorders>
            <w:vAlign w:val="bottom"/>
          </w:tcPr>
          <w:p w14:paraId="4FDCDF0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3.00</w:t>
            </w:r>
          </w:p>
        </w:tc>
        <w:tc>
          <w:tcPr>
            <w:tcW w:w="0" w:type="auto"/>
            <w:tcBorders>
              <w:top w:val="single" w:sz="4" w:space="0" w:color="auto"/>
            </w:tcBorders>
            <w:vAlign w:val="bottom"/>
          </w:tcPr>
          <w:p w14:paraId="67659DF5"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0.003</w:t>
            </w:r>
          </w:p>
        </w:tc>
      </w:tr>
      <w:tr w:rsidR="00584AC7" w14:paraId="0ADF6B58" w14:textId="77777777" w:rsidTr="004E4A91">
        <w:trPr>
          <w:jc w:val="center"/>
        </w:trPr>
        <w:tc>
          <w:tcPr>
            <w:tcW w:w="0" w:type="auto"/>
            <w:vAlign w:val="bottom"/>
          </w:tcPr>
          <w:p w14:paraId="315C015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31AB632F"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vAlign w:val="bottom"/>
          </w:tcPr>
          <w:p w14:paraId="1708C4FD"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-0.135</w:t>
            </w:r>
          </w:p>
        </w:tc>
        <w:tc>
          <w:tcPr>
            <w:tcW w:w="0" w:type="auto"/>
            <w:vAlign w:val="bottom"/>
          </w:tcPr>
          <w:p w14:paraId="4679D941"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0.03</w:t>
            </w:r>
          </w:p>
        </w:tc>
        <w:tc>
          <w:tcPr>
            <w:tcW w:w="0" w:type="auto"/>
            <w:vAlign w:val="bottom"/>
          </w:tcPr>
          <w:p w14:paraId="4B90670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145</w:t>
            </w:r>
          </w:p>
        </w:tc>
        <w:tc>
          <w:tcPr>
            <w:tcW w:w="0" w:type="auto"/>
            <w:vAlign w:val="bottom"/>
          </w:tcPr>
          <w:p w14:paraId="7DCE791F"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4.56</w:t>
            </w:r>
          </w:p>
        </w:tc>
        <w:tc>
          <w:tcPr>
            <w:tcW w:w="0" w:type="auto"/>
            <w:vAlign w:val="bottom"/>
          </w:tcPr>
          <w:p w14:paraId="75098FD2"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6A78D943" w14:textId="77777777" w:rsidTr="004E4A91">
        <w:trPr>
          <w:jc w:val="center"/>
        </w:trPr>
        <w:tc>
          <w:tcPr>
            <w:tcW w:w="0" w:type="auto"/>
            <w:vAlign w:val="bottom"/>
          </w:tcPr>
          <w:p w14:paraId="3825D2C8"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TMP</w:t>
            </w:r>
          </w:p>
        </w:tc>
        <w:tc>
          <w:tcPr>
            <w:tcW w:w="0" w:type="auto"/>
            <w:vAlign w:val="bottom"/>
          </w:tcPr>
          <w:p w14:paraId="1E1404E5"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LAT</w:t>
            </w:r>
          </w:p>
        </w:tc>
        <w:tc>
          <w:tcPr>
            <w:tcW w:w="0" w:type="auto"/>
            <w:vAlign w:val="bottom"/>
          </w:tcPr>
          <w:p w14:paraId="010C8E8D"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-0.885</w:t>
            </w:r>
          </w:p>
        </w:tc>
        <w:tc>
          <w:tcPr>
            <w:tcW w:w="0" w:type="auto"/>
            <w:vAlign w:val="bottom"/>
          </w:tcPr>
          <w:p w14:paraId="59C5640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0.03</w:t>
            </w:r>
          </w:p>
        </w:tc>
        <w:tc>
          <w:tcPr>
            <w:tcW w:w="0" w:type="auto"/>
            <w:vAlign w:val="bottom"/>
          </w:tcPr>
          <w:p w14:paraId="049B5237"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145</w:t>
            </w:r>
          </w:p>
        </w:tc>
        <w:tc>
          <w:tcPr>
            <w:tcW w:w="0" w:type="auto"/>
            <w:vAlign w:val="bottom"/>
          </w:tcPr>
          <w:p w14:paraId="55ADB59C"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30.02</w:t>
            </w:r>
          </w:p>
        </w:tc>
        <w:tc>
          <w:tcPr>
            <w:tcW w:w="0" w:type="auto"/>
            <w:vAlign w:val="bottom"/>
          </w:tcPr>
          <w:p w14:paraId="041D1344"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r w:rsidR="00584AC7" w14:paraId="68A81E58" w14:textId="77777777" w:rsidTr="004E4A91">
        <w:trPr>
          <w:jc w:val="center"/>
        </w:trPr>
        <w:tc>
          <w:tcPr>
            <w:tcW w:w="0" w:type="auto"/>
            <w:tcBorders>
              <w:bottom w:val="single" w:sz="4" w:space="0" w:color="auto"/>
            </w:tcBorders>
            <w:vAlign w:val="bottom"/>
          </w:tcPr>
          <w:p w14:paraId="3933DD12"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~~ELEV</w:t>
            </w:r>
          </w:p>
        </w:tc>
        <w:tc>
          <w:tcPr>
            <w:tcW w:w="0" w:type="auto"/>
            <w:tcBorders>
              <w:bottom w:val="single" w:sz="4" w:space="0" w:color="auto"/>
            </w:tcBorders>
            <w:vAlign w:val="bottom"/>
          </w:tcPr>
          <w:p w14:paraId="15B4CD70" w14:textId="77777777" w:rsidR="00584AC7" w:rsidRPr="004D3460" w:rsidRDefault="00584AC7" w:rsidP="001707F6">
            <w:pPr>
              <w:rPr>
                <w:rFonts w:ascii="Times New Roman" w:hAnsi="Times New Roman" w:cs="Times New Roman"/>
                <w:color w:val="000000"/>
              </w:rPr>
            </w:pPr>
            <w:r w:rsidRPr="004D3460">
              <w:rPr>
                <w:rFonts w:ascii="Times New Roman" w:hAnsi="Times New Roman" w:cs="Times New Roman"/>
                <w:color w:val="000000"/>
              </w:rPr>
              <w:t>~~LAT</w:t>
            </w:r>
          </w:p>
        </w:tc>
        <w:tc>
          <w:tcPr>
            <w:tcW w:w="0" w:type="auto"/>
            <w:tcBorders>
              <w:bottom w:val="single" w:sz="4" w:space="0" w:color="auto"/>
            </w:tcBorders>
            <w:vAlign w:val="bottom"/>
          </w:tcPr>
          <w:p w14:paraId="543A099E"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0.398</w:t>
            </w:r>
          </w:p>
        </w:tc>
        <w:tc>
          <w:tcPr>
            <w:tcW w:w="0" w:type="auto"/>
            <w:tcBorders>
              <w:bottom w:val="single" w:sz="4" w:space="0" w:color="auto"/>
            </w:tcBorders>
            <w:vAlign w:val="bottom"/>
          </w:tcPr>
          <w:p w14:paraId="518FDA9F" w14:textId="77777777" w:rsidR="00584AC7" w:rsidRPr="004D3460" w:rsidRDefault="00584AC7" w:rsidP="001707F6">
            <w:pPr>
              <w:jc w:val="right"/>
              <w:rPr>
                <w:rFonts w:ascii="Times New Roman" w:hAnsi="Times New Roman" w:cs="Times New Roman"/>
                <w:color w:val="000000"/>
              </w:rPr>
            </w:pPr>
          </w:p>
        </w:tc>
        <w:tc>
          <w:tcPr>
            <w:tcW w:w="0" w:type="auto"/>
            <w:tcBorders>
              <w:bottom w:val="single" w:sz="4" w:space="0" w:color="auto"/>
            </w:tcBorders>
            <w:vAlign w:val="bottom"/>
          </w:tcPr>
          <w:p w14:paraId="16C2F901"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143</w:t>
            </w:r>
          </w:p>
        </w:tc>
        <w:tc>
          <w:tcPr>
            <w:tcW w:w="0" w:type="auto"/>
            <w:tcBorders>
              <w:bottom w:val="single" w:sz="4" w:space="0" w:color="auto"/>
            </w:tcBorders>
            <w:vAlign w:val="bottom"/>
          </w:tcPr>
          <w:p w14:paraId="50D75CC6"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5.18</w:t>
            </w:r>
          </w:p>
        </w:tc>
        <w:tc>
          <w:tcPr>
            <w:tcW w:w="0" w:type="auto"/>
            <w:tcBorders>
              <w:bottom w:val="single" w:sz="4" w:space="0" w:color="auto"/>
            </w:tcBorders>
            <w:vAlign w:val="bottom"/>
          </w:tcPr>
          <w:p w14:paraId="710F07B8" w14:textId="77777777" w:rsidR="00584AC7" w:rsidRPr="004D3460" w:rsidRDefault="00584AC7" w:rsidP="001707F6">
            <w:pPr>
              <w:jc w:val="right"/>
              <w:rPr>
                <w:rFonts w:ascii="Times New Roman" w:hAnsi="Times New Roman" w:cs="Times New Roman"/>
                <w:color w:val="000000"/>
              </w:rPr>
            </w:pPr>
            <w:r w:rsidRPr="004D3460">
              <w:rPr>
                <w:rFonts w:ascii="Times New Roman" w:hAnsi="Times New Roman" w:cs="Times New Roman"/>
                <w:color w:val="000000"/>
              </w:rPr>
              <w:t>&lt; 0.001</w:t>
            </w:r>
          </w:p>
        </w:tc>
      </w:tr>
    </w:tbl>
    <w:p w14:paraId="14A10398" w14:textId="77777777" w:rsidR="00584AC7" w:rsidRDefault="00584AC7" w:rsidP="00584AC7">
      <w:pPr>
        <w:rPr>
          <w:rFonts w:ascii="Times New Roman" w:hAnsi="Times New Roman" w:cs="Times New Roman"/>
          <w:b/>
        </w:rPr>
      </w:pPr>
    </w:p>
    <w:p w14:paraId="001387BC" w14:textId="77777777" w:rsidR="00584AC7" w:rsidRDefault="00584AC7" w:rsidP="00584AC7">
      <w:pPr>
        <w:rPr>
          <w:rFonts w:ascii="Times New Roman" w:hAnsi="Times New Roman" w:cs="Times New Roman"/>
          <w:b/>
        </w:rPr>
      </w:pPr>
      <w:r>
        <w:rPr>
          <w:rFonts w:ascii="Times New Roman" w:hAnsi="Times New Roman" w:cs="Times New Roman"/>
          <w:b/>
        </w:rPr>
        <w:br w:type="page"/>
      </w:r>
    </w:p>
    <w:p w14:paraId="598A680E" w14:textId="7CD8F3B4" w:rsidR="004221FC" w:rsidRDefault="00584AC7" w:rsidP="00584AC7">
      <w:pPr>
        <w:rPr>
          <w:rFonts w:ascii="Times New Roman" w:hAnsi="Times New Roman" w:cs="Times New Roman"/>
        </w:rPr>
      </w:pPr>
      <w:bookmarkStart w:id="109" w:name="_Toc93411189"/>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18</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Population piecewise path model coefficients.</w:t>
      </w:r>
      <w:bookmarkEnd w:id="10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343"/>
        <w:gridCol w:w="1123"/>
        <w:gridCol w:w="636"/>
        <w:gridCol w:w="996"/>
        <w:gridCol w:w="1116"/>
        <w:gridCol w:w="952"/>
      </w:tblGrid>
      <w:tr w:rsidR="00584AC7" w14:paraId="1AD592AD" w14:textId="77777777" w:rsidTr="004E4A91">
        <w:trPr>
          <w:jc w:val="center"/>
        </w:trPr>
        <w:tc>
          <w:tcPr>
            <w:tcW w:w="0" w:type="auto"/>
            <w:tcBorders>
              <w:top w:val="single" w:sz="4" w:space="0" w:color="auto"/>
              <w:bottom w:val="single" w:sz="4" w:space="0" w:color="auto"/>
            </w:tcBorders>
            <w:vAlign w:val="bottom"/>
          </w:tcPr>
          <w:p w14:paraId="3AFB582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color w:val="000000"/>
              </w:rPr>
              <w:t>Response</w:t>
            </w:r>
          </w:p>
        </w:tc>
        <w:tc>
          <w:tcPr>
            <w:tcW w:w="0" w:type="auto"/>
            <w:tcBorders>
              <w:top w:val="single" w:sz="4" w:space="0" w:color="auto"/>
              <w:bottom w:val="single" w:sz="4" w:space="0" w:color="auto"/>
            </w:tcBorders>
            <w:vAlign w:val="bottom"/>
          </w:tcPr>
          <w:p w14:paraId="577286C3"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color w:val="000000"/>
              </w:rPr>
              <w:t>Predictor</w:t>
            </w:r>
          </w:p>
        </w:tc>
        <w:tc>
          <w:tcPr>
            <w:tcW w:w="0" w:type="auto"/>
            <w:tcBorders>
              <w:top w:val="single" w:sz="4" w:space="0" w:color="auto"/>
              <w:bottom w:val="single" w:sz="4" w:space="0" w:color="auto"/>
            </w:tcBorders>
            <w:vAlign w:val="bottom"/>
          </w:tcPr>
          <w:p w14:paraId="5FA8DB5A"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color w:val="000000"/>
              </w:rPr>
              <w:t>Estimate</w:t>
            </w:r>
          </w:p>
        </w:tc>
        <w:tc>
          <w:tcPr>
            <w:tcW w:w="0" w:type="auto"/>
            <w:tcBorders>
              <w:top w:val="single" w:sz="4" w:space="0" w:color="auto"/>
              <w:bottom w:val="single" w:sz="4" w:space="0" w:color="auto"/>
            </w:tcBorders>
            <w:vAlign w:val="bottom"/>
          </w:tcPr>
          <w:p w14:paraId="6BF3F6D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color w:val="000000"/>
              </w:rPr>
              <w:t>SE</w:t>
            </w:r>
          </w:p>
        </w:tc>
        <w:tc>
          <w:tcPr>
            <w:tcW w:w="0" w:type="auto"/>
            <w:tcBorders>
              <w:top w:val="single" w:sz="4" w:space="0" w:color="auto"/>
              <w:bottom w:val="single" w:sz="4" w:space="0" w:color="auto"/>
            </w:tcBorders>
            <w:vAlign w:val="bottom"/>
          </w:tcPr>
          <w:p w14:paraId="09518C9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i/>
                <w:iCs/>
                <w:color w:val="000000"/>
              </w:rPr>
              <w:t>df</w:t>
            </w:r>
          </w:p>
        </w:tc>
        <w:tc>
          <w:tcPr>
            <w:tcW w:w="0" w:type="auto"/>
            <w:tcBorders>
              <w:top w:val="single" w:sz="4" w:space="0" w:color="auto"/>
              <w:bottom w:val="single" w:sz="4" w:space="0" w:color="auto"/>
            </w:tcBorders>
            <w:vAlign w:val="bottom"/>
          </w:tcPr>
          <w:p w14:paraId="188A7743"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color w:val="000000"/>
              </w:rPr>
              <w:t>|</w:t>
            </w:r>
            <w:r w:rsidRPr="004D3460">
              <w:rPr>
                <w:rFonts w:ascii="Times New Roman" w:hAnsi="Times New Roman" w:cs="Times New Roman"/>
                <w:b/>
                <w:i/>
                <w:iCs/>
                <w:color w:val="000000"/>
              </w:rPr>
              <w:t>t</w:t>
            </w:r>
            <w:r w:rsidRPr="004D3460">
              <w:rPr>
                <w:rFonts w:ascii="Times New Roman" w:hAnsi="Times New Roman" w:cs="Times New Roman"/>
                <w:b/>
                <w:color w:val="000000"/>
              </w:rPr>
              <w:t>|</w:t>
            </w:r>
          </w:p>
        </w:tc>
        <w:tc>
          <w:tcPr>
            <w:tcW w:w="0" w:type="auto"/>
            <w:tcBorders>
              <w:top w:val="single" w:sz="4" w:space="0" w:color="auto"/>
              <w:bottom w:val="single" w:sz="4" w:space="0" w:color="auto"/>
            </w:tcBorders>
            <w:vAlign w:val="bottom"/>
          </w:tcPr>
          <w:p w14:paraId="130DFDF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b/>
                <w:i/>
                <w:iCs/>
                <w:color w:val="000000"/>
              </w:rPr>
              <w:t>p</w:t>
            </w:r>
          </w:p>
        </w:tc>
      </w:tr>
      <w:tr w:rsidR="00584AC7" w14:paraId="2532DB50" w14:textId="77777777" w:rsidTr="004E4A91">
        <w:trPr>
          <w:jc w:val="center"/>
        </w:trPr>
        <w:tc>
          <w:tcPr>
            <w:tcW w:w="0" w:type="auto"/>
            <w:tcBorders>
              <w:top w:val="single" w:sz="4" w:space="0" w:color="auto"/>
            </w:tcBorders>
            <w:vAlign w:val="bottom"/>
          </w:tcPr>
          <w:p w14:paraId="0E68C06E"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tcBorders>
              <w:top w:val="single" w:sz="4" w:space="0" w:color="auto"/>
            </w:tcBorders>
            <w:vAlign w:val="bottom"/>
          </w:tcPr>
          <w:p w14:paraId="63AAFDAC"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Ctmax</w:t>
            </w:r>
          </w:p>
        </w:tc>
        <w:tc>
          <w:tcPr>
            <w:tcW w:w="0" w:type="auto"/>
            <w:tcBorders>
              <w:top w:val="single" w:sz="4" w:space="0" w:color="auto"/>
            </w:tcBorders>
            <w:vAlign w:val="bottom"/>
          </w:tcPr>
          <w:p w14:paraId="31D294C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-0.159</w:t>
            </w:r>
          </w:p>
        </w:tc>
        <w:tc>
          <w:tcPr>
            <w:tcW w:w="0" w:type="auto"/>
            <w:tcBorders>
              <w:top w:val="single" w:sz="4" w:space="0" w:color="auto"/>
            </w:tcBorders>
            <w:vAlign w:val="bottom"/>
          </w:tcPr>
          <w:p w14:paraId="76A2D30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0.09</w:t>
            </w:r>
          </w:p>
        </w:tc>
        <w:tc>
          <w:tcPr>
            <w:tcW w:w="0" w:type="auto"/>
            <w:tcBorders>
              <w:top w:val="single" w:sz="4" w:space="0" w:color="auto"/>
            </w:tcBorders>
            <w:vAlign w:val="bottom"/>
          </w:tcPr>
          <w:p w14:paraId="5F86EF5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tcBorders>
              <w:top w:val="single" w:sz="4" w:space="0" w:color="auto"/>
            </w:tcBorders>
            <w:vAlign w:val="bottom"/>
          </w:tcPr>
          <w:p w14:paraId="5697B16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1.80</w:t>
            </w:r>
          </w:p>
        </w:tc>
        <w:tc>
          <w:tcPr>
            <w:tcW w:w="0" w:type="auto"/>
            <w:tcBorders>
              <w:top w:val="single" w:sz="4" w:space="0" w:color="auto"/>
            </w:tcBorders>
            <w:vAlign w:val="bottom"/>
          </w:tcPr>
          <w:p w14:paraId="147D47A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0.072</w:t>
            </w:r>
          </w:p>
        </w:tc>
      </w:tr>
      <w:tr w:rsidR="00584AC7" w14:paraId="29550433" w14:textId="77777777" w:rsidTr="004E4A91">
        <w:trPr>
          <w:jc w:val="center"/>
        </w:trPr>
        <w:tc>
          <w:tcPr>
            <w:tcW w:w="0" w:type="auto"/>
            <w:vAlign w:val="bottom"/>
          </w:tcPr>
          <w:p w14:paraId="2B145964"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46B6163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QCV</w:t>
            </w:r>
          </w:p>
        </w:tc>
        <w:tc>
          <w:tcPr>
            <w:tcW w:w="0" w:type="auto"/>
            <w:vAlign w:val="bottom"/>
          </w:tcPr>
          <w:p w14:paraId="527E068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-0.063</w:t>
            </w:r>
          </w:p>
        </w:tc>
        <w:tc>
          <w:tcPr>
            <w:tcW w:w="0" w:type="auto"/>
            <w:vAlign w:val="bottom"/>
          </w:tcPr>
          <w:p w14:paraId="47CC5F4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066EF2A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69604A7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4.07</w:t>
            </w:r>
          </w:p>
        </w:tc>
        <w:tc>
          <w:tcPr>
            <w:tcW w:w="0" w:type="auto"/>
            <w:vAlign w:val="bottom"/>
          </w:tcPr>
          <w:p w14:paraId="2E165203"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B38E6DA" w14:textId="77777777" w:rsidTr="004E4A91">
        <w:trPr>
          <w:jc w:val="center"/>
        </w:trPr>
        <w:tc>
          <w:tcPr>
            <w:tcW w:w="0" w:type="auto"/>
            <w:vAlign w:val="bottom"/>
          </w:tcPr>
          <w:p w14:paraId="3D8EDA7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2C5FDB14"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74644B8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-0.084</w:t>
            </w:r>
          </w:p>
        </w:tc>
        <w:tc>
          <w:tcPr>
            <w:tcW w:w="0" w:type="auto"/>
            <w:vAlign w:val="bottom"/>
          </w:tcPr>
          <w:p w14:paraId="46B376C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6DDFA0C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3728DEBF"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3.73</w:t>
            </w:r>
          </w:p>
        </w:tc>
        <w:tc>
          <w:tcPr>
            <w:tcW w:w="0" w:type="auto"/>
            <w:vAlign w:val="bottom"/>
          </w:tcPr>
          <w:p w14:paraId="35F60C0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7B078A4A" w14:textId="77777777" w:rsidTr="004E4A91">
        <w:trPr>
          <w:jc w:val="center"/>
        </w:trPr>
        <w:tc>
          <w:tcPr>
            <w:tcW w:w="0" w:type="auto"/>
            <w:vAlign w:val="bottom"/>
          </w:tcPr>
          <w:p w14:paraId="10FCFF6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54DEF3D3"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NDVI</w:t>
            </w:r>
          </w:p>
        </w:tc>
        <w:tc>
          <w:tcPr>
            <w:tcW w:w="0" w:type="auto"/>
            <w:vAlign w:val="bottom"/>
          </w:tcPr>
          <w:p w14:paraId="083CC49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-0.038</w:t>
            </w:r>
          </w:p>
        </w:tc>
        <w:tc>
          <w:tcPr>
            <w:tcW w:w="0" w:type="auto"/>
            <w:vAlign w:val="bottom"/>
          </w:tcPr>
          <w:p w14:paraId="1E4E8DA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469D0D5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1216B6D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1.90</w:t>
            </w:r>
          </w:p>
        </w:tc>
        <w:tc>
          <w:tcPr>
            <w:tcW w:w="0" w:type="auto"/>
            <w:vAlign w:val="bottom"/>
          </w:tcPr>
          <w:p w14:paraId="0C718BA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0.058</w:t>
            </w:r>
          </w:p>
        </w:tc>
      </w:tr>
      <w:tr w:rsidR="00584AC7" w14:paraId="132516E2" w14:textId="77777777" w:rsidTr="004E4A91">
        <w:trPr>
          <w:jc w:val="center"/>
        </w:trPr>
        <w:tc>
          <w:tcPr>
            <w:tcW w:w="0" w:type="auto"/>
            <w:vAlign w:val="bottom"/>
          </w:tcPr>
          <w:p w14:paraId="6B51260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232DB39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2B4F6CD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0.055</w:t>
            </w:r>
          </w:p>
        </w:tc>
        <w:tc>
          <w:tcPr>
            <w:tcW w:w="0" w:type="auto"/>
            <w:vAlign w:val="bottom"/>
          </w:tcPr>
          <w:p w14:paraId="21103F4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0758CE0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74E4BBB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3.18</w:t>
            </w:r>
          </w:p>
        </w:tc>
        <w:tc>
          <w:tcPr>
            <w:tcW w:w="0" w:type="auto"/>
            <w:vAlign w:val="bottom"/>
          </w:tcPr>
          <w:p w14:paraId="0601EE7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0.002</w:t>
            </w:r>
          </w:p>
        </w:tc>
      </w:tr>
      <w:tr w:rsidR="00584AC7" w14:paraId="1050AA0E" w14:textId="77777777" w:rsidTr="004E4A91">
        <w:trPr>
          <w:jc w:val="center"/>
        </w:trPr>
        <w:tc>
          <w:tcPr>
            <w:tcW w:w="0" w:type="auto"/>
            <w:vAlign w:val="bottom"/>
          </w:tcPr>
          <w:p w14:paraId="10EB879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36BC604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73C649C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0.032</w:t>
            </w:r>
          </w:p>
        </w:tc>
        <w:tc>
          <w:tcPr>
            <w:tcW w:w="0" w:type="auto"/>
            <w:vAlign w:val="bottom"/>
          </w:tcPr>
          <w:p w14:paraId="190923C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0EAF0E1F"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6CBD79E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1.87</w:t>
            </w:r>
          </w:p>
        </w:tc>
        <w:tc>
          <w:tcPr>
            <w:tcW w:w="0" w:type="auto"/>
            <w:vAlign w:val="bottom"/>
          </w:tcPr>
          <w:p w14:paraId="3BFA671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0.062</w:t>
            </w:r>
          </w:p>
        </w:tc>
      </w:tr>
      <w:tr w:rsidR="00584AC7" w14:paraId="047E00D4" w14:textId="77777777" w:rsidTr="004E4A91">
        <w:trPr>
          <w:jc w:val="center"/>
        </w:trPr>
        <w:tc>
          <w:tcPr>
            <w:tcW w:w="0" w:type="auto"/>
            <w:vAlign w:val="bottom"/>
          </w:tcPr>
          <w:p w14:paraId="01989B61"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Mass</w:t>
            </w:r>
          </w:p>
        </w:tc>
        <w:tc>
          <w:tcPr>
            <w:tcW w:w="0" w:type="auto"/>
            <w:vAlign w:val="bottom"/>
          </w:tcPr>
          <w:p w14:paraId="568D85DE"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0E55873F"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0.037</w:t>
            </w:r>
          </w:p>
        </w:tc>
        <w:tc>
          <w:tcPr>
            <w:tcW w:w="0" w:type="auto"/>
            <w:vAlign w:val="bottom"/>
          </w:tcPr>
          <w:p w14:paraId="0232228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58644A9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1A8DAA9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1.96</w:t>
            </w:r>
          </w:p>
        </w:tc>
        <w:tc>
          <w:tcPr>
            <w:tcW w:w="0" w:type="auto"/>
            <w:vAlign w:val="bottom"/>
          </w:tcPr>
          <w:p w14:paraId="47D654BF"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0.051</w:t>
            </w:r>
          </w:p>
        </w:tc>
      </w:tr>
      <w:tr w:rsidR="00584AC7" w14:paraId="6631B8FE" w14:textId="77777777" w:rsidTr="004E4A91">
        <w:trPr>
          <w:jc w:val="center"/>
        </w:trPr>
        <w:tc>
          <w:tcPr>
            <w:tcW w:w="0" w:type="auto"/>
            <w:vAlign w:val="bottom"/>
          </w:tcPr>
          <w:p w14:paraId="70F2658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QCV</w:t>
            </w:r>
          </w:p>
        </w:tc>
        <w:tc>
          <w:tcPr>
            <w:tcW w:w="0" w:type="auto"/>
            <w:vAlign w:val="bottom"/>
          </w:tcPr>
          <w:p w14:paraId="1E2E0C2B"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6795878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0.401</w:t>
            </w:r>
          </w:p>
        </w:tc>
        <w:tc>
          <w:tcPr>
            <w:tcW w:w="0" w:type="auto"/>
            <w:vAlign w:val="bottom"/>
          </w:tcPr>
          <w:p w14:paraId="6E7DA2A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64D4F11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675.75</w:t>
            </w:r>
          </w:p>
        </w:tc>
        <w:tc>
          <w:tcPr>
            <w:tcW w:w="0" w:type="auto"/>
            <w:vAlign w:val="bottom"/>
          </w:tcPr>
          <w:p w14:paraId="58323A9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275.36</w:t>
            </w:r>
          </w:p>
        </w:tc>
        <w:tc>
          <w:tcPr>
            <w:tcW w:w="0" w:type="auto"/>
            <w:vAlign w:val="bottom"/>
          </w:tcPr>
          <w:p w14:paraId="19FEFCB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1EAFD255" w14:textId="77777777" w:rsidTr="004E4A91">
        <w:trPr>
          <w:jc w:val="center"/>
        </w:trPr>
        <w:tc>
          <w:tcPr>
            <w:tcW w:w="0" w:type="auto"/>
            <w:vAlign w:val="bottom"/>
          </w:tcPr>
          <w:p w14:paraId="1C92D12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476F6A36"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ELEV</w:t>
            </w:r>
          </w:p>
        </w:tc>
        <w:tc>
          <w:tcPr>
            <w:tcW w:w="0" w:type="auto"/>
            <w:vAlign w:val="bottom"/>
          </w:tcPr>
          <w:p w14:paraId="184A82A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-0.256</w:t>
            </w:r>
          </w:p>
        </w:tc>
        <w:tc>
          <w:tcPr>
            <w:tcW w:w="0" w:type="auto"/>
            <w:vAlign w:val="bottom"/>
          </w:tcPr>
          <w:p w14:paraId="7D83A6E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0.01</w:t>
            </w:r>
          </w:p>
        </w:tc>
        <w:tc>
          <w:tcPr>
            <w:tcW w:w="0" w:type="auto"/>
            <w:vAlign w:val="bottom"/>
          </w:tcPr>
          <w:p w14:paraId="3EA78C8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2394.72</w:t>
            </w:r>
          </w:p>
        </w:tc>
        <w:tc>
          <w:tcPr>
            <w:tcW w:w="0" w:type="auto"/>
            <w:vAlign w:val="bottom"/>
          </w:tcPr>
          <w:p w14:paraId="3CC77E0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1604.29</w:t>
            </w:r>
          </w:p>
        </w:tc>
        <w:tc>
          <w:tcPr>
            <w:tcW w:w="0" w:type="auto"/>
            <w:vAlign w:val="bottom"/>
          </w:tcPr>
          <w:p w14:paraId="4C3B6C2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2F5A51B" w14:textId="77777777" w:rsidTr="004E4A91">
        <w:trPr>
          <w:jc w:val="center"/>
        </w:trPr>
        <w:tc>
          <w:tcPr>
            <w:tcW w:w="0" w:type="auto"/>
            <w:vAlign w:val="bottom"/>
          </w:tcPr>
          <w:p w14:paraId="5A24BE06"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4E9AE065"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269F51F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-0.914</w:t>
            </w:r>
          </w:p>
        </w:tc>
        <w:tc>
          <w:tcPr>
            <w:tcW w:w="0" w:type="auto"/>
            <w:vAlign w:val="bottom"/>
          </w:tcPr>
          <w:p w14:paraId="4918515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0.01</w:t>
            </w:r>
          </w:p>
        </w:tc>
        <w:tc>
          <w:tcPr>
            <w:tcW w:w="0" w:type="auto"/>
            <w:vAlign w:val="bottom"/>
          </w:tcPr>
          <w:p w14:paraId="44F4491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2320.43</w:t>
            </w:r>
          </w:p>
        </w:tc>
        <w:tc>
          <w:tcPr>
            <w:tcW w:w="0" w:type="auto"/>
            <w:vAlign w:val="bottom"/>
          </w:tcPr>
          <w:p w14:paraId="6AA41DA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13906.29</w:t>
            </w:r>
          </w:p>
        </w:tc>
        <w:tc>
          <w:tcPr>
            <w:tcW w:w="0" w:type="auto"/>
            <w:vAlign w:val="bottom"/>
          </w:tcPr>
          <w:p w14:paraId="3512F2B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1BEA83A2" w14:textId="77777777" w:rsidTr="004E4A91">
        <w:trPr>
          <w:jc w:val="center"/>
        </w:trPr>
        <w:tc>
          <w:tcPr>
            <w:tcW w:w="0" w:type="auto"/>
            <w:vAlign w:val="bottom"/>
          </w:tcPr>
          <w:p w14:paraId="14CBBBC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NDVI</w:t>
            </w:r>
          </w:p>
        </w:tc>
        <w:tc>
          <w:tcPr>
            <w:tcW w:w="0" w:type="auto"/>
            <w:vAlign w:val="bottom"/>
          </w:tcPr>
          <w:p w14:paraId="66EE7E6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ELEV</w:t>
            </w:r>
          </w:p>
        </w:tc>
        <w:tc>
          <w:tcPr>
            <w:tcW w:w="0" w:type="auto"/>
            <w:vAlign w:val="bottom"/>
          </w:tcPr>
          <w:p w14:paraId="6674247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-0.338</w:t>
            </w:r>
          </w:p>
        </w:tc>
        <w:tc>
          <w:tcPr>
            <w:tcW w:w="0" w:type="auto"/>
            <w:vAlign w:val="bottom"/>
          </w:tcPr>
          <w:p w14:paraId="10A7A40D"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0A4D50C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2235.71</w:t>
            </w:r>
          </w:p>
        </w:tc>
        <w:tc>
          <w:tcPr>
            <w:tcW w:w="0" w:type="auto"/>
            <w:vAlign w:val="bottom"/>
          </w:tcPr>
          <w:p w14:paraId="531FC14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265.80</w:t>
            </w:r>
          </w:p>
        </w:tc>
        <w:tc>
          <w:tcPr>
            <w:tcW w:w="0" w:type="auto"/>
            <w:vAlign w:val="bottom"/>
          </w:tcPr>
          <w:p w14:paraId="04466703"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5E4CB238" w14:textId="77777777" w:rsidTr="004E4A91">
        <w:trPr>
          <w:jc w:val="center"/>
        </w:trPr>
        <w:tc>
          <w:tcPr>
            <w:tcW w:w="0" w:type="auto"/>
            <w:vAlign w:val="bottom"/>
          </w:tcPr>
          <w:p w14:paraId="0EC8916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NDVI</w:t>
            </w:r>
          </w:p>
        </w:tc>
        <w:tc>
          <w:tcPr>
            <w:tcW w:w="0" w:type="auto"/>
            <w:vAlign w:val="bottom"/>
          </w:tcPr>
          <w:p w14:paraId="3F7EF50F"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048C15B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-0.246</w:t>
            </w:r>
          </w:p>
        </w:tc>
        <w:tc>
          <w:tcPr>
            <w:tcW w:w="0" w:type="auto"/>
            <w:vAlign w:val="bottom"/>
          </w:tcPr>
          <w:p w14:paraId="0D2A027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1FAC97A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1646.48</w:t>
            </w:r>
          </w:p>
        </w:tc>
        <w:tc>
          <w:tcPr>
            <w:tcW w:w="0" w:type="auto"/>
            <w:vAlign w:val="bottom"/>
          </w:tcPr>
          <w:p w14:paraId="3B4272AD"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101.32</w:t>
            </w:r>
          </w:p>
        </w:tc>
        <w:tc>
          <w:tcPr>
            <w:tcW w:w="0" w:type="auto"/>
            <w:vAlign w:val="bottom"/>
          </w:tcPr>
          <w:p w14:paraId="7F36399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A48541C" w14:textId="77777777" w:rsidTr="004E4A91">
        <w:trPr>
          <w:jc w:val="center"/>
        </w:trPr>
        <w:tc>
          <w:tcPr>
            <w:tcW w:w="0" w:type="auto"/>
            <w:vAlign w:val="bottom"/>
          </w:tcPr>
          <w:p w14:paraId="3F5DF02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11D1D70A"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ELEV</w:t>
            </w:r>
          </w:p>
        </w:tc>
        <w:tc>
          <w:tcPr>
            <w:tcW w:w="0" w:type="auto"/>
            <w:vAlign w:val="bottom"/>
          </w:tcPr>
          <w:p w14:paraId="3A33653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-0.262</w:t>
            </w:r>
          </w:p>
        </w:tc>
        <w:tc>
          <w:tcPr>
            <w:tcW w:w="0" w:type="auto"/>
            <w:vAlign w:val="bottom"/>
          </w:tcPr>
          <w:p w14:paraId="60BDB20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6862F32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2236.09</w:t>
            </w:r>
          </w:p>
        </w:tc>
        <w:tc>
          <w:tcPr>
            <w:tcW w:w="0" w:type="auto"/>
            <w:vAlign w:val="bottom"/>
          </w:tcPr>
          <w:p w14:paraId="3718209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153.65</w:t>
            </w:r>
          </w:p>
        </w:tc>
        <w:tc>
          <w:tcPr>
            <w:tcW w:w="0" w:type="auto"/>
            <w:vAlign w:val="bottom"/>
          </w:tcPr>
          <w:p w14:paraId="33A7753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20E2EBE3" w14:textId="77777777" w:rsidTr="004E4A91">
        <w:trPr>
          <w:jc w:val="center"/>
        </w:trPr>
        <w:tc>
          <w:tcPr>
            <w:tcW w:w="0" w:type="auto"/>
            <w:vAlign w:val="bottom"/>
          </w:tcPr>
          <w:p w14:paraId="03CF988F"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4E1C4605"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2DB6FDC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-0.116</w:t>
            </w:r>
          </w:p>
        </w:tc>
        <w:tc>
          <w:tcPr>
            <w:tcW w:w="0" w:type="auto"/>
            <w:vAlign w:val="bottom"/>
          </w:tcPr>
          <w:p w14:paraId="60321AC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7D39FE3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1647.34</w:t>
            </w:r>
          </w:p>
        </w:tc>
        <w:tc>
          <w:tcPr>
            <w:tcW w:w="0" w:type="auto"/>
            <w:vAlign w:val="bottom"/>
          </w:tcPr>
          <w:p w14:paraId="34DA471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21.43</w:t>
            </w:r>
          </w:p>
        </w:tc>
        <w:tc>
          <w:tcPr>
            <w:tcW w:w="0" w:type="auto"/>
            <w:vAlign w:val="bottom"/>
          </w:tcPr>
          <w:p w14:paraId="34E71A2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E2BC31C" w14:textId="77777777" w:rsidTr="004E4A91">
        <w:trPr>
          <w:jc w:val="center"/>
        </w:trPr>
        <w:tc>
          <w:tcPr>
            <w:tcW w:w="0" w:type="auto"/>
            <w:vAlign w:val="bottom"/>
          </w:tcPr>
          <w:p w14:paraId="3C803344"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1D3B7C5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ELEV</w:t>
            </w:r>
          </w:p>
        </w:tc>
        <w:tc>
          <w:tcPr>
            <w:tcW w:w="0" w:type="auto"/>
            <w:vAlign w:val="bottom"/>
          </w:tcPr>
          <w:p w14:paraId="0E1DD7C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-0.264</w:t>
            </w:r>
          </w:p>
        </w:tc>
        <w:tc>
          <w:tcPr>
            <w:tcW w:w="0" w:type="auto"/>
            <w:vAlign w:val="bottom"/>
          </w:tcPr>
          <w:p w14:paraId="29EB62F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w:t>
            </w:r>
          </w:p>
        </w:tc>
        <w:tc>
          <w:tcPr>
            <w:tcW w:w="0" w:type="auto"/>
            <w:vAlign w:val="bottom"/>
          </w:tcPr>
          <w:p w14:paraId="464001EF"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2385.20</w:t>
            </w:r>
          </w:p>
        </w:tc>
        <w:tc>
          <w:tcPr>
            <w:tcW w:w="0" w:type="auto"/>
            <w:vAlign w:val="bottom"/>
          </w:tcPr>
          <w:p w14:paraId="2096F8C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160.93</w:t>
            </w:r>
          </w:p>
        </w:tc>
        <w:tc>
          <w:tcPr>
            <w:tcW w:w="0" w:type="auto"/>
            <w:vAlign w:val="bottom"/>
          </w:tcPr>
          <w:p w14:paraId="5AD1D02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0E19D58" w14:textId="77777777" w:rsidTr="004E4A91">
        <w:trPr>
          <w:jc w:val="center"/>
        </w:trPr>
        <w:tc>
          <w:tcPr>
            <w:tcW w:w="0" w:type="auto"/>
            <w:vAlign w:val="bottom"/>
          </w:tcPr>
          <w:p w14:paraId="2FE8D99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12EF8C0F"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0ADCE30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0.159</w:t>
            </w:r>
          </w:p>
        </w:tc>
        <w:tc>
          <w:tcPr>
            <w:tcW w:w="0" w:type="auto"/>
            <w:vAlign w:val="bottom"/>
          </w:tcPr>
          <w:p w14:paraId="56FD891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w:t>
            </w:r>
          </w:p>
        </w:tc>
        <w:tc>
          <w:tcPr>
            <w:tcW w:w="0" w:type="auto"/>
            <w:vAlign w:val="bottom"/>
          </w:tcPr>
          <w:p w14:paraId="5781D8A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2173.67</w:t>
            </w:r>
          </w:p>
        </w:tc>
        <w:tc>
          <w:tcPr>
            <w:tcW w:w="0" w:type="auto"/>
            <w:vAlign w:val="bottom"/>
          </w:tcPr>
          <w:p w14:paraId="2B61649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40.37</w:t>
            </w:r>
          </w:p>
        </w:tc>
        <w:tc>
          <w:tcPr>
            <w:tcW w:w="0" w:type="auto"/>
            <w:vAlign w:val="bottom"/>
          </w:tcPr>
          <w:p w14:paraId="525C1013"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1F55620A" w14:textId="77777777" w:rsidTr="004E4A91">
        <w:trPr>
          <w:jc w:val="center"/>
        </w:trPr>
        <w:tc>
          <w:tcPr>
            <w:tcW w:w="0" w:type="auto"/>
            <w:vAlign w:val="bottom"/>
          </w:tcPr>
          <w:p w14:paraId="5A5DF6C9"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61D1513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3626714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-0.213</w:t>
            </w:r>
          </w:p>
        </w:tc>
        <w:tc>
          <w:tcPr>
            <w:tcW w:w="0" w:type="auto"/>
            <w:vAlign w:val="bottom"/>
          </w:tcPr>
          <w:p w14:paraId="7BD525C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w:t>
            </w:r>
          </w:p>
        </w:tc>
        <w:tc>
          <w:tcPr>
            <w:tcW w:w="0" w:type="auto"/>
            <w:vAlign w:val="bottom"/>
          </w:tcPr>
          <w:p w14:paraId="3B184EB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1538.60</w:t>
            </w:r>
          </w:p>
        </w:tc>
        <w:tc>
          <w:tcPr>
            <w:tcW w:w="0" w:type="auto"/>
            <w:vAlign w:val="bottom"/>
          </w:tcPr>
          <w:p w14:paraId="2E8FA3B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62.15</w:t>
            </w:r>
          </w:p>
        </w:tc>
        <w:tc>
          <w:tcPr>
            <w:tcW w:w="0" w:type="auto"/>
            <w:vAlign w:val="bottom"/>
          </w:tcPr>
          <w:p w14:paraId="5788349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1581A418" w14:textId="77777777" w:rsidTr="004E4A91">
        <w:trPr>
          <w:jc w:val="center"/>
        </w:trPr>
        <w:tc>
          <w:tcPr>
            <w:tcW w:w="0" w:type="auto"/>
            <w:vAlign w:val="bottom"/>
          </w:tcPr>
          <w:p w14:paraId="299ED86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~~ELEV</w:t>
            </w:r>
          </w:p>
        </w:tc>
        <w:tc>
          <w:tcPr>
            <w:tcW w:w="0" w:type="auto"/>
            <w:vAlign w:val="bottom"/>
          </w:tcPr>
          <w:p w14:paraId="4DE18951"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~~LAT</w:t>
            </w:r>
          </w:p>
        </w:tc>
        <w:tc>
          <w:tcPr>
            <w:tcW w:w="0" w:type="auto"/>
            <w:vAlign w:val="bottom"/>
          </w:tcPr>
          <w:p w14:paraId="605DB95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0.179</w:t>
            </w:r>
          </w:p>
        </w:tc>
        <w:tc>
          <w:tcPr>
            <w:tcW w:w="0" w:type="auto"/>
            <w:vAlign w:val="bottom"/>
          </w:tcPr>
          <w:p w14:paraId="069C6BC5" w14:textId="77777777" w:rsidR="00584AC7" w:rsidRPr="004D3460" w:rsidRDefault="00584AC7" w:rsidP="001707F6">
            <w:pPr>
              <w:jc w:val="right"/>
              <w:rPr>
                <w:rFonts w:ascii="Times New Roman" w:hAnsi="Times New Roman" w:cs="Times New Roman"/>
                <w:b/>
              </w:rPr>
            </w:pPr>
          </w:p>
        </w:tc>
        <w:tc>
          <w:tcPr>
            <w:tcW w:w="0" w:type="auto"/>
            <w:vAlign w:val="bottom"/>
          </w:tcPr>
          <w:p w14:paraId="39DF0F4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2396.00</w:t>
            </w:r>
          </w:p>
        </w:tc>
        <w:tc>
          <w:tcPr>
            <w:tcW w:w="0" w:type="auto"/>
            <w:vAlign w:val="bottom"/>
          </w:tcPr>
          <w:p w14:paraId="3D59DECD"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8.92</w:t>
            </w:r>
          </w:p>
        </w:tc>
        <w:tc>
          <w:tcPr>
            <w:tcW w:w="0" w:type="auto"/>
            <w:vAlign w:val="bottom"/>
          </w:tcPr>
          <w:p w14:paraId="3BC5274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7EF0D799" w14:textId="77777777" w:rsidTr="004E4A91">
        <w:trPr>
          <w:jc w:val="center"/>
        </w:trPr>
        <w:tc>
          <w:tcPr>
            <w:tcW w:w="0" w:type="auto"/>
            <w:vAlign w:val="bottom"/>
          </w:tcPr>
          <w:p w14:paraId="2980EE8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~~QCV</w:t>
            </w:r>
          </w:p>
        </w:tc>
        <w:tc>
          <w:tcPr>
            <w:tcW w:w="0" w:type="auto"/>
            <w:vAlign w:val="bottom"/>
          </w:tcPr>
          <w:p w14:paraId="524AB72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17607F4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-0.044</w:t>
            </w:r>
          </w:p>
        </w:tc>
        <w:tc>
          <w:tcPr>
            <w:tcW w:w="0" w:type="auto"/>
            <w:vAlign w:val="bottom"/>
          </w:tcPr>
          <w:p w14:paraId="6BFE834D" w14:textId="77777777" w:rsidR="00584AC7" w:rsidRPr="004D3460" w:rsidRDefault="00584AC7" w:rsidP="001707F6">
            <w:pPr>
              <w:jc w:val="right"/>
              <w:rPr>
                <w:rFonts w:ascii="Times New Roman" w:hAnsi="Times New Roman" w:cs="Times New Roman"/>
                <w:b/>
              </w:rPr>
            </w:pPr>
          </w:p>
        </w:tc>
        <w:tc>
          <w:tcPr>
            <w:tcW w:w="0" w:type="auto"/>
            <w:vAlign w:val="bottom"/>
          </w:tcPr>
          <w:p w14:paraId="1E00250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0698269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2.13</w:t>
            </w:r>
          </w:p>
        </w:tc>
        <w:tc>
          <w:tcPr>
            <w:tcW w:w="0" w:type="auto"/>
            <w:vAlign w:val="bottom"/>
          </w:tcPr>
          <w:p w14:paraId="160CAA6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0.017</w:t>
            </w:r>
          </w:p>
        </w:tc>
      </w:tr>
      <w:tr w:rsidR="00584AC7" w14:paraId="6C1E0DF4" w14:textId="77777777" w:rsidTr="004E4A91">
        <w:trPr>
          <w:jc w:val="center"/>
        </w:trPr>
        <w:tc>
          <w:tcPr>
            <w:tcW w:w="0" w:type="auto"/>
            <w:vAlign w:val="bottom"/>
          </w:tcPr>
          <w:p w14:paraId="788C07A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~~QCV</w:t>
            </w:r>
          </w:p>
        </w:tc>
        <w:tc>
          <w:tcPr>
            <w:tcW w:w="0" w:type="auto"/>
            <w:vAlign w:val="bottom"/>
          </w:tcPr>
          <w:p w14:paraId="2F0EBAA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631AA36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0.108</w:t>
            </w:r>
          </w:p>
        </w:tc>
        <w:tc>
          <w:tcPr>
            <w:tcW w:w="0" w:type="auto"/>
            <w:vAlign w:val="bottom"/>
          </w:tcPr>
          <w:p w14:paraId="0FFB9C5C" w14:textId="77777777" w:rsidR="00584AC7" w:rsidRPr="004D3460" w:rsidRDefault="00584AC7" w:rsidP="001707F6">
            <w:pPr>
              <w:jc w:val="right"/>
              <w:rPr>
                <w:rFonts w:ascii="Times New Roman" w:hAnsi="Times New Roman" w:cs="Times New Roman"/>
                <w:b/>
              </w:rPr>
            </w:pPr>
          </w:p>
        </w:tc>
        <w:tc>
          <w:tcPr>
            <w:tcW w:w="0" w:type="auto"/>
            <w:vAlign w:val="bottom"/>
          </w:tcPr>
          <w:p w14:paraId="42AA252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146017B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5.31</w:t>
            </w:r>
          </w:p>
        </w:tc>
        <w:tc>
          <w:tcPr>
            <w:tcW w:w="0" w:type="auto"/>
            <w:vAlign w:val="bottom"/>
          </w:tcPr>
          <w:p w14:paraId="4579C8ED"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0F941D2A" w14:textId="77777777" w:rsidTr="004E4A91">
        <w:trPr>
          <w:jc w:val="center"/>
        </w:trPr>
        <w:tc>
          <w:tcPr>
            <w:tcW w:w="0" w:type="auto"/>
            <w:vAlign w:val="bottom"/>
          </w:tcPr>
          <w:p w14:paraId="580A2C05"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~~QCV</w:t>
            </w:r>
          </w:p>
        </w:tc>
        <w:tc>
          <w:tcPr>
            <w:tcW w:w="0" w:type="auto"/>
            <w:vAlign w:val="bottom"/>
          </w:tcPr>
          <w:p w14:paraId="1947A8B1"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6D1F3ED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-0.037</w:t>
            </w:r>
          </w:p>
        </w:tc>
        <w:tc>
          <w:tcPr>
            <w:tcW w:w="0" w:type="auto"/>
            <w:vAlign w:val="bottom"/>
          </w:tcPr>
          <w:p w14:paraId="62BB2602" w14:textId="77777777" w:rsidR="00584AC7" w:rsidRPr="004D3460" w:rsidRDefault="00584AC7" w:rsidP="001707F6">
            <w:pPr>
              <w:jc w:val="right"/>
              <w:rPr>
                <w:rFonts w:ascii="Times New Roman" w:hAnsi="Times New Roman" w:cs="Times New Roman"/>
                <w:b/>
              </w:rPr>
            </w:pPr>
          </w:p>
        </w:tc>
        <w:tc>
          <w:tcPr>
            <w:tcW w:w="0" w:type="auto"/>
            <w:vAlign w:val="bottom"/>
          </w:tcPr>
          <w:p w14:paraId="40ADFB7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6D94A47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1.81</w:t>
            </w:r>
          </w:p>
        </w:tc>
        <w:tc>
          <w:tcPr>
            <w:tcW w:w="0" w:type="auto"/>
            <w:vAlign w:val="bottom"/>
          </w:tcPr>
          <w:p w14:paraId="7A75ADA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0.035</w:t>
            </w:r>
          </w:p>
        </w:tc>
      </w:tr>
      <w:tr w:rsidR="00584AC7" w14:paraId="7EFC8295" w14:textId="77777777" w:rsidTr="004E4A91">
        <w:trPr>
          <w:jc w:val="center"/>
        </w:trPr>
        <w:tc>
          <w:tcPr>
            <w:tcW w:w="0" w:type="auto"/>
            <w:vAlign w:val="bottom"/>
          </w:tcPr>
          <w:p w14:paraId="402F95F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7C993065"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1BE282B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0.283</w:t>
            </w:r>
          </w:p>
        </w:tc>
        <w:tc>
          <w:tcPr>
            <w:tcW w:w="0" w:type="auto"/>
            <w:vAlign w:val="bottom"/>
          </w:tcPr>
          <w:p w14:paraId="5BBD48DF" w14:textId="77777777" w:rsidR="00584AC7" w:rsidRPr="004D3460" w:rsidRDefault="00584AC7" w:rsidP="001707F6">
            <w:pPr>
              <w:jc w:val="right"/>
              <w:rPr>
                <w:rFonts w:ascii="Times New Roman" w:hAnsi="Times New Roman" w:cs="Times New Roman"/>
                <w:b/>
              </w:rPr>
            </w:pPr>
          </w:p>
        </w:tc>
        <w:tc>
          <w:tcPr>
            <w:tcW w:w="0" w:type="auto"/>
            <w:vAlign w:val="bottom"/>
          </w:tcPr>
          <w:p w14:paraId="07A17B2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58FEC02A"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14.45</w:t>
            </w:r>
          </w:p>
        </w:tc>
        <w:tc>
          <w:tcPr>
            <w:tcW w:w="0" w:type="auto"/>
            <w:vAlign w:val="bottom"/>
          </w:tcPr>
          <w:p w14:paraId="401EF72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492308C4" w14:textId="77777777" w:rsidTr="004E4A91">
        <w:trPr>
          <w:jc w:val="center"/>
        </w:trPr>
        <w:tc>
          <w:tcPr>
            <w:tcW w:w="0" w:type="auto"/>
            <w:vAlign w:val="bottom"/>
          </w:tcPr>
          <w:p w14:paraId="382A922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5435BE1B"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2CCAE6C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0.094</w:t>
            </w:r>
          </w:p>
        </w:tc>
        <w:tc>
          <w:tcPr>
            <w:tcW w:w="0" w:type="auto"/>
            <w:vAlign w:val="bottom"/>
          </w:tcPr>
          <w:p w14:paraId="7F043961" w14:textId="77777777" w:rsidR="00584AC7" w:rsidRPr="004D3460" w:rsidRDefault="00584AC7" w:rsidP="001707F6">
            <w:pPr>
              <w:jc w:val="right"/>
              <w:rPr>
                <w:rFonts w:ascii="Times New Roman" w:hAnsi="Times New Roman" w:cs="Times New Roman"/>
                <w:b/>
              </w:rPr>
            </w:pPr>
          </w:p>
        </w:tc>
        <w:tc>
          <w:tcPr>
            <w:tcW w:w="0" w:type="auto"/>
            <w:vAlign w:val="bottom"/>
          </w:tcPr>
          <w:p w14:paraId="601A3D5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69AF28A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4.63</w:t>
            </w:r>
          </w:p>
        </w:tc>
        <w:tc>
          <w:tcPr>
            <w:tcW w:w="0" w:type="auto"/>
            <w:vAlign w:val="bottom"/>
          </w:tcPr>
          <w:p w14:paraId="7FB7CC3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034838C2" w14:textId="77777777" w:rsidTr="004E4A91">
        <w:trPr>
          <w:jc w:val="center"/>
        </w:trPr>
        <w:tc>
          <w:tcPr>
            <w:tcW w:w="0" w:type="auto"/>
            <w:vAlign w:val="bottom"/>
          </w:tcPr>
          <w:p w14:paraId="6014217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~~TMP</w:t>
            </w:r>
          </w:p>
        </w:tc>
        <w:tc>
          <w:tcPr>
            <w:tcW w:w="0" w:type="auto"/>
            <w:vAlign w:val="bottom"/>
          </w:tcPr>
          <w:p w14:paraId="7F55B3E3"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15E318D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-0.234</w:t>
            </w:r>
          </w:p>
        </w:tc>
        <w:tc>
          <w:tcPr>
            <w:tcW w:w="0" w:type="auto"/>
            <w:vAlign w:val="bottom"/>
          </w:tcPr>
          <w:p w14:paraId="443D5A1B" w14:textId="77777777" w:rsidR="00584AC7" w:rsidRPr="004D3460" w:rsidRDefault="00584AC7" w:rsidP="001707F6">
            <w:pPr>
              <w:jc w:val="right"/>
              <w:rPr>
                <w:rFonts w:ascii="Times New Roman" w:hAnsi="Times New Roman" w:cs="Times New Roman"/>
                <w:b/>
              </w:rPr>
            </w:pPr>
          </w:p>
        </w:tc>
        <w:tc>
          <w:tcPr>
            <w:tcW w:w="0" w:type="auto"/>
            <w:vAlign w:val="bottom"/>
          </w:tcPr>
          <w:p w14:paraId="00B6A1C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79689B84"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11.78</w:t>
            </w:r>
          </w:p>
        </w:tc>
        <w:tc>
          <w:tcPr>
            <w:tcW w:w="0" w:type="auto"/>
            <w:vAlign w:val="bottom"/>
          </w:tcPr>
          <w:p w14:paraId="3D230373"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7AE4B230" w14:textId="77777777" w:rsidTr="004E4A91">
        <w:trPr>
          <w:jc w:val="center"/>
        </w:trPr>
        <w:tc>
          <w:tcPr>
            <w:tcW w:w="0" w:type="auto"/>
            <w:vAlign w:val="bottom"/>
          </w:tcPr>
          <w:p w14:paraId="04B6262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~~NDVI</w:t>
            </w:r>
          </w:p>
        </w:tc>
        <w:tc>
          <w:tcPr>
            <w:tcW w:w="0" w:type="auto"/>
            <w:vAlign w:val="bottom"/>
          </w:tcPr>
          <w:p w14:paraId="5AE13D38"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0DF6628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-0.220</w:t>
            </w:r>
          </w:p>
        </w:tc>
        <w:tc>
          <w:tcPr>
            <w:tcW w:w="0" w:type="auto"/>
            <w:vAlign w:val="bottom"/>
          </w:tcPr>
          <w:p w14:paraId="402EB3C1" w14:textId="77777777" w:rsidR="00584AC7" w:rsidRPr="004D3460" w:rsidRDefault="00584AC7" w:rsidP="001707F6">
            <w:pPr>
              <w:jc w:val="right"/>
              <w:rPr>
                <w:rFonts w:ascii="Times New Roman" w:hAnsi="Times New Roman" w:cs="Times New Roman"/>
                <w:b/>
              </w:rPr>
            </w:pPr>
          </w:p>
        </w:tc>
        <w:tc>
          <w:tcPr>
            <w:tcW w:w="0" w:type="auto"/>
            <w:vAlign w:val="bottom"/>
          </w:tcPr>
          <w:p w14:paraId="5AB2BD5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16179937"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11.03</w:t>
            </w:r>
          </w:p>
        </w:tc>
        <w:tc>
          <w:tcPr>
            <w:tcW w:w="0" w:type="auto"/>
            <w:vAlign w:val="bottom"/>
          </w:tcPr>
          <w:p w14:paraId="225D933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746FFCC7" w14:textId="77777777" w:rsidTr="004E4A91">
        <w:trPr>
          <w:jc w:val="center"/>
        </w:trPr>
        <w:tc>
          <w:tcPr>
            <w:tcW w:w="0" w:type="auto"/>
            <w:vAlign w:val="bottom"/>
          </w:tcPr>
          <w:p w14:paraId="3294D127"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~~NDVI</w:t>
            </w:r>
          </w:p>
        </w:tc>
        <w:tc>
          <w:tcPr>
            <w:tcW w:w="0" w:type="auto"/>
            <w:vAlign w:val="bottom"/>
          </w:tcPr>
          <w:p w14:paraId="1228866F"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37BA0BD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0.529</w:t>
            </w:r>
          </w:p>
        </w:tc>
        <w:tc>
          <w:tcPr>
            <w:tcW w:w="0" w:type="auto"/>
            <w:vAlign w:val="bottom"/>
          </w:tcPr>
          <w:p w14:paraId="7764334E" w14:textId="77777777" w:rsidR="00584AC7" w:rsidRPr="004D3460" w:rsidRDefault="00584AC7" w:rsidP="001707F6">
            <w:pPr>
              <w:jc w:val="right"/>
              <w:rPr>
                <w:rFonts w:ascii="Times New Roman" w:hAnsi="Times New Roman" w:cs="Times New Roman"/>
                <w:b/>
              </w:rPr>
            </w:pPr>
          </w:p>
        </w:tc>
        <w:tc>
          <w:tcPr>
            <w:tcW w:w="0" w:type="auto"/>
            <w:vAlign w:val="bottom"/>
          </w:tcPr>
          <w:p w14:paraId="5A11242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5EA3FC4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30.48</w:t>
            </w:r>
          </w:p>
        </w:tc>
        <w:tc>
          <w:tcPr>
            <w:tcW w:w="0" w:type="auto"/>
            <w:vAlign w:val="bottom"/>
          </w:tcPr>
          <w:p w14:paraId="5412E88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4739D583" w14:textId="77777777" w:rsidTr="004E4A91">
        <w:trPr>
          <w:jc w:val="center"/>
        </w:trPr>
        <w:tc>
          <w:tcPr>
            <w:tcW w:w="0" w:type="auto"/>
            <w:vAlign w:val="bottom"/>
          </w:tcPr>
          <w:p w14:paraId="074147CC"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6E6C06FE"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41552CB8"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-0.111</w:t>
            </w:r>
          </w:p>
        </w:tc>
        <w:tc>
          <w:tcPr>
            <w:tcW w:w="0" w:type="auto"/>
            <w:vAlign w:val="bottom"/>
          </w:tcPr>
          <w:p w14:paraId="7BA15ECA" w14:textId="77777777" w:rsidR="00584AC7" w:rsidRPr="004D3460" w:rsidRDefault="00584AC7" w:rsidP="001707F6">
            <w:pPr>
              <w:jc w:val="right"/>
              <w:rPr>
                <w:rFonts w:ascii="Times New Roman" w:hAnsi="Times New Roman" w:cs="Times New Roman"/>
                <w:b/>
              </w:rPr>
            </w:pPr>
          </w:p>
        </w:tc>
        <w:tc>
          <w:tcPr>
            <w:tcW w:w="0" w:type="auto"/>
            <w:vAlign w:val="bottom"/>
          </w:tcPr>
          <w:p w14:paraId="78BE6450"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3B1B57D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5.45</w:t>
            </w:r>
          </w:p>
        </w:tc>
        <w:tc>
          <w:tcPr>
            <w:tcW w:w="0" w:type="auto"/>
            <w:vAlign w:val="bottom"/>
          </w:tcPr>
          <w:p w14:paraId="2306641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02DD90BF" w14:textId="77777777" w:rsidTr="004E4A91">
        <w:trPr>
          <w:jc w:val="center"/>
        </w:trPr>
        <w:tc>
          <w:tcPr>
            <w:tcW w:w="0" w:type="auto"/>
            <w:vAlign w:val="bottom"/>
          </w:tcPr>
          <w:p w14:paraId="10C0EDAA"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546A5BE3"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0F53F819"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-0.264</w:t>
            </w:r>
          </w:p>
        </w:tc>
        <w:tc>
          <w:tcPr>
            <w:tcW w:w="0" w:type="auto"/>
            <w:vAlign w:val="bottom"/>
          </w:tcPr>
          <w:p w14:paraId="23618863" w14:textId="77777777" w:rsidR="00584AC7" w:rsidRPr="004D3460" w:rsidRDefault="00584AC7" w:rsidP="001707F6">
            <w:pPr>
              <w:jc w:val="right"/>
              <w:rPr>
                <w:rFonts w:ascii="Times New Roman" w:hAnsi="Times New Roman" w:cs="Times New Roman"/>
                <w:b/>
              </w:rPr>
            </w:pPr>
          </w:p>
        </w:tc>
        <w:tc>
          <w:tcPr>
            <w:tcW w:w="0" w:type="auto"/>
            <w:vAlign w:val="bottom"/>
          </w:tcPr>
          <w:p w14:paraId="6FBA055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4E6CEB5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13.39</w:t>
            </w:r>
          </w:p>
        </w:tc>
        <w:tc>
          <w:tcPr>
            <w:tcW w:w="0" w:type="auto"/>
            <w:vAlign w:val="bottom"/>
          </w:tcPr>
          <w:p w14:paraId="438C9283"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3F132D61" w14:textId="77777777" w:rsidTr="004E4A91">
        <w:trPr>
          <w:jc w:val="center"/>
        </w:trPr>
        <w:tc>
          <w:tcPr>
            <w:tcW w:w="0" w:type="auto"/>
            <w:vAlign w:val="bottom"/>
          </w:tcPr>
          <w:p w14:paraId="0906AB1C"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~~URBWS</w:t>
            </w:r>
          </w:p>
        </w:tc>
        <w:tc>
          <w:tcPr>
            <w:tcW w:w="0" w:type="auto"/>
            <w:vAlign w:val="bottom"/>
          </w:tcPr>
          <w:p w14:paraId="5FDEFBBB"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~~Ctmax</w:t>
            </w:r>
          </w:p>
        </w:tc>
        <w:tc>
          <w:tcPr>
            <w:tcW w:w="0" w:type="auto"/>
            <w:vAlign w:val="bottom"/>
          </w:tcPr>
          <w:p w14:paraId="086C2C5D"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0.050</w:t>
            </w:r>
          </w:p>
        </w:tc>
        <w:tc>
          <w:tcPr>
            <w:tcW w:w="0" w:type="auto"/>
            <w:vAlign w:val="bottom"/>
          </w:tcPr>
          <w:p w14:paraId="38EEA482" w14:textId="77777777" w:rsidR="00584AC7" w:rsidRPr="004D3460" w:rsidRDefault="00584AC7" w:rsidP="001707F6">
            <w:pPr>
              <w:jc w:val="right"/>
              <w:rPr>
                <w:rFonts w:ascii="Times New Roman" w:hAnsi="Times New Roman" w:cs="Times New Roman"/>
                <w:b/>
              </w:rPr>
            </w:pPr>
          </w:p>
        </w:tc>
        <w:tc>
          <w:tcPr>
            <w:tcW w:w="0" w:type="auto"/>
            <w:vAlign w:val="bottom"/>
          </w:tcPr>
          <w:p w14:paraId="3629D5F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3934.00</w:t>
            </w:r>
          </w:p>
        </w:tc>
        <w:tc>
          <w:tcPr>
            <w:tcW w:w="0" w:type="auto"/>
            <w:vAlign w:val="bottom"/>
          </w:tcPr>
          <w:p w14:paraId="7E0203D2"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3.13</w:t>
            </w:r>
          </w:p>
        </w:tc>
        <w:tc>
          <w:tcPr>
            <w:tcW w:w="0" w:type="auto"/>
            <w:vAlign w:val="bottom"/>
          </w:tcPr>
          <w:p w14:paraId="2E599E1B"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0.001</w:t>
            </w:r>
          </w:p>
        </w:tc>
      </w:tr>
      <w:tr w:rsidR="00584AC7" w14:paraId="551CC180" w14:textId="77777777" w:rsidTr="004E4A91">
        <w:trPr>
          <w:jc w:val="center"/>
        </w:trPr>
        <w:tc>
          <w:tcPr>
            <w:tcW w:w="0" w:type="auto"/>
            <w:vAlign w:val="bottom"/>
          </w:tcPr>
          <w:p w14:paraId="5DC0A539"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~~AGRWS</w:t>
            </w:r>
          </w:p>
        </w:tc>
        <w:tc>
          <w:tcPr>
            <w:tcW w:w="0" w:type="auto"/>
            <w:vAlign w:val="bottom"/>
          </w:tcPr>
          <w:p w14:paraId="428F6462"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vAlign w:val="bottom"/>
          </w:tcPr>
          <w:p w14:paraId="120AD3E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-0.183</w:t>
            </w:r>
          </w:p>
        </w:tc>
        <w:tc>
          <w:tcPr>
            <w:tcW w:w="0" w:type="auto"/>
            <w:vAlign w:val="bottom"/>
          </w:tcPr>
          <w:p w14:paraId="4470FA26" w14:textId="77777777" w:rsidR="00584AC7" w:rsidRPr="004D3460" w:rsidRDefault="00584AC7" w:rsidP="001707F6">
            <w:pPr>
              <w:jc w:val="right"/>
              <w:rPr>
                <w:rFonts w:ascii="Times New Roman" w:hAnsi="Times New Roman" w:cs="Times New Roman"/>
                <w:b/>
              </w:rPr>
            </w:pPr>
          </w:p>
        </w:tc>
        <w:tc>
          <w:tcPr>
            <w:tcW w:w="0" w:type="auto"/>
            <w:vAlign w:val="bottom"/>
          </w:tcPr>
          <w:p w14:paraId="3D394F7C"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2398.00</w:t>
            </w:r>
          </w:p>
        </w:tc>
        <w:tc>
          <w:tcPr>
            <w:tcW w:w="0" w:type="auto"/>
            <w:vAlign w:val="bottom"/>
          </w:tcPr>
          <w:p w14:paraId="5AAB0D0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9.09</w:t>
            </w:r>
          </w:p>
        </w:tc>
        <w:tc>
          <w:tcPr>
            <w:tcW w:w="0" w:type="auto"/>
            <w:vAlign w:val="bottom"/>
          </w:tcPr>
          <w:p w14:paraId="6F20B716"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&lt; 0.001</w:t>
            </w:r>
          </w:p>
        </w:tc>
      </w:tr>
      <w:tr w:rsidR="00584AC7" w14:paraId="095A1934" w14:textId="77777777" w:rsidTr="004E4A91">
        <w:trPr>
          <w:jc w:val="center"/>
        </w:trPr>
        <w:tc>
          <w:tcPr>
            <w:tcW w:w="0" w:type="auto"/>
            <w:tcBorders>
              <w:bottom w:val="single" w:sz="4" w:space="0" w:color="auto"/>
            </w:tcBorders>
            <w:vAlign w:val="bottom"/>
          </w:tcPr>
          <w:p w14:paraId="4B3824BD"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~~FORWS</w:t>
            </w:r>
          </w:p>
        </w:tc>
        <w:tc>
          <w:tcPr>
            <w:tcW w:w="0" w:type="auto"/>
            <w:tcBorders>
              <w:bottom w:val="single" w:sz="4" w:space="0" w:color="auto"/>
            </w:tcBorders>
            <w:vAlign w:val="bottom"/>
          </w:tcPr>
          <w:p w14:paraId="43E64D50" w14:textId="77777777" w:rsidR="00584AC7" w:rsidRPr="004D3460" w:rsidRDefault="00584AC7" w:rsidP="001707F6">
            <w:pPr>
              <w:rPr>
                <w:rFonts w:ascii="Times New Roman" w:hAnsi="Times New Roman" w:cs="Times New Roman"/>
                <w:b/>
              </w:rPr>
            </w:pPr>
            <w:r w:rsidRPr="004D3460">
              <w:rPr>
                <w:rFonts w:ascii="Times New Roman" w:hAnsi="Times New Roman" w:cs="Times New Roman"/>
                <w:color w:val="000000"/>
              </w:rPr>
              <w:t>~~Ctmax</w:t>
            </w:r>
          </w:p>
        </w:tc>
        <w:tc>
          <w:tcPr>
            <w:tcW w:w="0" w:type="auto"/>
            <w:tcBorders>
              <w:bottom w:val="single" w:sz="4" w:space="0" w:color="auto"/>
            </w:tcBorders>
            <w:vAlign w:val="bottom"/>
          </w:tcPr>
          <w:p w14:paraId="7530CA0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0.028</w:t>
            </w:r>
          </w:p>
        </w:tc>
        <w:tc>
          <w:tcPr>
            <w:tcW w:w="0" w:type="auto"/>
            <w:tcBorders>
              <w:bottom w:val="single" w:sz="4" w:space="0" w:color="auto"/>
            </w:tcBorders>
            <w:vAlign w:val="bottom"/>
          </w:tcPr>
          <w:p w14:paraId="6BC46CAD" w14:textId="77777777" w:rsidR="00584AC7" w:rsidRPr="004D3460" w:rsidRDefault="00584AC7" w:rsidP="001707F6">
            <w:pPr>
              <w:jc w:val="right"/>
              <w:rPr>
                <w:rFonts w:ascii="Times New Roman" w:hAnsi="Times New Roman" w:cs="Times New Roman"/>
                <w:b/>
              </w:rPr>
            </w:pPr>
          </w:p>
        </w:tc>
        <w:tc>
          <w:tcPr>
            <w:tcW w:w="0" w:type="auto"/>
            <w:tcBorders>
              <w:bottom w:val="single" w:sz="4" w:space="0" w:color="auto"/>
            </w:tcBorders>
            <w:vAlign w:val="bottom"/>
          </w:tcPr>
          <w:p w14:paraId="698A10C5"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3934.00</w:t>
            </w:r>
          </w:p>
        </w:tc>
        <w:tc>
          <w:tcPr>
            <w:tcW w:w="0" w:type="auto"/>
            <w:tcBorders>
              <w:bottom w:val="single" w:sz="4" w:space="0" w:color="auto"/>
            </w:tcBorders>
            <w:vAlign w:val="bottom"/>
          </w:tcPr>
          <w:p w14:paraId="70B2535E"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1.73</w:t>
            </w:r>
          </w:p>
        </w:tc>
        <w:tc>
          <w:tcPr>
            <w:tcW w:w="0" w:type="auto"/>
            <w:tcBorders>
              <w:bottom w:val="single" w:sz="4" w:space="0" w:color="auto"/>
            </w:tcBorders>
            <w:vAlign w:val="bottom"/>
          </w:tcPr>
          <w:p w14:paraId="04353C61" w14:textId="77777777" w:rsidR="00584AC7" w:rsidRPr="004D3460" w:rsidRDefault="00584AC7" w:rsidP="001707F6">
            <w:pPr>
              <w:jc w:val="right"/>
              <w:rPr>
                <w:rFonts w:ascii="Times New Roman" w:hAnsi="Times New Roman" w:cs="Times New Roman"/>
                <w:b/>
              </w:rPr>
            </w:pPr>
            <w:r w:rsidRPr="004D3460">
              <w:rPr>
                <w:rFonts w:ascii="Times New Roman" w:hAnsi="Times New Roman" w:cs="Times New Roman"/>
                <w:color w:val="000000"/>
              </w:rPr>
              <w:t>0.042</w:t>
            </w:r>
          </w:p>
        </w:tc>
      </w:tr>
    </w:tbl>
    <w:p w14:paraId="608589B3" w14:textId="77777777" w:rsidR="00584AC7" w:rsidRDefault="00584AC7" w:rsidP="00584AC7">
      <w:pPr>
        <w:rPr>
          <w:rFonts w:ascii="Times New Roman" w:hAnsi="Times New Roman" w:cs="Times New Roman"/>
          <w:b/>
        </w:rPr>
      </w:pPr>
    </w:p>
    <w:p w14:paraId="7E007F80" w14:textId="77777777" w:rsidR="00584AC7" w:rsidRDefault="00584AC7" w:rsidP="00584AC7">
      <w:pPr>
        <w:rPr>
          <w:rFonts w:ascii="Times New Roman" w:hAnsi="Times New Roman" w:cs="Times New Roman"/>
          <w:b/>
        </w:rPr>
      </w:pPr>
      <w:r>
        <w:rPr>
          <w:rFonts w:ascii="Times New Roman" w:hAnsi="Times New Roman" w:cs="Times New Roman"/>
          <w:b/>
        </w:rPr>
        <w:br w:type="page"/>
      </w:r>
    </w:p>
    <w:p w14:paraId="48F02247" w14:textId="2A0A4624" w:rsidR="00584AC7" w:rsidRPr="004E4A91" w:rsidRDefault="00584AC7" w:rsidP="00584AC7">
      <w:pPr>
        <w:rPr>
          <w:rFonts w:ascii="Times New Roman" w:hAnsi="Times New Roman" w:cs="Times New Roman"/>
        </w:rPr>
      </w:pPr>
      <w:bookmarkStart w:id="110" w:name="_Toc93411190"/>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19</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Assemblage scale d sep test.</w:t>
      </w:r>
      <w:bookmarkEnd w:id="1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990"/>
      </w:tblGrid>
      <w:tr w:rsidR="00584AC7" w14:paraId="01426265" w14:textId="77777777" w:rsidTr="001707F6">
        <w:trPr>
          <w:jc w:val="center"/>
        </w:trPr>
        <w:tc>
          <w:tcPr>
            <w:tcW w:w="6120" w:type="dxa"/>
            <w:tcBorders>
              <w:top w:val="single" w:sz="4" w:space="0" w:color="auto"/>
              <w:bottom w:val="single" w:sz="4" w:space="0" w:color="auto"/>
            </w:tcBorders>
          </w:tcPr>
          <w:p w14:paraId="3F5FE9EA" w14:textId="77777777" w:rsidR="00584AC7" w:rsidRPr="00AC5BDD" w:rsidRDefault="00584AC7" w:rsidP="001707F6">
            <w:pPr>
              <w:rPr>
                <w:rFonts w:ascii="Times New Roman" w:hAnsi="Times New Roman" w:cs="Times New Roman"/>
                <w:b/>
              </w:rPr>
            </w:pPr>
            <w:r w:rsidRPr="00AC5BDD">
              <w:rPr>
                <w:rFonts w:ascii="Times New Roman" w:hAnsi="Times New Roman" w:cs="Times New Roman"/>
                <w:b/>
              </w:rPr>
              <w:t>Independence claim</w:t>
            </w:r>
          </w:p>
        </w:tc>
        <w:tc>
          <w:tcPr>
            <w:tcW w:w="990" w:type="dxa"/>
            <w:tcBorders>
              <w:top w:val="single" w:sz="4" w:space="0" w:color="auto"/>
              <w:bottom w:val="single" w:sz="4" w:space="0" w:color="auto"/>
            </w:tcBorders>
          </w:tcPr>
          <w:p w14:paraId="5D9D93F7" w14:textId="77777777" w:rsidR="00584AC7" w:rsidRPr="00AC5BDD" w:rsidRDefault="00584AC7" w:rsidP="001707F6">
            <w:pPr>
              <w:rPr>
                <w:rFonts w:ascii="Times New Roman" w:hAnsi="Times New Roman" w:cs="Times New Roman"/>
                <w:b/>
                <w:i/>
              </w:rPr>
            </w:pPr>
            <w:r w:rsidRPr="00AC5BDD">
              <w:rPr>
                <w:rFonts w:ascii="Times New Roman" w:hAnsi="Times New Roman" w:cs="Times New Roman"/>
                <w:b/>
                <w:i/>
              </w:rPr>
              <w:t>p</w:t>
            </w:r>
          </w:p>
        </w:tc>
      </w:tr>
      <w:tr w:rsidR="00584AC7" w14:paraId="1F055EC5" w14:textId="77777777" w:rsidTr="001707F6">
        <w:trPr>
          <w:jc w:val="center"/>
        </w:trPr>
        <w:tc>
          <w:tcPr>
            <w:tcW w:w="6120" w:type="dxa"/>
            <w:tcBorders>
              <w:top w:val="single" w:sz="4" w:space="0" w:color="auto"/>
            </w:tcBorders>
          </w:tcPr>
          <w:p w14:paraId="6AC5733D" w14:textId="77777777" w:rsidR="00584AC7" w:rsidRDefault="00584AC7" w:rsidP="001707F6">
            <w:pPr>
              <w:rPr>
                <w:rFonts w:ascii="Times New Roman" w:hAnsi="Times New Roman" w:cs="Times New Roman"/>
              </w:rPr>
            </w:pPr>
            <w:r>
              <w:rPr>
                <w:rFonts w:ascii="Times New Roman" w:hAnsi="Times New Roman" w:cs="Times New Roman"/>
              </w:rPr>
              <w:t>(ELEV, Mass) | {TMP×CTI, TMP, CTI, NDVI, URBWS}</w:t>
            </w:r>
          </w:p>
        </w:tc>
        <w:tc>
          <w:tcPr>
            <w:tcW w:w="990" w:type="dxa"/>
            <w:tcBorders>
              <w:top w:val="single" w:sz="4" w:space="0" w:color="auto"/>
            </w:tcBorders>
          </w:tcPr>
          <w:p w14:paraId="33E2CDFE" w14:textId="77777777" w:rsidR="00584AC7" w:rsidRDefault="00584AC7" w:rsidP="001707F6">
            <w:pPr>
              <w:jc w:val="right"/>
              <w:rPr>
                <w:rFonts w:ascii="Times New Roman" w:hAnsi="Times New Roman" w:cs="Times New Roman"/>
              </w:rPr>
            </w:pPr>
            <w:r>
              <w:rPr>
                <w:rFonts w:ascii="Times New Roman" w:hAnsi="Times New Roman" w:cs="Times New Roman"/>
              </w:rPr>
              <w:t>0.337</w:t>
            </w:r>
          </w:p>
        </w:tc>
      </w:tr>
      <w:tr w:rsidR="00584AC7" w14:paraId="7453A767" w14:textId="77777777" w:rsidTr="001707F6">
        <w:trPr>
          <w:jc w:val="center"/>
        </w:trPr>
        <w:tc>
          <w:tcPr>
            <w:tcW w:w="6120" w:type="dxa"/>
          </w:tcPr>
          <w:p w14:paraId="2C1168B6" w14:textId="77777777" w:rsidR="00584AC7" w:rsidRDefault="00584AC7" w:rsidP="001707F6">
            <w:pPr>
              <w:rPr>
                <w:rFonts w:ascii="Times New Roman" w:hAnsi="Times New Roman" w:cs="Times New Roman"/>
              </w:rPr>
            </w:pPr>
            <w:r>
              <w:rPr>
                <w:rFonts w:ascii="Times New Roman" w:hAnsi="Times New Roman" w:cs="Times New Roman"/>
              </w:rPr>
              <w:t>(LAT, Mass) | {TMP×CTI, TMP, CTI, NDVI, URBWS}</w:t>
            </w:r>
          </w:p>
        </w:tc>
        <w:tc>
          <w:tcPr>
            <w:tcW w:w="990" w:type="dxa"/>
          </w:tcPr>
          <w:p w14:paraId="32EAC9FC" w14:textId="77777777" w:rsidR="00584AC7" w:rsidRDefault="00584AC7" w:rsidP="001707F6">
            <w:pPr>
              <w:jc w:val="right"/>
              <w:rPr>
                <w:rFonts w:ascii="Times New Roman" w:hAnsi="Times New Roman" w:cs="Times New Roman"/>
              </w:rPr>
            </w:pPr>
            <w:r>
              <w:rPr>
                <w:rFonts w:ascii="Times New Roman" w:hAnsi="Times New Roman" w:cs="Times New Roman"/>
              </w:rPr>
              <w:t>0.885</w:t>
            </w:r>
          </w:p>
        </w:tc>
      </w:tr>
      <w:tr w:rsidR="00584AC7" w14:paraId="4B419CFD" w14:textId="77777777" w:rsidTr="001707F6">
        <w:trPr>
          <w:jc w:val="center"/>
        </w:trPr>
        <w:tc>
          <w:tcPr>
            <w:tcW w:w="6120" w:type="dxa"/>
          </w:tcPr>
          <w:p w14:paraId="484A18F9" w14:textId="77777777" w:rsidR="00584AC7" w:rsidRDefault="00584AC7" w:rsidP="001707F6">
            <w:pPr>
              <w:rPr>
                <w:rFonts w:ascii="Times New Roman" w:hAnsi="Times New Roman" w:cs="Times New Roman"/>
              </w:rPr>
            </w:pPr>
            <w:r>
              <w:rPr>
                <w:rFonts w:ascii="Times New Roman" w:hAnsi="Times New Roman" w:cs="Times New Roman"/>
              </w:rPr>
              <w:t>(LAT, NDVI) | {ELEV}</w:t>
            </w:r>
          </w:p>
        </w:tc>
        <w:tc>
          <w:tcPr>
            <w:tcW w:w="990" w:type="dxa"/>
          </w:tcPr>
          <w:p w14:paraId="5DACDA5A" w14:textId="77777777" w:rsidR="00584AC7" w:rsidRDefault="00584AC7" w:rsidP="001707F6">
            <w:pPr>
              <w:jc w:val="right"/>
              <w:rPr>
                <w:rFonts w:ascii="Times New Roman" w:hAnsi="Times New Roman" w:cs="Times New Roman"/>
              </w:rPr>
            </w:pPr>
            <w:r>
              <w:rPr>
                <w:rFonts w:ascii="Times New Roman" w:hAnsi="Times New Roman" w:cs="Times New Roman"/>
              </w:rPr>
              <w:t>0.187</w:t>
            </w:r>
          </w:p>
        </w:tc>
      </w:tr>
      <w:tr w:rsidR="00584AC7" w14:paraId="7A6C75A1" w14:textId="77777777" w:rsidTr="001707F6">
        <w:trPr>
          <w:jc w:val="center"/>
        </w:trPr>
        <w:tc>
          <w:tcPr>
            <w:tcW w:w="6120" w:type="dxa"/>
            <w:tcBorders>
              <w:bottom w:val="single" w:sz="4" w:space="0" w:color="auto"/>
            </w:tcBorders>
          </w:tcPr>
          <w:p w14:paraId="2F307E23" w14:textId="77777777" w:rsidR="00584AC7" w:rsidRDefault="00584AC7" w:rsidP="001707F6">
            <w:pPr>
              <w:rPr>
                <w:rFonts w:ascii="Times New Roman" w:hAnsi="Times New Roman" w:cs="Times New Roman"/>
              </w:rPr>
            </w:pPr>
            <w:r>
              <w:rPr>
                <w:rFonts w:ascii="Times New Roman" w:hAnsi="Times New Roman" w:cs="Times New Roman"/>
              </w:rPr>
              <w:t>(LAT, URBWS) | {ELEV}</w:t>
            </w:r>
          </w:p>
        </w:tc>
        <w:tc>
          <w:tcPr>
            <w:tcW w:w="990" w:type="dxa"/>
            <w:tcBorders>
              <w:bottom w:val="single" w:sz="4" w:space="0" w:color="auto"/>
            </w:tcBorders>
          </w:tcPr>
          <w:p w14:paraId="7263D197" w14:textId="77777777" w:rsidR="00584AC7" w:rsidRDefault="00584AC7" w:rsidP="001707F6">
            <w:pPr>
              <w:jc w:val="right"/>
              <w:rPr>
                <w:rFonts w:ascii="Times New Roman" w:hAnsi="Times New Roman" w:cs="Times New Roman"/>
              </w:rPr>
            </w:pPr>
            <w:r>
              <w:rPr>
                <w:rFonts w:ascii="Times New Roman" w:hAnsi="Times New Roman" w:cs="Times New Roman"/>
              </w:rPr>
              <w:t>0.292</w:t>
            </w:r>
          </w:p>
        </w:tc>
      </w:tr>
      <w:tr w:rsidR="00584AC7" w14:paraId="0EBFE18E" w14:textId="77777777" w:rsidTr="001707F6">
        <w:trPr>
          <w:trHeight w:val="71"/>
          <w:jc w:val="center"/>
        </w:trPr>
        <w:tc>
          <w:tcPr>
            <w:tcW w:w="6120" w:type="dxa"/>
            <w:tcBorders>
              <w:top w:val="single" w:sz="4" w:space="0" w:color="auto"/>
            </w:tcBorders>
          </w:tcPr>
          <w:p w14:paraId="2DE9915C" w14:textId="77777777" w:rsidR="00584AC7" w:rsidRPr="00AC5BDD" w:rsidRDefault="00584AC7" w:rsidP="001707F6">
            <w:pPr>
              <w:rPr>
                <w:rFonts w:ascii="Times New Roman" w:hAnsi="Times New Roman" w:cs="Times New Roman"/>
                <w:i/>
              </w:rPr>
            </w:pPr>
            <w:r w:rsidRPr="00AC5BDD">
              <w:rPr>
                <w:rFonts w:ascii="Times New Roman" w:hAnsi="Times New Roman" w:cs="Times New Roman"/>
                <w:i/>
              </w:rPr>
              <w:t>C</w:t>
            </w:r>
          </w:p>
        </w:tc>
        <w:tc>
          <w:tcPr>
            <w:tcW w:w="990" w:type="dxa"/>
            <w:tcBorders>
              <w:top w:val="single" w:sz="4" w:space="0" w:color="auto"/>
            </w:tcBorders>
          </w:tcPr>
          <w:p w14:paraId="747A313D" w14:textId="77777777" w:rsidR="00584AC7" w:rsidRDefault="00584AC7" w:rsidP="001707F6">
            <w:pPr>
              <w:jc w:val="right"/>
              <w:rPr>
                <w:rFonts w:ascii="Times New Roman" w:hAnsi="Times New Roman" w:cs="Times New Roman"/>
              </w:rPr>
            </w:pPr>
            <w:r>
              <w:rPr>
                <w:rFonts w:ascii="Times New Roman" w:hAnsi="Times New Roman" w:cs="Times New Roman"/>
              </w:rPr>
              <w:t>8.231</w:t>
            </w:r>
          </w:p>
        </w:tc>
      </w:tr>
      <w:tr w:rsidR="00584AC7" w14:paraId="283E7FC9" w14:textId="77777777" w:rsidTr="001707F6">
        <w:trPr>
          <w:jc w:val="center"/>
        </w:trPr>
        <w:tc>
          <w:tcPr>
            <w:tcW w:w="6120" w:type="dxa"/>
            <w:tcBorders>
              <w:bottom w:val="single" w:sz="4" w:space="0" w:color="auto"/>
            </w:tcBorders>
          </w:tcPr>
          <w:p w14:paraId="723CC9BE" w14:textId="77777777" w:rsidR="00584AC7" w:rsidRDefault="00584AC7" w:rsidP="001707F6">
            <w:pPr>
              <w:rPr>
                <w:rFonts w:ascii="Times New Roman" w:hAnsi="Times New Roman" w:cs="Times New Roman"/>
              </w:rPr>
            </w:pPr>
            <w:r>
              <w:rPr>
                <w:rFonts w:ascii="Times New Roman" w:hAnsi="Times New Roman" w:cs="Times New Roman"/>
              </w:rPr>
              <w:t>Overall p-value (χ</w:t>
            </w:r>
            <w:r w:rsidRPr="00AC5BDD">
              <w:rPr>
                <w:rFonts w:ascii="Times New Roman" w:hAnsi="Times New Roman" w:cs="Times New Roman"/>
                <w:vertAlign w:val="superscript"/>
              </w:rPr>
              <w:t>2</w:t>
            </w:r>
            <w:r>
              <w:rPr>
                <w:rFonts w:ascii="Times New Roman" w:hAnsi="Times New Roman" w:cs="Times New Roman"/>
              </w:rPr>
              <w:t xml:space="preserve"> </w:t>
            </w:r>
            <w:r w:rsidRPr="00AC5BDD">
              <w:rPr>
                <w:rFonts w:ascii="Times New Roman" w:hAnsi="Times New Roman" w:cs="Times New Roman"/>
                <w:i/>
                <w:vertAlign w:val="subscript"/>
              </w:rPr>
              <w:t xml:space="preserve">df </w:t>
            </w:r>
            <w:r w:rsidRPr="00AC5BDD">
              <w:rPr>
                <w:rFonts w:ascii="Times New Roman" w:hAnsi="Times New Roman" w:cs="Times New Roman"/>
                <w:vertAlign w:val="subscript"/>
              </w:rPr>
              <w:t xml:space="preserve">= </w:t>
            </w:r>
            <w:r>
              <w:rPr>
                <w:rFonts w:ascii="Times New Roman" w:hAnsi="Times New Roman" w:cs="Times New Roman"/>
                <w:vertAlign w:val="subscript"/>
              </w:rPr>
              <w:t>8</w:t>
            </w:r>
            <w:r>
              <w:rPr>
                <w:rFonts w:ascii="Times New Roman" w:hAnsi="Times New Roman" w:cs="Times New Roman"/>
              </w:rPr>
              <w:t>)</w:t>
            </w:r>
          </w:p>
        </w:tc>
        <w:tc>
          <w:tcPr>
            <w:tcW w:w="990" w:type="dxa"/>
            <w:tcBorders>
              <w:bottom w:val="single" w:sz="4" w:space="0" w:color="auto"/>
            </w:tcBorders>
          </w:tcPr>
          <w:p w14:paraId="211470F7" w14:textId="77777777" w:rsidR="00584AC7" w:rsidRDefault="00584AC7" w:rsidP="001707F6">
            <w:pPr>
              <w:jc w:val="right"/>
              <w:rPr>
                <w:rFonts w:ascii="Times New Roman" w:hAnsi="Times New Roman" w:cs="Times New Roman"/>
              </w:rPr>
            </w:pPr>
            <w:r>
              <w:rPr>
                <w:rFonts w:ascii="Times New Roman" w:hAnsi="Times New Roman" w:cs="Times New Roman"/>
              </w:rPr>
              <w:t>0.411</w:t>
            </w:r>
          </w:p>
        </w:tc>
      </w:tr>
    </w:tbl>
    <w:p w14:paraId="00B90383" w14:textId="77777777" w:rsidR="00584AC7" w:rsidRDefault="00584AC7" w:rsidP="00584AC7">
      <w:pPr>
        <w:rPr>
          <w:rFonts w:ascii="Times New Roman" w:hAnsi="Times New Roman" w:cs="Times New Roman"/>
        </w:rPr>
      </w:pPr>
    </w:p>
    <w:p w14:paraId="54C862A0" w14:textId="77777777" w:rsidR="00584AC7" w:rsidRDefault="00584AC7" w:rsidP="00584AC7">
      <w:pPr>
        <w:rPr>
          <w:rFonts w:ascii="Times New Roman" w:hAnsi="Times New Roman" w:cs="Times New Roman"/>
          <w:b/>
          <w:bCs/>
        </w:rPr>
      </w:pPr>
      <w:r>
        <w:rPr>
          <w:rFonts w:ascii="Times New Roman" w:hAnsi="Times New Roman" w:cs="Times New Roman"/>
          <w:b/>
          <w:bCs/>
        </w:rPr>
        <w:br w:type="page"/>
      </w:r>
    </w:p>
    <w:p w14:paraId="0E00E077" w14:textId="67318F65" w:rsidR="00584AC7" w:rsidRDefault="00584AC7" w:rsidP="00584AC7">
      <w:pPr>
        <w:rPr>
          <w:rFonts w:ascii="Times New Roman" w:hAnsi="Times New Roman" w:cs="Times New Roman"/>
        </w:rPr>
      </w:pPr>
      <w:bookmarkStart w:id="111" w:name="_Toc93411191"/>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20</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Species scale d sep test.</w:t>
      </w:r>
      <w:bookmarkEnd w:id="11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1198"/>
      </w:tblGrid>
      <w:tr w:rsidR="00584AC7" w14:paraId="25197D8E" w14:textId="77777777" w:rsidTr="001707F6">
        <w:trPr>
          <w:jc w:val="center"/>
        </w:trPr>
        <w:tc>
          <w:tcPr>
            <w:tcW w:w="5035" w:type="dxa"/>
            <w:tcBorders>
              <w:top w:val="single" w:sz="4" w:space="0" w:color="auto"/>
              <w:bottom w:val="single" w:sz="4" w:space="0" w:color="auto"/>
            </w:tcBorders>
          </w:tcPr>
          <w:p w14:paraId="52AFF299" w14:textId="77777777" w:rsidR="00584AC7" w:rsidRPr="00AC5BDD" w:rsidRDefault="00584AC7" w:rsidP="001707F6">
            <w:pPr>
              <w:rPr>
                <w:rFonts w:ascii="Times New Roman" w:hAnsi="Times New Roman" w:cs="Times New Roman"/>
                <w:b/>
              </w:rPr>
            </w:pPr>
            <w:r w:rsidRPr="00AC5BDD">
              <w:rPr>
                <w:rFonts w:ascii="Times New Roman" w:hAnsi="Times New Roman" w:cs="Times New Roman"/>
                <w:b/>
              </w:rPr>
              <w:t>Independence claim</w:t>
            </w:r>
          </w:p>
        </w:tc>
        <w:tc>
          <w:tcPr>
            <w:tcW w:w="1198" w:type="dxa"/>
            <w:tcBorders>
              <w:top w:val="single" w:sz="4" w:space="0" w:color="auto"/>
              <w:bottom w:val="single" w:sz="4" w:space="0" w:color="auto"/>
            </w:tcBorders>
          </w:tcPr>
          <w:p w14:paraId="42FAA85B" w14:textId="77777777" w:rsidR="00584AC7" w:rsidRPr="00AC5BDD" w:rsidRDefault="00584AC7" w:rsidP="001707F6">
            <w:pPr>
              <w:rPr>
                <w:rFonts w:ascii="Times New Roman" w:hAnsi="Times New Roman" w:cs="Times New Roman"/>
                <w:b/>
                <w:i/>
              </w:rPr>
            </w:pPr>
            <w:r w:rsidRPr="00AC5BDD">
              <w:rPr>
                <w:rFonts w:ascii="Times New Roman" w:hAnsi="Times New Roman" w:cs="Times New Roman"/>
                <w:b/>
                <w:i/>
              </w:rPr>
              <w:t>p</w:t>
            </w:r>
          </w:p>
        </w:tc>
      </w:tr>
      <w:tr w:rsidR="00584AC7" w14:paraId="0DDBD039" w14:textId="77777777" w:rsidTr="001707F6">
        <w:trPr>
          <w:jc w:val="center"/>
        </w:trPr>
        <w:tc>
          <w:tcPr>
            <w:tcW w:w="5035" w:type="dxa"/>
            <w:tcBorders>
              <w:top w:val="single" w:sz="4" w:space="0" w:color="auto"/>
            </w:tcBorders>
          </w:tcPr>
          <w:p w14:paraId="5DF289E6" w14:textId="77777777" w:rsidR="00584AC7" w:rsidRDefault="00584AC7" w:rsidP="001707F6">
            <w:pPr>
              <w:rPr>
                <w:rFonts w:ascii="Times New Roman" w:hAnsi="Times New Roman" w:cs="Times New Roman"/>
              </w:rPr>
            </w:pPr>
            <w:r>
              <w:rPr>
                <w:rFonts w:ascii="Times New Roman" w:hAnsi="Times New Roman" w:cs="Times New Roman"/>
              </w:rPr>
              <w:t>(LAT, Mass) | {TMP}</w:t>
            </w:r>
          </w:p>
        </w:tc>
        <w:tc>
          <w:tcPr>
            <w:tcW w:w="1198" w:type="dxa"/>
            <w:tcBorders>
              <w:top w:val="single" w:sz="4" w:space="0" w:color="auto"/>
            </w:tcBorders>
          </w:tcPr>
          <w:p w14:paraId="3CA12A2D" w14:textId="77777777" w:rsidR="00584AC7" w:rsidRDefault="00584AC7" w:rsidP="001707F6">
            <w:pPr>
              <w:jc w:val="right"/>
              <w:rPr>
                <w:rFonts w:ascii="Times New Roman" w:hAnsi="Times New Roman" w:cs="Times New Roman"/>
              </w:rPr>
            </w:pPr>
            <w:r>
              <w:rPr>
                <w:rFonts w:ascii="Times New Roman" w:hAnsi="Times New Roman" w:cs="Times New Roman"/>
              </w:rPr>
              <w:t>0.464</w:t>
            </w:r>
          </w:p>
        </w:tc>
      </w:tr>
      <w:tr w:rsidR="00584AC7" w14:paraId="3CD85392" w14:textId="77777777" w:rsidTr="001707F6">
        <w:trPr>
          <w:jc w:val="center"/>
        </w:trPr>
        <w:tc>
          <w:tcPr>
            <w:tcW w:w="5035" w:type="dxa"/>
            <w:tcBorders>
              <w:bottom w:val="single" w:sz="4" w:space="0" w:color="auto"/>
            </w:tcBorders>
          </w:tcPr>
          <w:p w14:paraId="44CFE64F" w14:textId="77777777" w:rsidR="00584AC7" w:rsidRDefault="00584AC7" w:rsidP="001707F6">
            <w:pPr>
              <w:rPr>
                <w:rFonts w:ascii="Times New Roman" w:hAnsi="Times New Roman" w:cs="Times New Roman"/>
              </w:rPr>
            </w:pPr>
            <w:r>
              <w:rPr>
                <w:rFonts w:ascii="Times New Roman" w:hAnsi="Times New Roman" w:cs="Times New Roman"/>
              </w:rPr>
              <w:t>(ELEV, Mass) | {TMP}</w:t>
            </w:r>
          </w:p>
        </w:tc>
        <w:tc>
          <w:tcPr>
            <w:tcW w:w="1198" w:type="dxa"/>
            <w:tcBorders>
              <w:bottom w:val="single" w:sz="4" w:space="0" w:color="auto"/>
            </w:tcBorders>
          </w:tcPr>
          <w:p w14:paraId="76C3491A" w14:textId="77777777" w:rsidR="00584AC7" w:rsidRDefault="00584AC7" w:rsidP="001707F6">
            <w:pPr>
              <w:jc w:val="right"/>
              <w:rPr>
                <w:rFonts w:ascii="Times New Roman" w:hAnsi="Times New Roman" w:cs="Times New Roman"/>
              </w:rPr>
            </w:pPr>
            <w:r>
              <w:rPr>
                <w:rFonts w:ascii="Times New Roman" w:hAnsi="Times New Roman" w:cs="Times New Roman"/>
              </w:rPr>
              <w:t>0954</w:t>
            </w:r>
          </w:p>
        </w:tc>
      </w:tr>
      <w:tr w:rsidR="00584AC7" w14:paraId="3F00EC48" w14:textId="77777777" w:rsidTr="001707F6">
        <w:trPr>
          <w:jc w:val="center"/>
        </w:trPr>
        <w:tc>
          <w:tcPr>
            <w:tcW w:w="5035" w:type="dxa"/>
            <w:tcBorders>
              <w:top w:val="single" w:sz="4" w:space="0" w:color="auto"/>
            </w:tcBorders>
          </w:tcPr>
          <w:p w14:paraId="520ADBE2" w14:textId="77777777" w:rsidR="00584AC7" w:rsidRPr="00AC5BDD" w:rsidRDefault="00584AC7" w:rsidP="001707F6">
            <w:pPr>
              <w:rPr>
                <w:rFonts w:ascii="Times New Roman" w:hAnsi="Times New Roman" w:cs="Times New Roman"/>
                <w:i/>
              </w:rPr>
            </w:pPr>
            <w:r w:rsidRPr="00AC5BDD">
              <w:rPr>
                <w:rFonts w:ascii="Times New Roman" w:hAnsi="Times New Roman" w:cs="Times New Roman"/>
                <w:i/>
              </w:rPr>
              <w:t>C</w:t>
            </w:r>
          </w:p>
        </w:tc>
        <w:tc>
          <w:tcPr>
            <w:tcW w:w="1198" w:type="dxa"/>
            <w:tcBorders>
              <w:top w:val="single" w:sz="4" w:space="0" w:color="auto"/>
            </w:tcBorders>
          </w:tcPr>
          <w:p w14:paraId="05A250C3" w14:textId="77777777" w:rsidR="00584AC7" w:rsidRDefault="00584AC7" w:rsidP="001707F6">
            <w:pPr>
              <w:jc w:val="right"/>
              <w:rPr>
                <w:rFonts w:ascii="Times New Roman" w:hAnsi="Times New Roman" w:cs="Times New Roman"/>
              </w:rPr>
            </w:pPr>
            <w:r>
              <w:rPr>
                <w:rFonts w:ascii="Times New Roman" w:hAnsi="Times New Roman" w:cs="Times New Roman"/>
              </w:rPr>
              <w:t>1.633</w:t>
            </w:r>
          </w:p>
        </w:tc>
      </w:tr>
      <w:tr w:rsidR="00584AC7" w14:paraId="574965CA" w14:textId="77777777" w:rsidTr="001707F6">
        <w:trPr>
          <w:jc w:val="center"/>
        </w:trPr>
        <w:tc>
          <w:tcPr>
            <w:tcW w:w="5035" w:type="dxa"/>
            <w:tcBorders>
              <w:bottom w:val="single" w:sz="4" w:space="0" w:color="auto"/>
            </w:tcBorders>
          </w:tcPr>
          <w:p w14:paraId="21755CC7" w14:textId="77777777" w:rsidR="00584AC7" w:rsidRDefault="00584AC7" w:rsidP="001707F6">
            <w:pPr>
              <w:rPr>
                <w:rFonts w:ascii="Times New Roman" w:hAnsi="Times New Roman" w:cs="Times New Roman"/>
              </w:rPr>
            </w:pPr>
            <w:r>
              <w:rPr>
                <w:rFonts w:ascii="Times New Roman" w:hAnsi="Times New Roman" w:cs="Times New Roman"/>
              </w:rPr>
              <w:t>Overall p-value (χ</w:t>
            </w:r>
            <w:r w:rsidRPr="00AC5BDD">
              <w:rPr>
                <w:rFonts w:ascii="Times New Roman" w:hAnsi="Times New Roman" w:cs="Times New Roman"/>
                <w:vertAlign w:val="superscript"/>
              </w:rPr>
              <w:t>2</w:t>
            </w:r>
            <w:r>
              <w:rPr>
                <w:rFonts w:ascii="Times New Roman" w:hAnsi="Times New Roman" w:cs="Times New Roman"/>
              </w:rPr>
              <w:t xml:space="preserve"> </w:t>
            </w:r>
            <w:r w:rsidRPr="00AC5BDD">
              <w:rPr>
                <w:rFonts w:ascii="Times New Roman" w:hAnsi="Times New Roman" w:cs="Times New Roman"/>
                <w:i/>
                <w:vertAlign w:val="subscript"/>
              </w:rPr>
              <w:t xml:space="preserve">df </w:t>
            </w:r>
            <w:r w:rsidRPr="00AC5BDD">
              <w:rPr>
                <w:rFonts w:ascii="Times New Roman" w:hAnsi="Times New Roman" w:cs="Times New Roman"/>
                <w:vertAlign w:val="subscript"/>
              </w:rPr>
              <w:t xml:space="preserve">= </w:t>
            </w:r>
            <w:r>
              <w:rPr>
                <w:rFonts w:ascii="Times New Roman" w:hAnsi="Times New Roman" w:cs="Times New Roman"/>
                <w:vertAlign w:val="subscript"/>
              </w:rPr>
              <w:t>4</w:t>
            </w:r>
            <w:r>
              <w:rPr>
                <w:rFonts w:ascii="Times New Roman" w:hAnsi="Times New Roman" w:cs="Times New Roman"/>
              </w:rPr>
              <w:t>)</w:t>
            </w:r>
          </w:p>
        </w:tc>
        <w:tc>
          <w:tcPr>
            <w:tcW w:w="1198" w:type="dxa"/>
            <w:tcBorders>
              <w:bottom w:val="single" w:sz="4" w:space="0" w:color="auto"/>
            </w:tcBorders>
          </w:tcPr>
          <w:p w14:paraId="2E74F0DF" w14:textId="77777777" w:rsidR="00584AC7" w:rsidRDefault="00584AC7" w:rsidP="001707F6">
            <w:pPr>
              <w:jc w:val="right"/>
              <w:rPr>
                <w:rFonts w:ascii="Times New Roman" w:hAnsi="Times New Roman" w:cs="Times New Roman"/>
              </w:rPr>
            </w:pPr>
            <w:r>
              <w:rPr>
                <w:rFonts w:ascii="Times New Roman" w:hAnsi="Times New Roman" w:cs="Times New Roman"/>
              </w:rPr>
              <w:t>0.803</w:t>
            </w:r>
          </w:p>
        </w:tc>
      </w:tr>
    </w:tbl>
    <w:p w14:paraId="35D2DADD" w14:textId="77777777" w:rsidR="00584AC7" w:rsidRDefault="00584AC7" w:rsidP="00584AC7">
      <w:pPr>
        <w:rPr>
          <w:rFonts w:ascii="Times New Roman" w:hAnsi="Times New Roman" w:cs="Times New Roman"/>
        </w:rPr>
      </w:pPr>
    </w:p>
    <w:p w14:paraId="75231A03" w14:textId="77777777" w:rsidR="00584AC7" w:rsidRDefault="00584AC7" w:rsidP="00584AC7">
      <w:pPr>
        <w:rPr>
          <w:rFonts w:ascii="Times New Roman" w:hAnsi="Times New Roman" w:cs="Times New Roman"/>
          <w:b/>
          <w:bCs/>
        </w:rPr>
      </w:pPr>
      <w:r>
        <w:rPr>
          <w:rFonts w:ascii="Times New Roman" w:hAnsi="Times New Roman" w:cs="Times New Roman"/>
          <w:b/>
          <w:bCs/>
        </w:rPr>
        <w:br w:type="page"/>
      </w:r>
    </w:p>
    <w:p w14:paraId="35475195" w14:textId="7356F7FF" w:rsidR="00584AC7" w:rsidRDefault="00584AC7" w:rsidP="00584AC7">
      <w:pPr>
        <w:rPr>
          <w:rFonts w:ascii="Times New Roman" w:hAnsi="Times New Roman" w:cs="Times New Roman"/>
        </w:rPr>
      </w:pPr>
      <w:bookmarkStart w:id="112" w:name="_Toc93411192"/>
      <w:r w:rsidRPr="00211EFC">
        <w:rPr>
          <w:rFonts w:ascii="Times New Roman" w:hAnsi="Times New Roman" w:cs="Times New Roman"/>
          <w:b/>
          <w:bCs/>
        </w:rPr>
        <w:lastRenderedPageBreak/>
        <w:t xml:space="preserve">Table </w:t>
      </w:r>
      <w:r w:rsidRPr="00211EFC">
        <w:rPr>
          <w:rFonts w:ascii="Times New Roman" w:hAnsi="Times New Roman" w:cs="Times New Roman"/>
          <w:b/>
          <w:bCs/>
        </w:rPr>
        <w:fldChar w:fldCharType="begin"/>
      </w:r>
      <w:r w:rsidRPr="00211EFC">
        <w:rPr>
          <w:rFonts w:ascii="Times New Roman" w:hAnsi="Times New Roman" w:cs="Times New Roman"/>
          <w:b/>
          <w:bCs/>
        </w:rPr>
        <w:instrText xml:space="preserve"> SEQ Table \* ARABIC </w:instrText>
      </w:r>
      <w:r w:rsidRPr="00211EFC">
        <w:rPr>
          <w:rFonts w:ascii="Times New Roman" w:hAnsi="Times New Roman" w:cs="Times New Roman"/>
          <w:b/>
          <w:bCs/>
        </w:rPr>
        <w:fldChar w:fldCharType="separate"/>
      </w:r>
      <w:r>
        <w:rPr>
          <w:rFonts w:ascii="Times New Roman" w:hAnsi="Times New Roman" w:cs="Times New Roman"/>
          <w:b/>
          <w:bCs/>
          <w:noProof/>
        </w:rPr>
        <w:t>21</w:t>
      </w:r>
      <w:r w:rsidRPr="00211EFC">
        <w:rPr>
          <w:rFonts w:ascii="Times New Roman" w:hAnsi="Times New Roman" w:cs="Times New Roman"/>
          <w:b/>
          <w:bCs/>
        </w:rPr>
        <w:fldChar w:fldCharType="end"/>
      </w:r>
      <w:r w:rsidRPr="00211EFC">
        <w:rPr>
          <w:rFonts w:ascii="Times New Roman" w:hAnsi="Times New Roman" w:cs="Times New Roman"/>
          <w:b/>
          <w:bCs/>
        </w:rPr>
        <w:t xml:space="preserve">. </w:t>
      </w:r>
      <w:r w:rsidRPr="004E4A91">
        <w:rPr>
          <w:rFonts w:ascii="Times New Roman" w:hAnsi="Times New Roman" w:cs="Times New Roman"/>
          <w:b/>
          <w:bCs/>
        </w:rPr>
        <w:t>Population scale d sep test.</w:t>
      </w:r>
      <w:bookmarkEnd w:id="11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3"/>
        <w:gridCol w:w="987"/>
      </w:tblGrid>
      <w:tr w:rsidR="00584AC7" w14:paraId="190393F3" w14:textId="77777777" w:rsidTr="001707F6">
        <w:trPr>
          <w:jc w:val="center"/>
        </w:trPr>
        <w:tc>
          <w:tcPr>
            <w:tcW w:w="7740" w:type="dxa"/>
            <w:tcBorders>
              <w:top w:val="single" w:sz="4" w:space="0" w:color="auto"/>
              <w:bottom w:val="single" w:sz="4" w:space="0" w:color="auto"/>
            </w:tcBorders>
          </w:tcPr>
          <w:p w14:paraId="0C119281" w14:textId="77777777" w:rsidR="00584AC7" w:rsidRPr="00AC5BDD" w:rsidRDefault="00584AC7" w:rsidP="001707F6">
            <w:pPr>
              <w:rPr>
                <w:rFonts w:ascii="Times New Roman" w:hAnsi="Times New Roman" w:cs="Times New Roman"/>
                <w:b/>
              </w:rPr>
            </w:pPr>
            <w:r w:rsidRPr="00AC5BDD">
              <w:rPr>
                <w:rFonts w:ascii="Times New Roman" w:hAnsi="Times New Roman" w:cs="Times New Roman"/>
                <w:b/>
              </w:rPr>
              <w:t>Independence claim</w:t>
            </w:r>
          </w:p>
        </w:tc>
        <w:tc>
          <w:tcPr>
            <w:tcW w:w="990" w:type="dxa"/>
            <w:tcBorders>
              <w:top w:val="single" w:sz="4" w:space="0" w:color="auto"/>
              <w:bottom w:val="single" w:sz="4" w:space="0" w:color="auto"/>
            </w:tcBorders>
          </w:tcPr>
          <w:p w14:paraId="192E1C62" w14:textId="77777777" w:rsidR="00584AC7" w:rsidRPr="00AC5BDD" w:rsidRDefault="00584AC7" w:rsidP="001707F6">
            <w:pPr>
              <w:rPr>
                <w:rFonts w:ascii="Times New Roman" w:hAnsi="Times New Roman" w:cs="Times New Roman"/>
                <w:b/>
                <w:i/>
              </w:rPr>
            </w:pPr>
            <w:r w:rsidRPr="00AC5BDD">
              <w:rPr>
                <w:rFonts w:ascii="Times New Roman" w:hAnsi="Times New Roman" w:cs="Times New Roman"/>
                <w:b/>
                <w:i/>
              </w:rPr>
              <w:t>p</w:t>
            </w:r>
          </w:p>
        </w:tc>
      </w:tr>
      <w:tr w:rsidR="00584AC7" w14:paraId="4EE3042C" w14:textId="77777777" w:rsidTr="001707F6">
        <w:trPr>
          <w:jc w:val="center"/>
        </w:trPr>
        <w:tc>
          <w:tcPr>
            <w:tcW w:w="7740" w:type="dxa"/>
            <w:tcBorders>
              <w:top w:val="single" w:sz="4" w:space="0" w:color="auto"/>
            </w:tcBorders>
          </w:tcPr>
          <w:p w14:paraId="394F9B88" w14:textId="77777777" w:rsidR="00584AC7" w:rsidRDefault="00584AC7" w:rsidP="001707F6">
            <w:pPr>
              <w:rPr>
                <w:rFonts w:ascii="Times New Roman" w:hAnsi="Times New Roman" w:cs="Times New Roman"/>
              </w:rPr>
            </w:pPr>
            <w:r>
              <w:rPr>
                <w:rFonts w:ascii="Times New Roman" w:hAnsi="Times New Roman" w:cs="Times New Roman"/>
              </w:rPr>
              <w:t>(CTmax, QCV) | {LAT}</w:t>
            </w:r>
          </w:p>
        </w:tc>
        <w:tc>
          <w:tcPr>
            <w:tcW w:w="990" w:type="dxa"/>
            <w:tcBorders>
              <w:top w:val="single" w:sz="4" w:space="0" w:color="auto"/>
            </w:tcBorders>
          </w:tcPr>
          <w:p w14:paraId="3E0E8A78" w14:textId="77777777" w:rsidR="00584AC7" w:rsidRDefault="00584AC7" w:rsidP="001707F6">
            <w:pPr>
              <w:jc w:val="right"/>
              <w:rPr>
                <w:rFonts w:ascii="Times New Roman" w:hAnsi="Times New Roman" w:cs="Times New Roman"/>
              </w:rPr>
            </w:pPr>
            <w:r>
              <w:rPr>
                <w:rFonts w:ascii="Times New Roman" w:hAnsi="Times New Roman" w:cs="Times New Roman"/>
              </w:rPr>
              <w:t>0.667</w:t>
            </w:r>
          </w:p>
        </w:tc>
      </w:tr>
      <w:tr w:rsidR="00584AC7" w14:paraId="07150B51" w14:textId="77777777" w:rsidTr="001707F6">
        <w:trPr>
          <w:jc w:val="center"/>
        </w:trPr>
        <w:tc>
          <w:tcPr>
            <w:tcW w:w="7740" w:type="dxa"/>
          </w:tcPr>
          <w:p w14:paraId="7623D902" w14:textId="77777777" w:rsidR="00584AC7" w:rsidRDefault="00584AC7" w:rsidP="001707F6">
            <w:pPr>
              <w:rPr>
                <w:rFonts w:ascii="Times New Roman" w:hAnsi="Times New Roman" w:cs="Times New Roman"/>
              </w:rPr>
            </w:pPr>
            <w:r>
              <w:rPr>
                <w:rFonts w:ascii="Times New Roman" w:hAnsi="Times New Roman" w:cs="Times New Roman"/>
              </w:rPr>
              <w:t>(CTmax, TMP) | {LAT, ELEV}</w:t>
            </w:r>
          </w:p>
        </w:tc>
        <w:tc>
          <w:tcPr>
            <w:tcW w:w="990" w:type="dxa"/>
          </w:tcPr>
          <w:p w14:paraId="58491770" w14:textId="77777777" w:rsidR="00584AC7" w:rsidRDefault="00584AC7" w:rsidP="001707F6">
            <w:pPr>
              <w:jc w:val="right"/>
              <w:rPr>
                <w:rFonts w:ascii="Times New Roman" w:hAnsi="Times New Roman" w:cs="Times New Roman"/>
              </w:rPr>
            </w:pPr>
            <w:r>
              <w:rPr>
                <w:rFonts w:ascii="Times New Roman" w:hAnsi="Times New Roman" w:cs="Times New Roman"/>
              </w:rPr>
              <w:t>0.001</w:t>
            </w:r>
          </w:p>
        </w:tc>
      </w:tr>
      <w:tr w:rsidR="00584AC7" w14:paraId="08C64C8D" w14:textId="77777777" w:rsidTr="001707F6">
        <w:trPr>
          <w:jc w:val="center"/>
        </w:trPr>
        <w:tc>
          <w:tcPr>
            <w:tcW w:w="7740" w:type="dxa"/>
          </w:tcPr>
          <w:p w14:paraId="4D5FDDEB" w14:textId="77777777" w:rsidR="00584AC7" w:rsidRDefault="00584AC7" w:rsidP="001707F6">
            <w:pPr>
              <w:rPr>
                <w:rFonts w:ascii="Times New Roman" w:hAnsi="Times New Roman" w:cs="Times New Roman"/>
              </w:rPr>
            </w:pPr>
            <w:r>
              <w:rPr>
                <w:rFonts w:ascii="Times New Roman" w:hAnsi="Times New Roman" w:cs="Times New Roman"/>
              </w:rPr>
              <w:t>(CTmax, NDVI) | {LAT, ELEV}</w:t>
            </w:r>
          </w:p>
        </w:tc>
        <w:tc>
          <w:tcPr>
            <w:tcW w:w="990" w:type="dxa"/>
          </w:tcPr>
          <w:p w14:paraId="71D162C0" w14:textId="77777777" w:rsidR="00584AC7" w:rsidRDefault="00584AC7" w:rsidP="001707F6">
            <w:pPr>
              <w:jc w:val="right"/>
              <w:rPr>
                <w:rFonts w:ascii="Times New Roman" w:hAnsi="Times New Roman" w:cs="Times New Roman"/>
              </w:rPr>
            </w:pPr>
            <w:r>
              <w:rPr>
                <w:rFonts w:ascii="Times New Roman" w:hAnsi="Times New Roman" w:cs="Times New Roman"/>
              </w:rPr>
              <w:t>0.019</w:t>
            </w:r>
          </w:p>
        </w:tc>
      </w:tr>
      <w:tr w:rsidR="00584AC7" w14:paraId="2CEA96DA" w14:textId="77777777" w:rsidTr="001707F6">
        <w:trPr>
          <w:jc w:val="center"/>
        </w:trPr>
        <w:tc>
          <w:tcPr>
            <w:tcW w:w="7740" w:type="dxa"/>
          </w:tcPr>
          <w:p w14:paraId="3A7366CF" w14:textId="77777777" w:rsidR="00584AC7" w:rsidRDefault="00584AC7" w:rsidP="001707F6">
            <w:pPr>
              <w:rPr>
                <w:rFonts w:ascii="Times New Roman" w:hAnsi="Times New Roman" w:cs="Times New Roman"/>
              </w:rPr>
            </w:pPr>
            <w:r>
              <w:rPr>
                <w:rFonts w:ascii="Times New Roman" w:hAnsi="Times New Roman" w:cs="Times New Roman"/>
              </w:rPr>
              <w:t>(CTmax, AGRWS) | {LAT, ELEV}</w:t>
            </w:r>
          </w:p>
        </w:tc>
        <w:tc>
          <w:tcPr>
            <w:tcW w:w="990" w:type="dxa"/>
          </w:tcPr>
          <w:p w14:paraId="783BE5C4" w14:textId="77777777" w:rsidR="00584AC7" w:rsidRDefault="00584AC7" w:rsidP="001707F6">
            <w:pPr>
              <w:jc w:val="right"/>
              <w:rPr>
                <w:rFonts w:ascii="Times New Roman" w:hAnsi="Times New Roman" w:cs="Times New Roman"/>
              </w:rPr>
            </w:pPr>
            <w:r>
              <w:rPr>
                <w:rFonts w:ascii="Times New Roman" w:hAnsi="Times New Roman" w:cs="Times New Roman"/>
              </w:rPr>
              <w:t>0.000</w:t>
            </w:r>
          </w:p>
        </w:tc>
      </w:tr>
      <w:tr w:rsidR="00584AC7" w14:paraId="6734A8F5" w14:textId="77777777" w:rsidTr="001707F6">
        <w:trPr>
          <w:jc w:val="center"/>
        </w:trPr>
        <w:tc>
          <w:tcPr>
            <w:tcW w:w="7740" w:type="dxa"/>
          </w:tcPr>
          <w:p w14:paraId="3EA9EC68" w14:textId="77777777" w:rsidR="00584AC7" w:rsidRDefault="00584AC7" w:rsidP="001707F6">
            <w:pPr>
              <w:rPr>
                <w:rFonts w:ascii="Times New Roman" w:hAnsi="Times New Roman" w:cs="Times New Roman"/>
              </w:rPr>
            </w:pPr>
            <w:r>
              <w:rPr>
                <w:rFonts w:ascii="Times New Roman" w:hAnsi="Times New Roman" w:cs="Times New Roman"/>
              </w:rPr>
              <w:t>(LAT, Mass) | {CTmax, QCV, TMP, NDVI, URBWS, AGRWS, FORWS}</w:t>
            </w:r>
          </w:p>
        </w:tc>
        <w:tc>
          <w:tcPr>
            <w:tcW w:w="990" w:type="dxa"/>
          </w:tcPr>
          <w:p w14:paraId="17DF2900" w14:textId="77777777" w:rsidR="00584AC7" w:rsidRDefault="00584AC7" w:rsidP="001707F6">
            <w:pPr>
              <w:jc w:val="right"/>
              <w:rPr>
                <w:rFonts w:ascii="Times New Roman" w:hAnsi="Times New Roman" w:cs="Times New Roman"/>
              </w:rPr>
            </w:pPr>
            <w:r>
              <w:rPr>
                <w:rFonts w:ascii="Times New Roman" w:hAnsi="Times New Roman" w:cs="Times New Roman"/>
              </w:rPr>
              <w:t>0.001</w:t>
            </w:r>
          </w:p>
        </w:tc>
      </w:tr>
      <w:tr w:rsidR="00584AC7" w14:paraId="2B767298" w14:textId="77777777" w:rsidTr="001707F6">
        <w:trPr>
          <w:jc w:val="center"/>
        </w:trPr>
        <w:tc>
          <w:tcPr>
            <w:tcW w:w="7740" w:type="dxa"/>
          </w:tcPr>
          <w:p w14:paraId="6A42B58A" w14:textId="77777777" w:rsidR="00584AC7" w:rsidRDefault="00584AC7" w:rsidP="001707F6">
            <w:pPr>
              <w:rPr>
                <w:rFonts w:ascii="Times New Roman" w:hAnsi="Times New Roman" w:cs="Times New Roman"/>
              </w:rPr>
            </w:pPr>
            <w:r>
              <w:rPr>
                <w:rFonts w:ascii="Times New Roman" w:hAnsi="Times New Roman" w:cs="Times New Roman"/>
              </w:rPr>
              <w:t>(ELEV, QCV) | {LAT}</w:t>
            </w:r>
          </w:p>
        </w:tc>
        <w:tc>
          <w:tcPr>
            <w:tcW w:w="990" w:type="dxa"/>
          </w:tcPr>
          <w:p w14:paraId="1C3B569C" w14:textId="77777777" w:rsidR="00584AC7" w:rsidRDefault="00584AC7" w:rsidP="001707F6">
            <w:pPr>
              <w:jc w:val="right"/>
              <w:rPr>
                <w:rFonts w:ascii="Times New Roman" w:hAnsi="Times New Roman" w:cs="Times New Roman"/>
              </w:rPr>
            </w:pPr>
            <w:r>
              <w:rPr>
                <w:rFonts w:ascii="Times New Roman" w:hAnsi="Times New Roman" w:cs="Times New Roman"/>
              </w:rPr>
              <w:t>0.266</w:t>
            </w:r>
          </w:p>
        </w:tc>
      </w:tr>
      <w:tr w:rsidR="00584AC7" w14:paraId="31102E4B" w14:textId="77777777" w:rsidTr="001707F6">
        <w:trPr>
          <w:jc w:val="center"/>
        </w:trPr>
        <w:tc>
          <w:tcPr>
            <w:tcW w:w="7740" w:type="dxa"/>
          </w:tcPr>
          <w:p w14:paraId="7A16F57A" w14:textId="77777777" w:rsidR="00584AC7" w:rsidRDefault="00584AC7" w:rsidP="001707F6">
            <w:pPr>
              <w:rPr>
                <w:rFonts w:ascii="Times New Roman" w:hAnsi="Times New Roman" w:cs="Times New Roman"/>
              </w:rPr>
            </w:pPr>
            <w:r>
              <w:rPr>
                <w:rFonts w:ascii="Times New Roman" w:hAnsi="Times New Roman" w:cs="Times New Roman"/>
              </w:rPr>
              <w:t>(ELEV, FORWS) | {LAT}</w:t>
            </w:r>
          </w:p>
        </w:tc>
        <w:tc>
          <w:tcPr>
            <w:tcW w:w="990" w:type="dxa"/>
          </w:tcPr>
          <w:p w14:paraId="5DD4355E" w14:textId="77777777" w:rsidR="00584AC7" w:rsidRDefault="00584AC7" w:rsidP="001707F6">
            <w:pPr>
              <w:jc w:val="right"/>
              <w:rPr>
                <w:rFonts w:ascii="Times New Roman" w:hAnsi="Times New Roman" w:cs="Times New Roman"/>
              </w:rPr>
            </w:pPr>
            <w:r>
              <w:rPr>
                <w:rFonts w:ascii="Times New Roman" w:hAnsi="Times New Roman" w:cs="Times New Roman"/>
              </w:rPr>
              <w:t>0.058</w:t>
            </w:r>
          </w:p>
        </w:tc>
      </w:tr>
      <w:tr w:rsidR="00584AC7" w14:paraId="378F913E" w14:textId="77777777" w:rsidTr="001707F6">
        <w:trPr>
          <w:jc w:val="center"/>
        </w:trPr>
        <w:tc>
          <w:tcPr>
            <w:tcW w:w="7740" w:type="dxa"/>
          </w:tcPr>
          <w:p w14:paraId="54CCB03D" w14:textId="77777777" w:rsidR="00584AC7" w:rsidRDefault="00584AC7" w:rsidP="001707F6">
            <w:pPr>
              <w:rPr>
                <w:rFonts w:ascii="Times New Roman" w:hAnsi="Times New Roman" w:cs="Times New Roman"/>
              </w:rPr>
            </w:pPr>
            <w:r>
              <w:rPr>
                <w:rFonts w:ascii="Times New Roman" w:hAnsi="Times New Roman" w:cs="Times New Roman"/>
              </w:rPr>
              <w:t>(ELEV, Mass) | {CTmax, QCV, TMP, NDVI, URBWS, AGRWS, FORWS}</w:t>
            </w:r>
          </w:p>
        </w:tc>
        <w:tc>
          <w:tcPr>
            <w:tcW w:w="990" w:type="dxa"/>
          </w:tcPr>
          <w:p w14:paraId="4B91E874" w14:textId="77777777" w:rsidR="00584AC7" w:rsidRDefault="00584AC7" w:rsidP="001707F6">
            <w:pPr>
              <w:jc w:val="right"/>
              <w:rPr>
                <w:rFonts w:ascii="Times New Roman" w:hAnsi="Times New Roman" w:cs="Times New Roman"/>
              </w:rPr>
            </w:pPr>
            <w:r>
              <w:rPr>
                <w:rFonts w:ascii="Times New Roman" w:hAnsi="Times New Roman" w:cs="Times New Roman"/>
              </w:rPr>
              <w:t>0.079</w:t>
            </w:r>
          </w:p>
        </w:tc>
      </w:tr>
      <w:tr w:rsidR="00584AC7" w14:paraId="5EBB5B64" w14:textId="77777777" w:rsidTr="001707F6">
        <w:trPr>
          <w:jc w:val="center"/>
        </w:trPr>
        <w:tc>
          <w:tcPr>
            <w:tcW w:w="7740" w:type="dxa"/>
          </w:tcPr>
          <w:p w14:paraId="19C3CEF8" w14:textId="77777777" w:rsidR="00584AC7" w:rsidRDefault="00584AC7" w:rsidP="001707F6">
            <w:pPr>
              <w:rPr>
                <w:rFonts w:ascii="Times New Roman" w:hAnsi="Times New Roman" w:cs="Times New Roman"/>
              </w:rPr>
            </w:pPr>
            <w:r>
              <w:rPr>
                <w:rFonts w:ascii="Times New Roman" w:hAnsi="Times New Roman" w:cs="Times New Roman"/>
              </w:rPr>
              <w:t>(QCV, TMP) | {LAT, ELEV}</w:t>
            </w:r>
          </w:p>
        </w:tc>
        <w:tc>
          <w:tcPr>
            <w:tcW w:w="990" w:type="dxa"/>
          </w:tcPr>
          <w:p w14:paraId="07E7B299" w14:textId="77777777" w:rsidR="00584AC7" w:rsidRDefault="00584AC7" w:rsidP="001707F6">
            <w:pPr>
              <w:jc w:val="right"/>
              <w:rPr>
                <w:rFonts w:ascii="Times New Roman" w:hAnsi="Times New Roman" w:cs="Times New Roman"/>
              </w:rPr>
            </w:pPr>
            <w:r>
              <w:rPr>
                <w:rFonts w:ascii="Times New Roman" w:hAnsi="Times New Roman" w:cs="Times New Roman"/>
              </w:rPr>
              <w:t>0.715</w:t>
            </w:r>
          </w:p>
        </w:tc>
      </w:tr>
      <w:tr w:rsidR="00584AC7" w14:paraId="62D2B718" w14:textId="77777777" w:rsidTr="001707F6">
        <w:trPr>
          <w:jc w:val="center"/>
        </w:trPr>
        <w:tc>
          <w:tcPr>
            <w:tcW w:w="7740" w:type="dxa"/>
          </w:tcPr>
          <w:p w14:paraId="54ADF3ED" w14:textId="77777777" w:rsidR="00584AC7" w:rsidRDefault="00584AC7" w:rsidP="001707F6">
            <w:pPr>
              <w:rPr>
                <w:rFonts w:ascii="Times New Roman" w:hAnsi="Times New Roman" w:cs="Times New Roman"/>
              </w:rPr>
            </w:pPr>
            <w:r>
              <w:rPr>
                <w:rFonts w:ascii="Times New Roman" w:hAnsi="Times New Roman" w:cs="Times New Roman"/>
              </w:rPr>
              <w:t>(QCV, NDVI) | {LAT, ELEV}</w:t>
            </w:r>
          </w:p>
        </w:tc>
        <w:tc>
          <w:tcPr>
            <w:tcW w:w="990" w:type="dxa"/>
          </w:tcPr>
          <w:p w14:paraId="3073BAD1" w14:textId="77777777" w:rsidR="00584AC7" w:rsidRDefault="00584AC7" w:rsidP="001707F6">
            <w:pPr>
              <w:jc w:val="right"/>
              <w:rPr>
                <w:rFonts w:ascii="Times New Roman" w:hAnsi="Times New Roman" w:cs="Times New Roman"/>
              </w:rPr>
            </w:pPr>
            <w:r>
              <w:rPr>
                <w:rFonts w:ascii="Times New Roman" w:hAnsi="Times New Roman" w:cs="Times New Roman"/>
              </w:rPr>
              <w:t>0.114</w:t>
            </w:r>
          </w:p>
        </w:tc>
      </w:tr>
      <w:tr w:rsidR="00584AC7" w14:paraId="5B902E61" w14:textId="77777777" w:rsidTr="001707F6">
        <w:trPr>
          <w:jc w:val="center"/>
        </w:trPr>
        <w:tc>
          <w:tcPr>
            <w:tcW w:w="7740" w:type="dxa"/>
          </w:tcPr>
          <w:p w14:paraId="48C70562" w14:textId="77777777" w:rsidR="00584AC7" w:rsidRDefault="00584AC7" w:rsidP="001707F6">
            <w:pPr>
              <w:rPr>
                <w:rFonts w:ascii="Times New Roman" w:hAnsi="Times New Roman" w:cs="Times New Roman"/>
              </w:rPr>
            </w:pPr>
            <w:r>
              <w:rPr>
                <w:rFonts w:ascii="Times New Roman" w:hAnsi="Times New Roman" w:cs="Times New Roman"/>
              </w:rPr>
              <w:t>(TMP, NDVI) | {LAT, ELEV}</w:t>
            </w:r>
          </w:p>
        </w:tc>
        <w:tc>
          <w:tcPr>
            <w:tcW w:w="990" w:type="dxa"/>
          </w:tcPr>
          <w:p w14:paraId="16266F80" w14:textId="77777777" w:rsidR="00584AC7" w:rsidRDefault="00584AC7" w:rsidP="001707F6">
            <w:pPr>
              <w:jc w:val="right"/>
              <w:rPr>
                <w:rFonts w:ascii="Times New Roman" w:hAnsi="Times New Roman" w:cs="Times New Roman"/>
              </w:rPr>
            </w:pPr>
            <w:r>
              <w:rPr>
                <w:rFonts w:ascii="Times New Roman" w:hAnsi="Times New Roman" w:cs="Times New Roman"/>
              </w:rPr>
              <w:t>0.639</w:t>
            </w:r>
          </w:p>
        </w:tc>
      </w:tr>
      <w:tr w:rsidR="00584AC7" w14:paraId="093402A5" w14:textId="77777777" w:rsidTr="001707F6">
        <w:trPr>
          <w:jc w:val="center"/>
        </w:trPr>
        <w:tc>
          <w:tcPr>
            <w:tcW w:w="7740" w:type="dxa"/>
            <w:tcBorders>
              <w:bottom w:val="single" w:sz="4" w:space="0" w:color="auto"/>
            </w:tcBorders>
          </w:tcPr>
          <w:p w14:paraId="455037DF" w14:textId="77777777" w:rsidR="00584AC7" w:rsidRDefault="00584AC7" w:rsidP="001707F6">
            <w:pPr>
              <w:rPr>
                <w:rFonts w:ascii="Times New Roman" w:hAnsi="Times New Roman" w:cs="Times New Roman"/>
              </w:rPr>
            </w:pPr>
            <w:r>
              <w:rPr>
                <w:rFonts w:ascii="Times New Roman" w:hAnsi="Times New Roman" w:cs="Times New Roman"/>
              </w:rPr>
              <w:t>(NDVI, AGRWS) | {LAT, ELEV}</w:t>
            </w:r>
          </w:p>
        </w:tc>
        <w:tc>
          <w:tcPr>
            <w:tcW w:w="990" w:type="dxa"/>
            <w:tcBorders>
              <w:bottom w:val="single" w:sz="4" w:space="0" w:color="auto"/>
            </w:tcBorders>
          </w:tcPr>
          <w:p w14:paraId="317C50C9" w14:textId="77777777" w:rsidR="00584AC7" w:rsidRDefault="00584AC7" w:rsidP="001707F6">
            <w:pPr>
              <w:jc w:val="right"/>
              <w:rPr>
                <w:rFonts w:ascii="Times New Roman" w:hAnsi="Times New Roman" w:cs="Times New Roman"/>
              </w:rPr>
            </w:pPr>
            <w:r>
              <w:rPr>
                <w:rFonts w:ascii="Times New Roman" w:hAnsi="Times New Roman" w:cs="Times New Roman"/>
              </w:rPr>
              <w:t>0.359</w:t>
            </w:r>
          </w:p>
        </w:tc>
      </w:tr>
      <w:tr w:rsidR="00584AC7" w14:paraId="36B34711" w14:textId="77777777" w:rsidTr="001707F6">
        <w:trPr>
          <w:jc w:val="center"/>
        </w:trPr>
        <w:tc>
          <w:tcPr>
            <w:tcW w:w="7740" w:type="dxa"/>
            <w:tcBorders>
              <w:top w:val="single" w:sz="4" w:space="0" w:color="auto"/>
            </w:tcBorders>
          </w:tcPr>
          <w:p w14:paraId="2B561C54" w14:textId="77777777" w:rsidR="00584AC7" w:rsidRPr="00AC5BDD" w:rsidRDefault="00584AC7" w:rsidP="001707F6">
            <w:pPr>
              <w:rPr>
                <w:rFonts w:ascii="Times New Roman" w:hAnsi="Times New Roman" w:cs="Times New Roman"/>
                <w:i/>
              </w:rPr>
            </w:pPr>
            <w:r w:rsidRPr="00AC5BDD">
              <w:rPr>
                <w:rFonts w:ascii="Times New Roman" w:hAnsi="Times New Roman" w:cs="Times New Roman"/>
                <w:i/>
              </w:rPr>
              <w:t>C</w:t>
            </w:r>
          </w:p>
        </w:tc>
        <w:tc>
          <w:tcPr>
            <w:tcW w:w="990" w:type="dxa"/>
            <w:tcBorders>
              <w:top w:val="single" w:sz="4" w:space="0" w:color="auto"/>
            </w:tcBorders>
          </w:tcPr>
          <w:p w14:paraId="218998AF" w14:textId="77777777" w:rsidR="00584AC7" w:rsidRDefault="00584AC7" w:rsidP="001707F6">
            <w:pPr>
              <w:jc w:val="right"/>
              <w:rPr>
                <w:rFonts w:ascii="Times New Roman" w:hAnsi="Times New Roman" w:cs="Times New Roman"/>
              </w:rPr>
            </w:pPr>
            <w:r>
              <w:rPr>
                <w:rFonts w:ascii="Times New Roman" w:hAnsi="Times New Roman" w:cs="Times New Roman"/>
              </w:rPr>
              <w:t>93.72</w:t>
            </w:r>
          </w:p>
        </w:tc>
      </w:tr>
      <w:tr w:rsidR="00584AC7" w14:paraId="5BAC58E9" w14:textId="77777777" w:rsidTr="001707F6">
        <w:trPr>
          <w:jc w:val="center"/>
        </w:trPr>
        <w:tc>
          <w:tcPr>
            <w:tcW w:w="7740" w:type="dxa"/>
            <w:tcBorders>
              <w:bottom w:val="single" w:sz="4" w:space="0" w:color="auto"/>
            </w:tcBorders>
          </w:tcPr>
          <w:p w14:paraId="16BA3AAF" w14:textId="77777777" w:rsidR="00584AC7" w:rsidRDefault="00584AC7" w:rsidP="001707F6">
            <w:pPr>
              <w:rPr>
                <w:rFonts w:ascii="Times New Roman" w:hAnsi="Times New Roman" w:cs="Times New Roman"/>
              </w:rPr>
            </w:pPr>
            <w:r>
              <w:rPr>
                <w:rFonts w:ascii="Times New Roman" w:hAnsi="Times New Roman" w:cs="Times New Roman"/>
              </w:rPr>
              <w:t>Overall p-value (χ</w:t>
            </w:r>
            <w:r w:rsidRPr="00AC5BDD">
              <w:rPr>
                <w:rFonts w:ascii="Times New Roman" w:hAnsi="Times New Roman" w:cs="Times New Roman"/>
                <w:vertAlign w:val="superscript"/>
              </w:rPr>
              <w:t>2</w:t>
            </w:r>
            <w:r>
              <w:rPr>
                <w:rFonts w:ascii="Times New Roman" w:hAnsi="Times New Roman" w:cs="Times New Roman"/>
              </w:rPr>
              <w:t xml:space="preserve"> </w:t>
            </w:r>
            <w:r w:rsidRPr="00AC5BDD">
              <w:rPr>
                <w:rFonts w:ascii="Times New Roman" w:hAnsi="Times New Roman" w:cs="Times New Roman"/>
                <w:i/>
                <w:vertAlign w:val="subscript"/>
              </w:rPr>
              <w:t xml:space="preserve">df </w:t>
            </w:r>
            <w:r>
              <w:rPr>
                <w:rFonts w:ascii="Times New Roman" w:hAnsi="Times New Roman" w:cs="Times New Roman"/>
                <w:vertAlign w:val="subscript"/>
              </w:rPr>
              <w:t>= 24</w:t>
            </w:r>
            <w:r>
              <w:rPr>
                <w:rFonts w:ascii="Times New Roman" w:hAnsi="Times New Roman" w:cs="Times New Roman"/>
              </w:rPr>
              <w:t>)</w:t>
            </w:r>
          </w:p>
        </w:tc>
        <w:tc>
          <w:tcPr>
            <w:tcW w:w="990" w:type="dxa"/>
            <w:tcBorders>
              <w:bottom w:val="single" w:sz="4" w:space="0" w:color="auto"/>
            </w:tcBorders>
          </w:tcPr>
          <w:p w14:paraId="016A0772" w14:textId="77777777" w:rsidR="00584AC7" w:rsidRDefault="00584AC7" w:rsidP="001707F6">
            <w:pPr>
              <w:jc w:val="right"/>
              <w:rPr>
                <w:rFonts w:ascii="Times New Roman" w:hAnsi="Times New Roman" w:cs="Times New Roman"/>
              </w:rPr>
            </w:pPr>
            <w:r>
              <w:rPr>
                <w:rFonts w:ascii="Times New Roman" w:hAnsi="Times New Roman" w:cs="Times New Roman"/>
              </w:rPr>
              <w:t>&lt; 0.001</w:t>
            </w:r>
          </w:p>
        </w:tc>
      </w:tr>
    </w:tbl>
    <w:p w14:paraId="7DDBBAD5" w14:textId="716BBF5B" w:rsidR="00C34941" w:rsidRDefault="00C34941" w:rsidP="00584AC7">
      <w:pPr>
        <w:ind w:left="810" w:hanging="810"/>
        <w:rPr>
          <w:rFonts w:ascii="Times New Roman" w:hAnsi="Times New Roman" w:cs="Times New Roman"/>
        </w:rPr>
      </w:pPr>
    </w:p>
    <w:p w14:paraId="4D98EC6A" w14:textId="77777777" w:rsidR="00C34941" w:rsidRDefault="00C34941">
      <w:pPr>
        <w:rPr>
          <w:rFonts w:ascii="Times New Roman" w:hAnsi="Times New Roman" w:cs="Times New Roman"/>
        </w:rPr>
      </w:pPr>
      <w:r>
        <w:rPr>
          <w:rFonts w:ascii="Times New Roman" w:hAnsi="Times New Roman" w:cs="Times New Roman"/>
        </w:rPr>
        <w:br w:type="page"/>
      </w:r>
    </w:p>
    <w:p w14:paraId="03305CFB" w14:textId="5981A3B6" w:rsidR="00584AC7" w:rsidRDefault="00C34941" w:rsidP="00584AC7">
      <w:pPr>
        <w:ind w:left="810" w:hanging="810"/>
        <w:rPr>
          <w:rFonts w:ascii="Times New Roman" w:hAnsi="Times New Roman" w:cs="Times New Roman"/>
        </w:rPr>
      </w:pPr>
      <w:r>
        <w:rPr>
          <w:rFonts w:ascii="Times New Roman" w:hAnsi="Times New Roman" w:cs="Times New Roman"/>
          <w:noProof/>
        </w:rPr>
        <w:lastRenderedPageBreak/>
        <w:drawing>
          <wp:inline distT="0" distB="0" distL="0" distR="0" wp14:anchorId="6F270347" wp14:editId="231E391C">
            <wp:extent cx="5486400" cy="4438650"/>
            <wp:effectExtent l="0" t="0" r="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86400" cy="4438650"/>
                    </a:xfrm>
                    <a:prstGeom prst="rect">
                      <a:avLst/>
                    </a:prstGeom>
                  </pic:spPr>
                </pic:pic>
              </a:graphicData>
            </a:graphic>
          </wp:inline>
        </w:drawing>
      </w:r>
    </w:p>
    <w:p w14:paraId="5D727454" w14:textId="1FFA3096" w:rsidR="00C34941" w:rsidRDefault="00C34941" w:rsidP="00C34941">
      <w:pPr>
        <w:rPr>
          <w:rFonts w:ascii="Times New Roman" w:hAnsi="Times New Roman" w:cs="Times New Roman"/>
          <w:iCs/>
        </w:rPr>
      </w:pPr>
      <w:bookmarkStart w:id="113" w:name="_Toc100607954"/>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25</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Pr>
          <w:rFonts w:ascii="Times New Roman" w:hAnsi="Times New Roman" w:cs="Times New Roman"/>
          <w:b/>
          <w:bCs/>
          <w:iCs/>
        </w:rPr>
        <w:t>Moran’s correlogram</w:t>
      </w:r>
      <w:r w:rsidR="002A774E">
        <w:rPr>
          <w:rFonts w:ascii="Times New Roman" w:hAnsi="Times New Roman" w:cs="Times New Roman"/>
          <w:b/>
          <w:bCs/>
          <w:iCs/>
        </w:rPr>
        <w:t xml:space="preserve"> at the assemblage scale</w:t>
      </w:r>
      <w:r w:rsidRPr="003B7416">
        <w:rPr>
          <w:rFonts w:ascii="Times New Roman" w:hAnsi="Times New Roman" w:cs="Times New Roman"/>
          <w:b/>
          <w:bCs/>
          <w:iCs/>
        </w:rPr>
        <w:t>.</w:t>
      </w:r>
      <w:r>
        <w:rPr>
          <w:rFonts w:ascii="Times New Roman" w:hAnsi="Times New Roman" w:cs="Times New Roman"/>
          <w:iCs/>
        </w:rPr>
        <w:t xml:space="preserve"> Moran’s correlogram to assess spatial autocorrelation in model residuals in the top-ranked assemblage model.</w:t>
      </w:r>
      <w:bookmarkEnd w:id="113"/>
    </w:p>
    <w:p w14:paraId="446BE2BE" w14:textId="79E668E3" w:rsidR="00C34941" w:rsidRDefault="00C34941">
      <w:pPr>
        <w:rPr>
          <w:rFonts w:ascii="Times New Roman" w:hAnsi="Times New Roman" w:cs="Times New Roman"/>
          <w:iCs/>
        </w:rPr>
      </w:pPr>
      <w:r>
        <w:rPr>
          <w:rFonts w:ascii="Times New Roman" w:hAnsi="Times New Roman" w:cs="Times New Roman"/>
          <w:iCs/>
        </w:rPr>
        <w:br w:type="page"/>
      </w:r>
    </w:p>
    <w:p w14:paraId="1752D2D0" w14:textId="31E14D47" w:rsidR="00C34941" w:rsidRDefault="00C34941" w:rsidP="00C34941">
      <w:pPr>
        <w:rPr>
          <w:rFonts w:ascii="Times New Roman" w:hAnsi="Times New Roman" w:cs="Times New Roman"/>
        </w:rPr>
      </w:pPr>
      <w:r>
        <w:rPr>
          <w:rFonts w:ascii="Times New Roman" w:hAnsi="Times New Roman" w:cs="Times New Roman"/>
          <w:noProof/>
        </w:rPr>
        <w:lastRenderedPageBreak/>
        <w:drawing>
          <wp:inline distT="0" distB="0" distL="0" distR="0" wp14:anchorId="2C59ED76" wp14:editId="6B12234E">
            <wp:extent cx="5486400" cy="4941570"/>
            <wp:effectExtent l="0" t="0" r="0" b="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486400" cy="4941570"/>
                    </a:xfrm>
                    <a:prstGeom prst="rect">
                      <a:avLst/>
                    </a:prstGeom>
                  </pic:spPr>
                </pic:pic>
              </a:graphicData>
            </a:graphic>
          </wp:inline>
        </w:drawing>
      </w:r>
    </w:p>
    <w:p w14:paraId="5FD20F5A" w14:textId="474222F3" w:rsidR="00C34941" w:rsidRPr="00C34941" w:rsidRDefault="00C34941" w:rsidP="00C34941">
      <w:pPr>
        <w:rPr>
          <w:rFonts w:ascii="Times New Roman" w:hAnsi="Times New Roman" w:cs="Times New Roman"/>
        </w:rPr>
      </w:pPr>
      <w:bookmarkStart w:id="114" w:name="_Toc100607955"/>
      <w:r w:rsidRPr="00D72AAF">
        <w:rPr>
          <w:rFonts w:ascii="Times New Roman" w:hAnsi="Times New Roman" w:cs="Times New Roman"/>
          <w:b/>
          <w:bCs/>
        </w:rPr>
        <w:t xml:space="preserve">Figure </w:t>
      </w:r>
      <w:r w:rsidRPr="00D72AAF">
        <w:rPr>
          <w:rFonts w:ascii="Times New Roman" w:hAnsi="Times New Roman" w:cs="Times New Roman"/>
          <w:b/>
          <w:bCs/>
        </w:rPr>
        <w:fldChar w:fldCharType="begin"/>
      </w:r>
      <w:r w:rsidRPr="00D72AAF">
        <w:rPr>
          <w:rFonts w:ascii="Times New Roman" w:hAnsi="Times New Roman" w:cs="Times New Roman"/>
          <w:b/>
          <w:bCs/>
        </w:rPr>
        <w:instrText xml:space="preserve"> SEQ Figure \* ARABIC </w:instrText>
      </w:r>
      <w:r w:rsidRPr="00D72AAF">
        <w:rPr>
          <w:rFonts w:ascii="Times New Roman" w:hAnsi="Times New Roman" w:cs="Times New Roman"/>
          <w:b/>
          <w:bCs/>
        </w:rPr>
        <w:fldChar w:fldCharType="separate"/>
      </w:r>
      <w:r>
        <w:rPr>
          <w:rFonts w:ascii="Times New Roman" w:hAnsi="Times New Roman" w:cs="Times New Roman"/>
          <w:b/>
          <w:bCs/>
          <w:noProof/>
        </w:rPr>
        <w:t>26</w:t>
      </w:r>
      <w:r w:rsidRPr="00D72AAF">
        <w:rPr>
          <w:rFonts w:ascii="Times New Roman" w:hAnsi="Times New Roman" w:cs="Times New Roman"/>
          <w:b/>
          <w:bCs/>
        </w:rPr>
        <w:fldChar w:fldCharType="end"/>
      </w:r>
      <w:r w:rsidRPr="00D72AAF">
        <w:rPr>
          <w:rFonts w:ascii="Times New Roman" w:hAnsi="Times New Roman" w:cs="Times New Roman"/>
          <w:b/>
          <w:bCs/>
        </w:rPr>
        <w:t>.</w:t>
      </w:r>
      <w:r w:rsidRPr="00DF7C87">
        <w:rPr>
          <w:rFonts w:ascii="Times New Roman" w:hAnsi="Times New Roman" w:cs="Times New Roman"/>
        </w:rPr>
        <w:t xml:space="preserve"> </w:t>
      </w:r>
      <w:r>
        <w:rPr>
          <w:rFonts w:ascii="Times New Roman" w:hAnsi="Times New Roman" w:cs="Times New Roman"/>
          <w:b/>
          <w:bCs/>
          <w:iCs/>
        </w:rPr>
        <w:t>Moran’s correlogram</w:t>
      </w:r>
      <w:r w:rsidR="002A774E">
        <w:rPr>
          <w:rFonts w:ascii="Times New Roman" w:hAnsi="Times New Roman" w:cs="Times New Roman"/>
          <w:b/>
          <w:bCs/>
          <w:iCs/>
        </w:rPr>
        <w:t xml:space="preserve"> at the population scale</w:t>
      </w:r>
      <w:r w:rsidRPr="003B7416">
        <w:rPr>
          <w:rFonts w:ascii="Times New Roman" w:hAnsi="Times New Roman" w:cs="Times New Roman"/>
          <w:b/>
          <w:bCs/>
          <w:iCs/>
        </w:rPr>
        <w:t>.</w:t>
      </w:r>
      <w:r>
        <w:rPr>
          <w:rFonts w:ascii="Times New Roman" w:hAnsi="Times New Roman" w:cs="Times New Roman"/>
          <w:iCs/>
        </w:rPr>
        <w:t xml:space="preserve"> Moran’s correlogram to assess spatial autocorrelation in model residuals in the top-ranked population model.</w:t>
      </w:r>
      <w:bookmarkEnd w:id="114"/>
    </w:p>
    <w:p w14:paraId="2B5E683F" w14:textId="77777777" w:rsidR="00C34941" w:rsidRPr="00C34941" w:rsidRDefault="00C34941" w:rsidP="00C34941">
      <w:pPr>
        <w:rPr>
          <w:rFonts w:ascii="Times New Roman" w:hAnsi="Times New Roman" w:cs="Times New Roman"/>
        </w:rPr>
      </w:pPr>
    </w:p>
    <w:p w14:paraId="719B8106" w14:textId="77777777" w:rsidR="00584AC7" w:rsidRPr="00DF7C87" w:rsidRDefault="00584AC7" w:rsidP="00584AC7">
      <w:pPr>
        <w:pStyle w:val="Heading1"/>
        <w:rPr>
          <w:rFonts w:ascii="Times New Roman" w:hAnsi="Times New Roman" w:cs="Times New Roman"/>
          <w:szCs w:val="28"/>
        </w:rPr>
      </w:pPr>
      <w:r w:rsidRPr="00F916A0">
        <w:br w:type="page"/>
      </w:r>
      <w:bookmarkStart w:id="115" w:name="_Toc289175843"/>
      <w:bookmarkStart w:id="116" w:name="_Toc100607928"/>
      <w:r w:rsidRPr="00DF7C87">
        <w:rPr>
          <w:rFonts w:ascii="Times New Roman" w:hAnsi="Times New Roman" w:cs="Times New Roman"/>
          <w:szCs w:val="28"/>
        </w:rPr>
        <w:lastRenderedPageBreak/>
        <w:t>CONCLUSION</w:t>
      </w:r>
      <w:bookmarkEnd w:id="115"/>
      <w:bookmarkEnd w:id="116"/>
    </w:p>
    <w:p w14:paraId="75B1C8EC" w14:textId="77777777" w:rsidR="00584AC7" w:rsidRPr="00DF7C87" w:rsidRDefault="00584AC7" w:rsidP="00584AC7">
      <w:pPr>
        <w:rPr>
          <w:rFonts w:ascii="Times New Roman" w:hAnsi="Times New Roman" w:cs="Times New Roman"/>
        </w:rPr>
      </w:pPr>
    </w:p>
    <w:p w14:paraId="079C7A84" w14:textId="114DB81C" w:rsidR="00506CC0" w:rsidRDefault="003645D8" w:rsidP="00584AC7">
      <w:pPr>
        <w:ind w:firstLine="720"/>
        <w:jc w:val="both"/>
        <w:rPr>
          <w:rFonts w:ascii="Times New Roman" w:hAnsi="Times New Roman" w:cs="Times New Roman"/>
        </w:rPr>
      </w:pPr>
      <w:r>
        <w:rPr>
          <w:rFonts w:ascii="Times New Roman" w:hAnsi="Times New Roman" w:cs="Times New Roman"/>
        </w:rPr>
        <w:t>T</w:t>
      </w:r>
      <w:r w:rsidR="00584AC7">
        <w:rPr>
          <w:rFonts w:ascii="Times New Roman" w:hAnsi="Times New Roman" w:cs="Times New Roman"/>
        </w:rPr>
        <w:t xml:space="preserve">his dissertation makes substantial contributions to freshwater macroecology. </w:t>
      </w:r>
      <w:r w:rsidR="000D7743">
        <w:rPr>
          <w:rFonts w:ascii="Times New Roman" w:hAnsi="Times New Roman" w:cs="Times New Roman"/>
        </w:rPr>
        <w:t xml:space="preserve">The chapters are unified </w:t>
      </w:r>
      <w:r w:rsidR="00407401">
        <w:rPr>
          <w:rFonts w:ascii="Times New Roman" w:hAnsi="Times New Roman" w:cs="Times New Roman"/>
        </w:rPr>
        <w:t>by</w:t>
      </w:r>
      <w:r w:rsidR="00CA1291">
        <w:rPr>
          <w:rFonts w:ascii="Times New Roman" w:hAnsi="Times New Roman" w:cs="Times New Roman"/>
        </w:rPr>
        <w:t xml:space="preserve"> a focus on</w:t>
      </w:r>
      <w:r w:rsidR="000D7743">
        <w:rPr>
          <w:rFonts w:ascii="Times New Roman" w:hAnsi="Times New Roman" w:cs="Times New Roman"/>
        </w:rPr>
        <w:t xml:space="preserve"> three common </w:t>
      </w:r>
      <w:r w:rsidR="00506CC0">
        <w:rPr>
          <w:rFonts w:ascii="Times New Roman" w:hAnsi="Times New Roman" w:cs="Times New Roman"/>
        </w:rPr>
        <w:t>macro</w:t>
      </w:r>
      <w:r w:rsidR="000D7743">
        <w:rPr>
          <w:rFonts w:ascii="Times New Roman" w:hAnsi="Times New Roman" w:cs="Times New Roman"/>
        </w:rPr>
        <w:t>ecological responses</w:t>
      </w:r>
      <w:r w:rsidR="001A46D5">
        <w:rPr>
          <w:rFonts w:ascii="Times New Roman" w:hAnsi="Times New Roman" w:cs="Times New Roman"/>
        </w:rPr>
        <w:t xml:space="preserve"> to global change: </w:t>
      </w:r>
      <w:r w:rsidR="00506CC0">
        <w:rPr>
          <w:rFonts w:ascii="Times New Roman" w:hAnsi="Times New Roman" w:cs="Times New Roman"/>
        </w:rPr>
        <w:t xml:space="preserve">shifts in </w:t>
      </w:r>
      <w:r w:rsidR="001A46D5">
        <w:rPr>
          <w:rFonts w:ascii="Times New Roman" w:hAnsi="Times New Roman" w:cs="Times New Roman"/>
        </w:rPr>
        <w:t>phenology, biodiversity, and body size. Although well studied in terrestrial environments, these responses are less studied in freshwater contexts</w:t>
      </w:r>
      <w:r w:rsidR="0009681E">
        <w:rPr>
          <w:rFonts w:ascii="Times New Roman" w:hAnsi="Times New Roman" w:cs="Times New Roman"/>
        </w:rPr>
        <w:t xml:space="preserve"> owed to data limitations. </w:t>
      </w:r>
    </w:p>
    <w:p w14:paraId="40760EC7" w14:textId="2FC5AAC1" w:rsidR="00584AC7" w:rsidRDefault="00584AC7" w:rsidP="00584AC7">
      <w:pPr>
        <w:ind w:firstLine="720"/>
        <w:jc w:val="both"/>
        <w:rPr>
          <w:rFonts w:ascii="Times New Roman" w:hAnsi="Times New Roman" w:cs="Times New Roman"/>
        </w:rPr>
      </w:pPr>
      <w:r>
        <w:rPr>
          <w:rFonts w:ascii="Times New Roman" w:hAnsi="Times New Roman" w:cs="Times New Roman"/>
        </w:rPr>
        <w:t xml:space="preserve">In chapter I, primary </w:t>
      </w:r>
      <w:r w:rsidR="00084E84">
        <w:rPr>
          <w:rFonts w:ascii="Times New Roman" w:hAnsi="Times New Roman" w:cs="Times New Roman"/>
        </w:rPr>
        <w:t>literature</w:t>
      </w:r>
      <w:r>
        <w:rPr>
          <w:rFonts w:ascii="Times New Roman" w:hAnsi="Times New Roman" w:cs="Times New Roman"/>
        </w:rPr>
        <w:t xml:space="preserve"> </w:t>
      </w:r>
      <w:r w:rsidR="00B57D2D">
        <w:rPr>
          <w:rFonts w:ascii="Times New Roman" w:hAnsi="Times New Roman" w:cs="Times New Roman"/>
        </w:rPr>
        <w:t xml:space="preserve">is surveyed </w:t>
      </w:r>
      <w:r w:rsidR="00FC644E">
        <w:rPr>
          <w:rFonts w:ascii="Times New Roman" w:hAnsi="Times New Roman" w:cs="Times New Roman"/>
        </w:rPr>
        <w:t xml:space="preserve">to </w:t>
      </w:r>
      <w:r w:rsidR="00736A71">
        <w:rPr>
          <w:rFonts w:ascii="Times New Roman" w:hAnsi="Times New Roman" w:cs="Times New Roman"/>
        </w:rPr>
        <w:t>assess key environmental cues, intrinsic traits, and biotic interactions associated with freshwater phenology</w:t>
      </w:r>
      <w:r>
        <w:rPr>
          <w:rFonts w:ascii="Times New Roman" w:hAnsi="Times New Roman" w:cs="Times New Roman"/>
        </w:rPr>
        <w:t xml:space="preserve">. </w:t>
      </w:r>
      <w:r w:rsidR="00CA1291">
        <w:rPr>
          <w:rFonts w:ascii="Times New Roman" w:hAnsi="Times New Roman" w:cs="Times New Roman"/>
        </w:rPr>
        <w:t>I</w:t>
      </w:r>
      <w:r w:rsidR="00736A71">
        <w:rPr>
          <w:rFonts w:ascii="Times New Roman" w:hAnsi="Times New Roman" w:cs="Times New Roman"/>
        </w:rPr>
        <w:t xml:space="preserve"> find that freshwater phenology events are cued by temperature, resource, and hydrology </w:t>
      </w:r>
      <w:r w:rsidR="00FF2D35">
        <w:rPr>
          <w:rFonts w:ascii="Times New Roman" w:hAnsi="Times New Roman" w:cs="Times New Roman"/>
        </w:rPr>
        <w:t>regimes</w:t>
      </w:r>
      <w:r w:rsidR="00736A71">
        <w:rPr>
          <w:rFonts w:ascii="Times New Roman" w:hAnsi="Times New Roman" w:cs="Times New Roman"/>
        </w:rPr>
        <w:t>.</w:t>
      </w:r>
      <w:r w:rsidR="00FF2D35">
        <w:rPr>
          <w:rFonts w:ascii="Times New Roman" w:hAnsi="Times New Roman" w:cs="Times New Roman"/>
        </w:rPr>
        <w:t xml:space="preserve"> Therefore, shifts in the timing of freshwater phenology are likely to </w:t>
      </w:r>
      <w:r w:rsidR="001A1B73">
        <w:rPr>
          <w:rFonts w:ascii="Times New Roman" w:hAnsi="Times New Roman" w:cs="Times New Roman"/>
        </w:rPr>
        <w:t xml:space="preserve">be widespread owed to global change impacts on these key environmental cues. However, </w:t>
      </w:r>
      <w:r w:rsidR="00CC3432">
        <w:rPr>
          <w:rFonts w:ascii="Times New Roman" w:hAnsi="Times New Roman" w:cs="Times New Roman"/>
        </w:rPr>
        <w:t>I identify</w:t>
      </w:r>
      <w:r w:rsidR="001A1B73">
        <w:rPr>
          <w:rFonts w:ascii="Times New Roman" w:hAnsi="Times New Roman" w:cs="Times New Roman"/>
        </w:rPr>
        <w:t xml:space="preserve"> broad knowledge gaps in intrinsic traits and biotic interactions associated with phenology. These gaps limit our ability to generalize findings among taxa and </w:t>
      </w:r>
      <w:r w:rsidR="004C61EC">
        <w:rPr>
          <w:rFonts w:ascii="Times New Roman" w:hAnsi="Times New Roman" w:cs="Times New Roman"/>
        </w:rPr>
        <w:t>understand implications of shifting phenology on community structure and functioning.</w:t>
      </w:r>
    </w:p>
    <w:p w14:paraId="0C21CAAD" w14:textId="43B8B816" w:rsidR="00584AC7" w:rsidRDefault="00584AC7" w:rsidP="00584AC7">
      <w:pPr>
        <w:ind w:firstLine="720"/>
        <w:jc w:val="both"/>
        <w:rPr>
          <w:rFonts w:ascii="Times New Roman" w:hAnsi="Times New Roman" w:cs="Times New Roman"/>
        </w:rPr>
      </w:pPr>
      <w:r>
        <w:rPr>
          <w:rFonts w:ascii="Times New Roman" w:hAnsi="Times New Roman" w:cs="Times New Roman"/>
        </w:rPr>
        <w:t xml:space="preserve">In chapter II, </w:t>
      </w:r>
      <w:r w:rsidR="00CC3432">
        <w:rPr>
          <w:rFonts w:ascii="Times New Roman" w:hAnsi="Times New Roman" w:cs="Times New Roman"/>
        </w:rPr>
        <w:t>I</w:t>
      </w:r>
      <w:r>
        <w:rPr>
          <w:rFonts w:ascii="Times New Roman" w:hAnsi="Times New Roman" w:cs="Times New Roman"/>
        </w:rPr>
        <w:t xml:space="preserve"> document the biodiversity-ecosystem functioning relationship in riverine ecosystems. </w:t>
      </w:r>
      <w:r w:rsidR="007178FF">
        <w:rPr>
          <w:rFonts w:ascii="Times New Roman" w:hAnsi="Times New Roman" w:cs="Times New Roman"/>
        </w:rPr>
        <w:t>This finding is important because it indicates that ongoing freshwater biodiversity loss can decrease</w:t>
      </w:r>
      <w:r w:rsidR="00D043F3">
        <w:rPr>
          <w:rFonts w:ascii="Times New Roman" w:hAnsi="Times New Roman" w:cs="Times New Roman"/>
        </w:rPr>
        <w:t xml:space="preserve"> stream fish community biomass. </w:t>
      </w:r>
      <w:r w:rsidR="00CA1291">
        <w:rPr>
          <w:rFonts w:ascii="Times New Roman" w:hAnsi="Times New Roman" w:cs="Times New Roman"/>
        </w:rPr>
        <w:t>Additionally, these results indicate potential impacts of global change on the many ecosystem services provided by</w:t>
      </w:r>
      <w:r w:rsidR="00DA2EE5">
        <w:rPr>
          <w:rFonts w:ascii="Times New Roman" w:hAnsi="Times New Roman" w:cs="Times New Roman"/>
        </w:rPr>
        <w:t xml:space="preserve"> stream fish communities</w:t>
      </w:r>
      <w:r w:rsidR="00CA1291">
        <w:rPr>
          <w:rFonts w:ascii="Times New Roman" w:hAnsi="Times New Roman" w:cs="Times New Roman"/>
        </w:rPr>
        <w:t xml:space="preserve"> (e.g., nutrient cycling, food resources)</w:t>
      </w:r>
      <w:r w:rsidR="00DA2EE5">
        <w:rPr>
          <w:rFonts w:ascii="Times New Roman" w:hAnsi="Times New Roman" w:cs="Times New Roman"/>
        </w:rPr>
        <w:t xml:space="preserve">. </w:t>
      </w:r>
    </w:p>
    <w:p w14:paraId="0BE52C60" w14:textId="496EFD1F" w:rsidR="00506CC0" w:rsidRDefault="00584AC7" w:rsidP="00506CC0">
      <w:pPr>
        <w:ind w:firstLine="720"/>
        <w:jc w:val="both"/>
        <w:rPr>
          <w:rFonts w:ascii="Times New Roman" w:hAnsi="Times New Roman" w:cs="Times New Roman"/>
        </w:rPr>
      </w:pPr>
      <w:r>
        <w:rPr>
          <w:rFonts w:ascii="Times New Roman" w:hAnsi="Times New Roman" w:cs="Times New Roman"/>
        </w:rPr>
        <w:t xml:space="preserve">In chapter IV, </w:t>
      </w:r>
      <w:r w:rsidR="00CC3432">
        <w:rPr>
          <w:rFonts w:ascii="Times New Roman" w:hAnsi="Times New Roman" w:cs="Times New Roman"/>
        </w:rPr>
        <w:t>I</w:t>
      </w:r>
      <w:r>
        <w:rPr>
          <w:rFonts w:ascii="Times New Roman" w:hAnsi="Times New Roman" w:cs="Times New Roman"/>
        </w:rPr>
        <w:t xml:space="preserve"> assess geographic patterns and proximate drivers in fish assemblage body mass across biological scales. Across biological scales, </w:t>
      </w:r>
      <w:r w:rsidR="00B13080">
        <w:rPr>
          <w:rFonts w:ascii="Times New Roman" w:hAnsi="Times New Roman" w:cs="Times New Roman"/>
        </w:rPr>
        <w:t>I</w:t>
      </w:r>
      <w:r>
        <w:rPr>
          <w:rFonts w:ascii="Times New Roman" w:hAnsi="Times New Roman" w:cs="Times New Roman"/>
        </w:rPr>
        <w:t xml:space="preserve"> </w:t>
      </w:r>
      <w:r w:rsidR="00D52AA5">
        <w:rPr>
          <w:rFonts w:ascii="Times New Roman" w:hAnsi="Times New Roman" w:cs="Times New Roman"/>
        </w:rPr>
        <w:t xml:space="preserve">find that decreasing temperature and increasing </w:t>
      </w:r>
      <w:r w:rsidR="00FC644E">
        <w:rPr>
          <w:rFonts w:ascii="Times New Roman" w:hAnsi="Times New Roman" w:cs="Times New Roman"/>
        </w:rPr>
        <w:t xml:space="preserve">watershed </w:t>
      </w:r>
      <w:r w:rsidR="00D52AA5">
        <w:rPr>
          <w:rFonts w:ascii="Times New Roman" w:hAnsi="Times New Roman" w:cs="Times New Roman"/>
        </w:rPr>
        <w:t>urbanized land-use</w:t>
      </w:r>
      <w:r w:rsidR="00B13080">
        <w:rPr>
          <w:rFonts w:ascii="Times New Roman" w:hAnsi="Times New Roman" w:cs="Times New Roman"/>
        </w:rPr>
        <w:t xml:space="preserve"> increase fish body size</w:t>
      </w:r>
      <w:r>
        <w:rPr>
          <w:rFonts w:ascii="Times New Roman" w:hAnsi="Times New Roman" w:cs="Times New Roman"/>
        </w:rPr>
        <w:t xml:space="preserve">. </w:t>
      </w:r>
      <w:r w:rsidR="00FC644E">
        <w:rPr>
          <w:rFonts w:ascii="Times New Roman" w:hAnsi="Times New Roman" w:cs="Times New Roman"/>
        </w:rPr>
        <w:t>These results indicate that shifts body size distributions in freshwater may be pervasive responses to ongoing global change.</w:t>
      </w:r>
    </w:p>
    <w:p w14:paraId="7A839182" w14:textId="47FAE295" w:rsidR="00506CC0" w:rsidRDefault="00506CC0" w:rsidP="00506CC0">
      <w:pPr>
        <w:ind w:firstLine="720"/>
        <w:jc w:val="both"/>
        <w:rPr>
          <w:rFonts w:ascii="Times New Roman" w:hAnsi="Times New Roman" w:cs="Times New Roman"/>
        </w:rPr>
      </w:pPr>
      <w:r>
        <w:rPr>
          <w:rFonts w:ascii="Times New Roman" w:hAnsi="Times New Roman" w:cs="Times New Roman"/>
        </w:rPr>
        <w:t xml:space="preserve">Beyond these novel contributions to </w:t>
      </w:r>
      <w:r w:rsidR="0092699F">
        <w:rPr>
          <w:rFonts w:ascii="Times New Roman" w:hAnsi="Times New Roman" w:cs="Times New Roman"/>
        </w:rPr>
        <w:t xml:space="preserve">the freshwater macroecology research, each chapter </w:t>
      </w:r>
      <w:r w:rsidR="00CA33AD">
        <w:rPr>
          <w:rFonts w:ascii="Times New Roman" w:hAnsi="Times New Roman" w:cs="Times New Roman"/>
        </w:rPr>
        <w:t>demonstrates</w:t>
      </w:r>
      <w:r w:rsidR="0092699F">
        <w:rPr>
          <w:rFonts w:ascii="Times New Roman" w:hAnsi="Times New Roman" w:cs="Times New Roman"/>
        </w:rPr>
        <w:t xml:space="preserve"> how different data sources can be leveraged to</w:t>
      </w:r>
      <w:r w:rsidR="00FC644E">
        <w:rPr>
          <w:rFonts w:ascii="Times New Roman" w:hAnsi="Times New Roman" w:cs="Times New Roman"/>
        </w:rPr>
        <w:t xml:space="preserve"> overcome knowledge gaps in traditionally under sampled freshwater environments. Chapter I use</w:t>
      </w:r>
      <w:r w:rsidR="00AD33FE">
        <w:rPr>
          <w:rFonts w:ascii="Times New Roman" w:hAnsi="Times New Roman" w:cs="Times New Roman"/>
        </w:rPr>
        <w:t>s</w:t>
      </w:r>
      <w:r w:rsidR="00FC644E">
        <w:rPr>
          <w:rFonts w:ascii="Times New Roman" w:hAnsi="Times New Roman" w:cs="Times New Roman"/>
        </w:rPr>
        <w:t xml:space="preserve"> a rich dataset on environmental cues and freshwater phenology </w:t>
      </w:r>
      <w:r w:rsidR="0009681E">
        <w:rPr>
          <w:rFonts w:ascii="Times New Roman" w:hAnsi="Times New Roman" w:cs="Times New Roman"/>
        </w:rPr>
        <w:t xml:space="preserve">obtained from published literature. </w:t>
      </w:r>
      <w:r w:rsidR="00AA2C69">
        <w:rPr>
          <w:rFonts w:ascii="Times New Roman" w:hAnsi="Times New Roman" w:cs="Times New Roman"/>
        </w:rPr>
        <w:t xml:space="preserve">Chapters II and IV use standardized government sampling monitoring programs in France and the United States, respectively. Chapter III </w:t>
      </w:r>
      <w:r w:rsidR="007F29E1">
        <w:rPr>
          <w:rFonts w:ascii="Times New Roman" w:hAnsi="Times New Roman" w:cs="Times New Roman"/>
        </w:rPr>
        <w:t xml:space="preserve">extends upon these chapters and </w:t>
      </w:r>
      <w:r w:rsidR="00AA2C69">
        <w:rPr>
          <w:rFonts w:ascii="Times New Roman" w:hAnsi="Times New Roman" w:cs="Times New Roman"/>
        </w:rPr>
        <w:t xml:space="preserve">analyzes freshwater community science datasets </w:t>
      </w:r>
      <w:r w:rsidR="00B52D23">
        <w:rPr>
          <w:rFonts w:ascii="Times New Roman" w:hAnsi="Times New Roman" w:cs="Times New Roman"/>
        </w:rPr>
        <w:t>to understand how these emerging data sources may aid in more robust assessments of freshwater biodiversity responses to global change.</w:t>
      </w:r>
    </w:p>
    <w:p w14:paraId="4DE89CBC" w14:textId="41F165B4" w:rsidR="00D123F0" w:rsidRDefault="0009681E" w:rsidP="00D123F0">
      <w:pPr>
        <w:ind w:firstLine="720"/>
        <w:jc w:val="both"/>
        <w:rPr>
          <w:rFonts w:ascii="Times New Roman" w:hAnsi="Times New Roman" w:cs="Times New Roman"/>
        </w:rPr>
      </w:pPr>
      <w:r>
        <w:rPr>
          <w:rFonts w:ascii="Times New Roman" w:hAnsi="Times New Roman" w:cs="Times New Roman"/>
        </w:rPr>
        <w:t xml:space="preserve">In chapter III, </w:t>
      </w:r>
      <w:r w:rsidR="007F29E1">
        <w:rPr>
          <w:rFonts w:ascii="Times New Roman" w:hAnsi="Times New Roman" w:cs="Times New Roman"/>
        </w:rPr>
        <w:t>I</w:t>
      </w:r>
      <w:r>
        <w:rPr>
          <w:rFonts w:ascii="Times New Roman" w:hAnsi="Times New Roman" w:cs="Times New Roman"/>
        </w:rPr>
        <w:t xml:space="preserve"> synthesize</w:t>
      </w:r>
      <w:r w:rsidR="00BA29A6">
        <w:rPr>
          <w:rFonts w:ascii="Times New Roman" w:hAnsi="Times New Roman" w:cs="Times New Roman"/>
        </w:rPr>
        <w:t xml:space="preserve"> spatial biases and gaps in freshwater community science (CS) survey effort</w:t>
      </w:r>
      <w:r>
        <w:rPr>
          <w:rFonts w:ascii="Times New Roman" w:hAnsi="Times New Roman" w:cs="Times New Roman"/>
        </w:rPr>
        <w:t xml:space="preserve">. </w:t>
      </w:r>
      <w:r w:rsidR="00BA29A6">
        <w:rPr>
          <w:rFonts w:ascii="Times New Roman" w:hAnsi="Times New Roman" w:cs="Times New Roman"/>
        </w:rPr>
        <w:t xml:space="preserve">CS is often advertised as a novel tool to </w:t>
      </w:r>
      <w:r w:rsidR="00F04351">
        <w:rPr>
          <w:rFonts w:ascii="Times New Roman" w:hAnsi="Times New Roman" w:cs="Times New Roman"/>
        </w:rPr>
        <w:t xml:space="preserve">overcome data limitations created by more traditional standardized biodiversity datasets. </w:t>
      </w:r>
      <w:r w:rsidR="000B4037">
        <w:rPr>
          <w:rFonts w:ascii="Times New Roman" w:hAnsi="Times New Roman" w:cs="Times New Roman"/>
        </w:rPr>
        <w:t xml:space="preserve">However, </w:t>
      </w:r>
      <w:r w:rsidR="007F29E1">
        <w:rPr>
          <w:rFonts w:ascii="Times New Roman" w:hAnsi="Times New Roman" w:cs="Times New Roman"/>
        </w:rPr>
        <w:t>I</w:t>
      </w:r>
      <w:r w:rsidR="000B4037">
        <w:rPr>
          <w:rFonts w:ascii="Times New Roman" w:hAnsi="Times New Roman" w:cs="Times New Roman"/>
        </w:rPr>
        <w:t xml:space="preserve"> identified broad spatial biases and participation gaps in these datasets. </w:t>
      </w:r>
      <w:r w:rsidR="003927FC">
        <w:rPr>
          <w:rFonts w:ascii="Times New Roman" w:hAnsi="Times New Roman" w:cs="Times New Roman"/>
        </w:rPr>
        <w:t xml:space="preserve">There are many opportunities for CS data to provide information to freshwater macroecology, but </w:t>
      </w:r>
      <w:r w:rsidR="007423C5">
        <w:rPr>
          <w:rFonts w:ascii="Times New Roman" w:hAnsi="Times New Roman" w:cs="Times New Roman"/>
        </w:rPr>
        <w:t>these data should be used in consideration of the associated biases.</w:t>
      </w:r>
    </w:p>
    <w:p w14:paraId="372563E2" w14:textId="0F21098A" w:rsidR="00584AC7" w:rsidRPr="00DF7C87" w:rsidRDefault="00A62F62" w:rsidP="006A78D8">
      <w:pPr>
        <w:ind w:firstLine="720"/>
        <w:jc w:val="both"/>
        <w:rPr>
          <w:rFonts w:ascii="Times New Roman" w:hAnsi="Times New Roman" w:cs="Times New Roman"/>
        </w:rPr>
      </w:pPr>
      <w:r>
        <w:rPr>
          <w:rFonts w:ascii="Times New Roman" w:hAnsi="Times New Roman" w:cs="Times New Roman"/>
        </w:rPr>
        <w:t xml:space="preserve">Each chapter </w:t>
      </w:r>
      <w:r w:rsidR="005A1DB7">
        <w:rPr>
          <w:rFonts w:ascii="Times New Roman" w:hAnsi="Times New Roman" w:cs="Times New Roman"/>
        </w:rPr>
        <w:t>used</w:t>
      </w:r>
      <w:r>
        <w:rPr>
          <w:rFonts w:ascii="Times New Roman" w:hAnsi="Times New Roman" w:cs="Times New Roman"/>
        </w:rPr>
        <w:t xml:space="preserve"> different dataset(s) and equipped me with advanced skills in data cleaning, combination, and processing datasets from disparate sources. I also honed project planning and time management skills required for independent research. Finally, my technical writing skills have improved immensely through the course of my dissertation research. </w:t>
      </w:r>
    </w:p>
    <w:p w14:paraId="6A4C888A" w14:textId="77777777" w:rsidR="00584AC7" w:rsidRPr="00DF7C87" w:rsidRDefault="00584AC7" w:rsidP="00584AC7">
      <w:pPr>
        <w:pStyle w:val="Heading1"/>
        <w:rPr>
          <w:rFonts w:ascii="Times New Roman" w:hAnsi="Times New Roman" w:cs="Times New Roman"/>
          <w:szCs w:val="28"/>
        </w:rPr>
      </w:pPr>
      <w:bookmarkStart w:id="117" w:name="_Toc289175845"/>
      <w:bookmarkStart w:id="118" w:name="_Toc100607929"/>
      <w:r w:rsidRPr="00DF7C87">
        <w:rPr>
          <w:rFonts w:ascii="Times New Roman" w:hAnsi="Times New Roman" w:cs="Times New Roman"/>
          <w:szCs w:val="28"/>
        </w:rPr>
        <w:lastRenderedPageBreak/>
        <w:t>VITA</w:t>
      </w:r>
      <w:bookmarkEnd w:id="117"/>
      <w:bookmarkEnd w:id="118"/>
    </w:p>
    <w:p w14:paraId="151EFDFD" w14:textId="77777777" w:rsidR="00584AC7" w:rsidRPr="00DF7C87" w:rsidRDefault="00584AC7" w:rsidP="00584AC7">
      <w:pPr>
        <w:rPr>
          <w:rFonts w:ascii="Times New Roman" w:hAnsi="Times New Roman" w:cs="Times New Roman"/>
        </w:rPr>
      </w:pPr>
    </w:p>
    <w:p w14:paraId="1F6C9DC0" w14:textId="4A689A3F" w:rsidR="00584AC7" w:rsidRPr="004A4B19" w:rsidRDefault="00584AC7" w:rsidP="00584AC7">
      <w:pPr>
        <w:jc w:val="both"/>
        <w:rPr>
          <w:rFonts w:ascii="Times New Roman" w:hAnsi="Times New Roman" w:cs="Times New Roman"/>
        </w:rPr>
        <w:sectPr w:rsidR="00584AC7" w:rsidRPr="004A4B19" w:rsidSect="005933AD">
          <w:pgSz w:w="12240" w:h="15840" w:code="1"/>
          <w:pgMar w:top="1440" w:right="1800" w:bottom="1872" w:left="1800" w:header="720" w:footer="1440" w:gutter="0"/>
          <w:pgNumType w:start="1"/>
          <w:cols w:space="720"/>
          <w:noEndnote/>
          <w:docGrid w:linePitch="360"/>
        </w:sectPr>
      </w:pPr>
      <w:r>
        <w:rPr>
          <w:rFonts w:ascii="Times New Roman" w:hAnsi="Times New Roman" w:cs="Times New Roman"/>
        </w:rPr>
        <w:t>Taylor Woods</w:t>
      </w:r>
      <w:r w:rsidRPr="00DF7C87">
        <w:rPr>
          <w:rFonts w:ascii="Times New Roman" w:hAnsi="Times New Roman" w:cs="Times New Roman"/>
        </w:rPr>
        <w:t xml:space="preserve"> was </w:t>
      </w:r>
      <w:r>
        <w:rPr>
          <w:rFonts w:ascii="Times New Roman" w:hAnsi="Times New Roman" w:cs="Times New Roman"/>
        </w:rPr>
        <w:t>raised in South City St. Louis, MO</w:t>
      </w:r>
      <w:r w:rsidRPr="00DF7C87">
        <w:rPr>
          <w:rFonts w:ascii="Times New Roman" w:hAnsi="Times New Roman" w:cs="Times New Roman"/>
        </w:rPr>
        <w:t xml:space="preserve">. She </w:t>
      </w:r>
      <w:r>
        <w:rPr>
          <w:rFonts w:ascii="Times New Roman" w:hAnsi="Times New Roman" w:cs="Times New Roman"/>
        </w:rPr>
        <w:t>received a BSc degree in Environmental Biology from Tulane University in 2011</w:t>
      </w:r>
      <w:r w:rsidR="003645D8">
        <w:rPr>
          <w:rFonts w:ascii="Times New Roman" w:hAnsi="Times New Roman" w:cs="Times New Roman"/>
        </w:rPr>
        <w:t xml:space="preserve"> and</w:t>
      </w:r>
      <w:r>
        <w:rPr>
          <w:rFonts w:ascii="Times New Roman" w:hAnsi="Times New Roman" w:cs="Times New Roman"/>
        </w:rPr>
        <w:t xml:space="preserve"> a MSc in Environmental Studies from Virginia Commonwealth University in 2018 before starting a PhD in Ecology and Evolutionary Biology at the University of Tennessee</w:t>
      </w:r>
      <w:r w:rsidR="00B50FE4">
        <w:rPr>
          <w:rFonts w:ascii="Times New Roman" w:hAnsi="Times New Roman" w:cs="Times New Roman"/>
        </w:rPr>
        <w:t>.</w:t>
      </w:r>
    </w:p>
    <w:p w14:paraId="5AE2F3A2" w14:textId="4DF8BC8C" w:rsidR="009D20E9" w:rsidRPr="009D20E9" w:rsidRDefault="009D20E9" w:rsidP="009D20E9">
      <w:pPr>
        <w:tabs>
          <w:tab w:val="center" w:pos="4320"/>
        </w:tabs>
        <w:rPr>
          <w:rFonts w:ascii="Times New Roman" w:hAnsi="Times New Roman" w:cs="Times New Roman"/>
        </w:rPr>
        <w:sectPr w:rsidR="009D20E9" w:rsidRPr="009D20E9" w:rsidSect="00EB2CAF">
          <w:type w:val="continuous"/>
          <w:pgSz w:w="12240" w:h="15840" w:code="1"/>
          <w:pgMar w:top="1440" w:right="1800" w:bottom="1872" w:left="1800" w:header="720" w:footer="1440" w:gutter="0"/>
          <w:pgNumType w:start="1"/>
          <w:cols w:space="720"/>
          <w:noEndnote/>
          <w:docGrid w:linePitch="360"/>
        </w:sectPr>
      </w:pPr>
    </w:p>
    <w:p w14:paraId="33DCCEB8" w14:textId="0E944CA1" w:rsidR="00825933" w:rsidRPr="00DF7C87" w:rsidRDefault="00825933" w:rsidP="00584AC7">
      <w:pPr>
        <w:pStyle w:val="Heading1"/>
        <w:jc w:val="left"/>
        <w:rPr>
          <w:rFonts w:ascii="Times New Roman" w:hAnsi="Times New Roman" w:cs="Times New Roman"/>
          <w:sz w:val="24"/>
        </w:rPr>
      </w:pPr>
    </w:p>
    <w:sectPr w:rsidR="00825933" w:rsidRPr="00DF7C87" w:rsidSect="00991A3D">
      <w:type w:val="continuous"/>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B3FE" w14:textId="77777777" w:rsidR="001C7F13" w:rsidRDefault="001C7F13" w:rsidP="005E54E2">
      <w:r>
        <w:separator/>
      </w:r>
    </w:p>
    <w:p w14:paraId="28F7F7B5" w14:textId="77777777" w:rsidR="001C7F13" w:rsidRDefault="001C7F13" w:rsidP="005E54E2"/>
    <w:p w14:paraId="4BE6ABE7" w14:textId="77777777" w:rsidR="001C7F13" w:rsidRDefault="001C7F13" w:rsidP="005E54E2"/>
    <w:p w14:paraId="6B5D8BE4" w14:textId="77777777" w:rsidR="001C7F13" w:rsidRDefault="001C7F13" w:rsidP="005E54E2"/>
  </w:endnote>
  <w:endnote w:type="continuationSeparator" w:id="0">
    <w:p w14:paraId="09792B20" w14:textId="77777777" w:rsidR="001C7F13" w:rsidRDefault="001C7F13" w:rsidP="005E54E2">
      <w:r>
        <w:continuationSeparator/>
      </w:r>
    </w:p>
    <w:p w14:paraId="08782FF0" w14:textId="77777777" w:rsidR="001C7F13" w:rsidRDefault="001C7F13" w:rsidP="005E54E2"/>
    <w:p w14:paraId="05D3BE57" w14:textId="77777777" w:rsidR="001C7F13" w:rsidRDefault="001C7F13" w:rsidP="005E54E2"/>
    <w:p w14:paraId="2739D344" w14:textId="77777777" w:rsidR="001C7F13" w:rsidRDefault="001C7F1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8655" w14:textId="77777777" w:rsidR="00387656" w:rsidRPr="008F2EA4" w:rsidRDefault="00387656">
    <w:pPr>
      <w:pStyle w:val="Footer"/>
      <w:jc w:val="right"/>
      <w:rPr>
        <w:rFonts w:ascii="Times New Roman" w:hAnsi="Times New Roman" w:cs="Times New Roman"/>
      </w:rPr>
    </w:pPr>
    <w:r w:rsidRPr="008F2EA4">
      <w:rPr>
        <w:rFonts w:ascii="Times New Roman" w:hAnsi="Times New Roman" w:cs="Times New Roman"/>
      </w:rPr>
      <w:fldChar w:fldCharType="begin"/>
    </w:r>
    <w:r w:rsidRPr="008F2EA4">
      <w:rPr>
        <w:rFonts w:ascii="Times New Roman" w:hAnsi="Times New Roman" w:cs="Times New Roman"/>
      </w:rPr>
      <w:instrText xml:space="preserve"> PAGE   \* MERGEFORMAT </w:instrText>
    </w:r>
    <w:r w:rsidRPr="008F2EA4">
      <w:rPr>
        <w:rFonts w:ascii="Times New Roman" w:hAnsi="Times New Roman" w:cs="Times New Roman"/>
      </w:rPr>
      <w:fldChar w:fldCharType="separate"/>
    </w:r>
    <w:r w:rsidR="00394464" w:rsidRPr="008F2EA4">
      <w:rPr>
        <w:rFonts w:ascii="Times New Roman" w:hAnsi="Times New Roman" w:cs="Times New Roman"/>
        <w:noProof/>
      </w:rPr>
      <w:t>13</w:t>
    </w:r>
    <w:r w:rsidRPr="008F2EA4">
      <w:rPr>
        <w:rFonts w:ascii="Times New Roman" w:hAnsi="Times New Roman" w:cs="Times New Roman"/>
        <w:noProof/>
      </w:rPr>
      <w:fldChar w:fldCharType="end"/>
    </w:r>
  </w:p>
  <w:p w14:paraId="7DE55353"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6E1EC" w14:textId="77777777" w:rsidR="001C7F13" w:rsidRDefault="001C7F13" w:rsidP="005E54E2">
      <w:r>
        <w:separator/>
      </w:r>
    </w:p>
    <w:p w14:paraId="0125F1E1" w14:textId="77777777" w:rsidR="001C7F13" w:rsidRDefault="001C7F13" w:rsidP="005E54E2"/>
    <w:p w14:paraId="27BD01BB" w14:textId="77777777" w:rsidR="001C7F13" w:rsidRDefault="001C7F13" w:rsidP="005E54E2"/>
    <w:p w14:paraId="18F8373B" w14:textId="77777777" w:rsidR="001C7F13" w:rsidRDefault="001C7F13" w:rsidP="005E54E2"/>
  </w:footnote>
  <w:footnote w:type="continuationSeparator" w:id="0">
    <w:p w14:paraId="0CB31294" w14:textId="77777777" w:rsidR="001C7F13" w:rsidRDefault="001C7F13" w:rsidP="005E54E2">
      <w:r>
        <w:continuationSeparator/>
      </w:r>
    </w:p>
    <w:p w14:paraId="4CDC6AAE" w14:textId="77777777" w:rsidR="001C7F13" w:rsidRDefault="001C7F13" w:rsidP="005E54E2"/>
    <w:p w14:paraId="3EF56C2A" w14:textId="77777777" w:rsidR="001C7F13" w:rsidRDefault="001C7F13" w:rsidP="005E54E2"/>
    <w:p w14:paraId="68436C69" w14:textId="77777777" w:rsidR="001C7F13" w:rsidRDefault="001C7F13"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383"/>
    <w:multiLevelType w:val="hybridMultilevel"/>
    <w:tmpl w:val="B532EE3C"/>
    <w:lvl w:ilvl="0" w:tplc="44F84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21630"/>
    <w:multiLevelType w:val="hybridMultilevel"/>
    <w:tmpl w:val="6C64AEE2"/>
    <w:lvl w:ilvl="0" w:tplc="65C6C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F034B"/>
    <w:multiLevelType w:val="hybridMultilevel"/>
    <w:tmpl w:val="EE3280DC"/>
    <w:lvl w:ilvl="0" w:tplc="54607D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47012"/>
    <w:multiLevelType w:val="hybridMultilevel"/>
    <w:tmpl w:val="F95A7A56"/>
    <w:lvl w:ilvl="0" w:tplc="823254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E2D48"/>
    <w:multiLevelType w:val="hybridMultilevel"/>
    <w:tmpl w:val="8B3601C4"/>
    <w:lvl w:ilvl="0" w:tplc="763A34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08718C"/>
    <w:multiLevelType w:val="hybridMultilevel"/>
    <w:tmpl w:val="4522A752"/>
    <w:lvl w:ilvl="0" w:tplc="208292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631DB"/>
    <w:multiLevelType w:val="hybridMultilevel"/>
    <w:tmpl w:val="09FED0C4"/>
    <w:lvl w:ilvl="0" w:tplc="C7F493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100316">
    <w:abstractNumId w:val="0"/>
  </w:num>
  <w:num w:numId="2" w16cid:durableId="965505511">
    <w:abstractNumId w:val="4"/>
  </w:num>
  <w:num w:numId="3" w16cid:durableId="776867681">
    <w:abstractNumId w:val="5"/>
  </w:num>
  <w:num w:numId="4" w16cid:durableId="885260449">
    <w:abstractNumId w:val="3"/>
  </w:num>
  <w:num w:numId="5" w16cid:durableId="87697740">
    <w:abstractNumId w:val="2"/>
  </w:num>
  <w:num w:numId="6" w16cid:durableId="837891959">
    <w:abstractNumId w:val="1"/>
  </w:num>
  <w:num w:numId="7" w16cid:durableId="1578516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0078"/>
    <w:rsid w:val="000033A9"/>
    <w:rsid w:val="00003C78"/>
    <w:rsid w:val="00003F6A"/>
    <w:rsid w:val="00014A0F"/>
    <w:rsid w:val="00014A3E"/>
    <w:rsid w:val="000156E9"/>
    <w:rsid w:val="000166A9"/>
    <w:rsid w:val="00016B23"/>
    <w:rsid w:val="000210BA"/>
    <w:rsid w:val="0002251C"/>
    <w:rsid w:val="000258BA"/>
    <w:rsid w:val="0003112D"/>
    <w:rsid w:val="000314C4"/>
    <w:rsid w:val="0003672C"/>
    <w:rsid w:val="000447B4"/>
    <w:rsid w:val="00054B69"/>
    <w:rsid w:val="00057004"/>
    <w:rsid w:val="00060A6A"/>
    <w:rsid w:val="000638B5"/>
    <w:rsid w:val="00066DE6"/>
    <w:rsid w:val="00067269"/>
    <w:rsid w:val="00071FB8"/>
    <w:rsid w:val="00072544"/>
    <w:rsid w:val="0007310D"/>
    <w:rsid w:val="00076479"/>
    <w:rsid w:val="00076A95"/>
    <w:rsid w:val="00081373"/>
    <w:rsid w:val="00082D9D"/>
    <w:rsid w:val="00082EE5"/>
    <w:rsid w:val="00083508"/>
    <w:rsid w:val="00084E84"/>
    <w:rsid w:val="00086A62"/>
    <w:rsid w:val="00092093"/>
    <w:rsid w:val="0009639E"/>
    <w:rsid w:val="0009681E"/>
    <w:rsid w:val="000A508B"/>
    <w:rsid w:val="000A5B31"/>
    <w:rsid w:val="000B2B3A"/>
    <w:rsid w:val="000B4037"/>
    <w:rsid w:val="000B5C42"/>
    <w:rsid w:val="000C6C73"/>
    <w:rsid w:val="000D0B9C"/>
    <w:rsid w:val="000D2871"/>
    <w:rsid w:val="000D3CB8"/>
    <w:rsid w:val="000D7743"/>
    <w:rsid w:val="000E09EA"/>
    <w:rsid w:val="000E2416"/>
    <w:rsid w:val="000E661D"/>
    <w:rsid w:val="000E68AA"/>
    <w:rsid w:val="000E7F1F"/>
    <w:rsid w:val="000F3513"/>
    <w:rsid w:val="000F4D73"/>
    <w:rsid w:val="000F5C9A"/>
    <w:rsid w:val="0010217F"/>
    <w:rsid w:val="0010434C"/>
    <w:rsid w:val="0011032A"/>
    <w:rsid w:val="00122678"/>
    <w:rsid w:val="00123540"/>
    <w:rsid w:val="001251A7"/>
    <w:rsid w:val="00125CF1"/>
    <w:rsid w:val="001323F9"/>
    <w:rsid w:val="001329EA"/>
    <w:rsid w:val="00142AAF"/>
    <w:rsid w:val="00145E25"/>
    <w:rsid w:val="00156D86"/>
    <w:rsid w:val="00157339"/>
    <w:rsid w:val="00157F6B"/>
    <w:rsid w:val="00160114"/>
    <w:rsid w:val="001826D4"/>
    <w:rsid w:val="00182FCD"/>
    <w:rsid w:val="0018369E"/>
    <w:rsid w:val="001854FB"/>
    <w:rsid w:val="00186E7D"/>
    <w:rsid w:val="00193642"/>
    <w:rsid w:val="00193EDD"/>
    <w:rsid w:val="001A1B73"/>
    <w:rsid w:val="001A46D5"/>
    <w:rsid w:val="001A7AAC"/>
    <w:rsid w:val="001B1034"/>
    <w:rsid w:val="001C39F6"/>
    <w:rsid w:val="001C66FE"/>
    <w:rsid w:val="001C7F13"/>
    <w:rsid w:val="001D4908"/>
    <w:rsid w:val="001D66D9"/>
    <w:rsid w:val="001D6904"/>
    <w:rsid w:val="001E223F"/>
    <w:rsid w:val="001E2792"/>
    <w:rsid w:val="001E6AE5"/>
    <w:rsid w:val="001F3EBB"/>
    <w:rsid w:val="001F43C1"/>
    <w:rsid w:val="001F522F"/>
    <w:rsid w:val="0020571F"/>
    <w:rsid w:val="00211EFC"/>
    <w:rsid w:val="002137E6"/>
    <w:rsid w:val="00215C1D"/>
    <w:rsid w:val="0022210F"/>
    <w:rsid w:val="00224265"/>
    <w:rsid w:val="00224560"/>
    <w:rsid w:val="00236E6D"/>
    <w:rsid w:val="00237690"/>
    <w:rsid w:val="002429E5"/>
    <w:rsid w:val="00242B7C"/>
    <w:rsid w:val="00242CA2"/>
    <w:rsid w:val="002466B8"/>
    <w:rsid w:val="00246AF3"/>
    <w:rsid w:val="0024714A"/>
    <w:rsid w:val="002471D7"/>
    <w:rsid w:val="00251718"/>
    <w:rsid w:val="00255B1E"/>
    <w:rsid w:val="00261B12"/>
    <w:rsid w:val="00265160"/>
    <w:rsid w:val="0027258D"/>
    <w:rsid w:val="002756BC"/>
    <w:rsid w:val="00280CEF"/>
    <w:rsid w:val="0028757A"/>
    <w:rsid w:val="002934C5"/>
    <w:rsid w:val="002941D4"/>
    <w:rsid w:val="00294AD0"/>
    <w:rsid w:val="00295CE1"/>
    <w:rsid w:val="002975D4"/>
    <w:rsid w:val="002A0756"/>
    <w:rsid w:val="002A12F0"/>
    <w:rsid w:val="002A3264"/>
    <w:rsid w:val="002A332D"/>
    <w:rsid w:val="002A6963"/>
    <w:rsid w:val="002A774E"/>
    <w:rsid w:val="002A799B"/>
    <w:rsid w:val="002B1FDA"/>
    <w:rsid w:val="002B2147"/>
    <w:rsid w:val="002B5BE9"/>
    <w:rsid w:val="002B5C2C"/>
    <w:rsid w:val="002C1085"/>
    <w:rsid w:val="002C1524"/>
    <w:rsid w:val="002C1F8F"/>
    <w:rsid w:val="002C6156"/>
    <w:rsid w:val="002C7853"/>
    <w:rsid w:val="002D1207"/>
    <w:rsid w:val="002E0C33"/>
    <w:rsid w:val="002E2492"/>
    <w:rsid w:val="002E5F14"/>
    <w:rsid w:val="002E678B"/>
    <w:rsid w:val="002E7F61"/>
    <w:rsid w:val="002F0456"/>
    <w:rsid w:val="002F39A1"/>
    <w:rsid w:val="002F6B13"/>
    <w:rsid w:val="002F6C76"/>
    <w:rsid w:val="002F78E0"/>
    <w:rsid w:val="00304BD0"/>
    <w:rsid w:val="003050D2"/>
    <w:rsid w:val="00307D77"/>
    <w:rsid w:val="00312017"/>
    <w:rsid w:val="00313637"/>
    <w:rsid w:val="00313E9E"/>
    <w:rsid w:val="003150D5"/>
    <w:rsid w:val="003206F1"/>
    <w:rsid w:val="00320F78"/>
    <w:rsid w:val="00321016"/>
    <w:rsid w:val="00324BDD"/>
    <w:rsid w:val="00327AA7"/>
    <w:rsid w:val="00330927"/>
    <w:rsid w:val="00332121"/>
    <w:rsid w:val="00334400"/>
    <w:rsid w:val="003348A6"/>
    <w:rsid w:val="00341607"/>
    <w:rsid w:val="00342DE7"/>
    <w:rsid w:val="00343F34"/>
    <w:rsid w:val="00352276"/>
    <w:rsid w:val="00354AD5"/>
    <w:rsid w:val="0035768F"/>
    <w:rsid w:val="003609E2"/>
    <w:rsid w:val="00360B3C"/>
    <w:rsid w:val="00361099"/>
    <w:rsid w:val="0036251E"/>
    <w:rsid w:val="00363503"/>
    <w:rsid w:val="003645D8"/>
    <w:rsid w:val="00366F77"/>
    <w:rsid w:val="0037178D"/>
    <w:rsid w:val="00373919"/>
    <w:rsid w:val="0038177C"/>
    <w:rsid w:val="0038242F"/>
    <w:rsid w:val="0038324F"/>
    <w:rsid w:val="003836EB"/>
    <w:rsid w:val="00387024"/>
    <w:rsid w:val="00387656"/>
    <w:rsid w:val="003927A4"/>
    <w:rsid w:val="003927FC"/>
    <w:rsid w:val="00392B40"/>
    <w:rsid w:val="00394464"/>
    <w:rsid w:val="003A33A2"/>
    <w:rsid w:val="003A387A"/>
    <w:rsid w:val="003A57A3"/>
    <w:rsid w:val="003B23D7"/>
    <w:rsid w:val="003B409B"/>
    <w:rsid w:val="003B45F7"/>
    <w:rsid w:val="003C070F"/>
    <w:rsid w:val="003C1575"/>
    <w:rsid w:val="003C23E4"/>
    <w:rsid w:val="003C3D39"/>
    <w:rsid w:val="003C7FC5"/>
    <w:rsid w:val="003D07F7"/>
    <w:rsid w:val="003D1CB2"/>
    <w:rsid w:val="003D5275"/>
    <w:rsid w:val="003D63DF"/>
    <w:rsid w:val="003D737F"/>
    <w:rsid w:val="003E2A0E"/>
    <w:rsid w:val="003E41E4"/>
    <w:rsid w:val="003F2762"/>
    <w:rsid w:val="003F35F8"/>
    <w:rsid w:val="003F5A65"/>
    <w:rsid w:val="003F6893"/>
    <w:rsid w:val="003F7474"/>
    <w:rsid w:val="00402A13"/>
    <w:rsid w:val="00404616"/>
    <w:rsid w:val="004052CB"/>
    <w:rsid w:val="004067B5"/>
    <w:rsid w:val="00406F6E"/>
    <w:rsid w:val="00407401"/>
    <w:rsid w:val="00407B6A"/>
    <w:rsid w:val="00410D94"/>
    <w:rsid w:val="00410EA9"/>
    <w:rsid w:val="00413BC1"/>
    <w:rsid w:val="00414400"/>
    <w:rsid w:val="004146FD"/>
    <w:rsid w:val="00415114"/>
    <w:rsid w:val="00421CD4"/>
    <w:rsid w:val="004221FC"/>
    <w:rsid w:val="00422932"/>
    <w:rsid w:val="00423855"/>
    <w:rsid w:val="00423EA7"/>
    <w:rsid w:val="00424866"/>
    <w:rsid w:val="00425EFD"/>
    <w:rsid w:val="00427833"/>
    <w:rsid w:val="004317A3"/>
    <w:rsid w:val="004335E8"/>
    <w:rsid w:val="00434A73"/>
    <w:rsid w:val="0044078C"/>
    <w:rsid w:val="0044196E"/>
    <w:rsid w:val="0044298B"/>
    <w:rsid w:val="004434D0"/>
    <w:rsid w:val="004448FA"/>
    <w:rsid w:val="00446D99"/>
    <w:rsid w:val="0044703B"/>
    <w:rsid w:val="00447985"/>
    <w:rsid w:val="00451A25"/>
    <w:rsid w:val="004523E9"/>
    <w:rsid w:val="0045314D"/>
    <w:rsid w:val="00454DEF"/>
    <w:rsid w:val="00463612"/>
    <w:rsid w:val="00467200"/>
    <w:rsid w:val="0047103B"/>
    <w:rsid w:val="00473AA2"/>
    <w:rsid w:val="00474210"/>
    <w:rsid w:val="00480B96"/>
    <w:rsid w:val="0048303E"/>
    <w:rsid w:val="00483B1D"/>
    <w:rsid w:val="00483DE8"/>
    <w:rsid w:val="004846B2"/>
    <w:rsid w:val="00484A75"/>
    <w:rsid w:val="00485A15"/>
    <w:rsid w:val="00486B79"/>
    <w:rsid w:val="0049004B"/>
    <w:rsid w:val="00490880"/>
    <w:rsid w:val="004920F6"/>
    <w:rsid w:val="00492A1F"/>
    <w:rsid w:val="00497636"/>
    <w:rsid w:val="004A2DFF"/>
    <w:rsid w:val="004A3321"/>
    <w:rsid w:val="004A4B19"/>
    <w:rsid w:val="004A67E8"/>
    <w:rsid w:val="004B700B"/>
    <w:rsid w:val="004C2071"/>
    <w:rsid w:val="004C3D65"/>
    <w:rsid w:val="004C401A"/>
    <w:rsid w:val="004C61EC"/>
    <w:rsid w:val="004C6C21"/>
    <w:rsid w:val="004C7D8B"/>
    <w:rsid w:val="004D61EC"/>
    <w:rsid w:val="004D6472"/>
    <w:rsid w:val="004E2B69"/>
    <w:rsid w:val="004E36A4"/>
    <w:rsid w:val="004E4A91"/>
    <w:rsid w:val="004E7D74"/>
    <w:rsid w:val="004F0324"/>
    <w:rsid w:val="00502829"/>
    <w:rsid w:val="005049EE"/>
    <w:rsid w:val="005051BE"/>
    <w:rsid w:val="00506C8C"/>
    <w:rsid w:val="00506CC0"/>
    <w:rsid w:val="00512079"/>
    <w:rsid w:val="005153E5"/>
    <w:rsid w:val="005200F4"/>
    <w:rsid w:val="00526151"/>
    <w:rsid w:val="005268B5"/>
    <w:rsid w:val="00526CAD"/>
    <w:rsid w:val="00526D5B"/>
    <w:rsid w:val="0053238A"/>
    <w:rsid w:val="00532C2B"/>
    <w:rsid w:val="00534298"/>
    <w:rsid w:val="0053462B"/>
    <w:rsid w:val="00535137"/>
    <w:rsid w:val="0053571D"/>
    <w:rsid w:val="00541D36"/>
    <w:rsid w:val="0054648B"/>
    <w:rsid w:val="00550A1F"/>
    <w:rsid w:val="00555570"/>
    <w:rsid w:val="005623C3"/>
    <w:rsid w:val="00563612"/>
    <w:rsid w:val="00564A85"/>
    <w:rsid w:val="005654C9"/>
    <w:rsid w:val="005673B4"/>
    <w:rsid w:val="005703D3"/>
    <w:rsid w:val="0057500E"/>
    <w:rsid w:val="0057795B"/>
    <w:rsid w:val="00580430"/>
    <w:rsid w:val="00581DFF"/>
    <w:rsid w:val="00583A04"/>
    <w:rsid w:val="00583A38"/>
    <w:rsid w:val="00584AC7"/>
    <w:rsid w:val="005902E4"/>
    <w:rsid w:val="005933AD"/>
    <w:rsid w:val="00597AD2"/>
    <w:rsid w:val="00597D3F"/>
    <w:rsid w:val="005A0845"/>
    <w:rsid w:val="005A1DB7"/>
    <w:rsid w:val="005A4AEA"/>
    <w:rsid w:val="005B1762"/>
    <w:rsid w:val="005B371F"/>
    <w:rsid w:val="005B79E9"/>
    <w:rsid w:val="005B7D3C"/>
    <w:rsid w:val="005C3FBB"/>
    <w:rsid w:val="005C4FE0"/>
    <w:rsid w:val="005C5F8D"/>
    <w:rsid w:val="005D2175"/>
    <w:rsid w:val="005D335A"/>
    <w:rsid w:val="005D3C8D"/>
    <w:rsid w:val="005D3DEF"/>
    <w:rsid w:val="005D663C"/>
    <w:rsid w:val="005D677E"/>
    <w:rsid w:val="005D67DB"/>
    <w:rsid w:val="005E2659"/>
    <w:rsid w:val="005E4912"/>
    <w:rsid w:val="005E4AF7"/>
    <w:rsid w:val="005E54E2"/>
    <w:rsid w:val="005E6F1F"/>
    <w:rsid w:val="005F0835"/>
    <w:rsid w:val="005F44D1"/>
    <w:rsid w:val="005F6380"/>
    <w:rsid w:val="006003A8"/>
    <w:rsid w:val="0060300E"/>
    <w:rsid w:val="00611B90"/>
    <w:rsid w:val="0061515A"/>
    <w:rsid w:val="00617498"/>
    <w:rsid w:val="00621129"/>
    <w:rsid w:val="00622205"/>
    <w:rsid w:val="00626DCC"/>
    <w:rsid w:val="00633916"/>
    <w:rsid w:val="00635A42"/>
    <w:rsid w:val="00641D2B"/>
    <w:rsid w:val="00652687"/>
    <w:rsid w:val="006550F6"/>
    <w:rsid w:val="00661FEF"/>
    <w:rsid w:val="00662D3E"/>
    <w:rsid w:val="00663184"/>
    <w:rsid w:val="0066374B"/>
    <w:rsid w:val="00665C7E"/>
    <w:rsid w:val="00667870"/>
    <w:rsid w:val="00672B2A"/>
    <w:rsid w:val="00672DDD"/>
    <w:rsid w:val="0067577C"/>
    <w:rsid w:val="0067634F"/>
    <w:rsid w:val="00676C91"/>
    <w:rsid w:val="00677E00"/>
    <w:rsid w:val="006803C0"/>
    <w:rsid w:val="0068075B"/>
    <w:rsid w:val="00681E5F"/>
    <w:rsid w:val="00686ED9"/>
    <w:rsid w:val="00690B77"/>
    <w:rsid w:val="0069153B"/>
    <w:rsid w:val="006A5831"/>
    <w:rsid w:val="006A5D2E"/>
    <w:rsid w:val="006A65FF"/>
    <w:rsid w:val="006A78D8"/>
    <w:rsid w:val="006B3287"/>
    <w:rsid w:val="006B3782"/>
    <w:rsid w:val="006C4000"/>
    <w:rsid w:val="006C5512"/>
    <w:rsid w:val="006C5A29"/>
    <w:rsid w:val="006C621F"/>
    <w:rsid w:val="006C651A"/>
    <w:rsid w:val="006C693D"/>
    <w:rsid w:val="006C7F69"/>
    <w:rsid w:val="006D021A"/>
    <w:rsid w:val="006D07C8"/>
    <w:rsid w:val="006D4B49"/>
    <w:rsid w:val="006D5236"/>
    <w:rsid w:val="006D54EA"/>
    <w:rsid w:val="006D551C"/>
    <w:rsid w:val="006D5EE8"/>
    <w:rsid w:val="006D727C"/>
    <w:rsid w:val="006E0EE1"/>
    <w:rsid w:val="006E336C"/>
    <w:rsid w:val="006E56E8"/>
    <w:rsid w:val="006E5B01"/>
    <w:rsid w:val="006F5AA4"/>
    <w:rsid w:val="006F5DDC"/>
    <w:rsid w:val="00700E12"/>
    <w:rsid w:val="0070257C"/>
    <w:rsid w:val="00705BDE"/>
    <w:rsid w:val="00711200"/>
    <w:rsid w:val="007152C2"/>
    <w:rsid w:val="007178FF"/>
    <w:rsid w:val="00717B2A"/>
    <w:rsid w:val="00721267"/>
    <w:rsid w:val="0072397F"/>
    <w:rsid w:val="00727250"/>
    <w:rsid w:val="00731922"/>
    <w:rsid w:val="00731ACB"/>
    <w:rsid w:val="00732DAC"/>
    <w:rsid w:val="007368AD"/>
    <w:rsid w:val="00736A71"/>
    <w:rsid w:val="0074133D"/>
    <w:rsid w:val="007423C5"/>
    <w:rsid w:val="00743924"/>
    <w:rsid w:val="00745DF6"/>
    <w:rsid w:val="007515F4"/>
    <w:rsid w:val="0075196D"/>
    <w:rsid w:val="007534AE"/>
    <w:rsid w:val="0075558C"/>
    <w:rsid w:val="0076005C"/>
    <w:rsid w:val="00761310"/>
    <w:rsid w:val="00761EFA"/>
    <w:rsid w:val="00764359"/>
    <w:rsid w:val="00764873"/>
    <w:rsid w:val="00765225"/>
    <w:rsid w:val="007705D5"/>
    <w:rsid w:val="0077217A"/>
    <w:rsid w:val="0077714B"/>
    <w:rsid w:val="007778DD"/>
    <w:rsid w:val="007800BF"/>
    <w:rsid w:val="00781055"/>
    <w:rsid w:val="00781210"/>
    <w:rsid w:val="0078673B"/>
    <w:rsid w:val="00787617"/>
    <w:rsid w:val="00791E80"/>
    <w:rsid w:val="00795053"/>
    <w:rsid w:val="00796693"/>
    <w:rsid w:val="00796992"/>
    <w:rsid w:val="00796D6E"/>
    <w:rsid w:val="007A0F41"/>
    <w:rsid w:val="007B3429"/>
    <w:rsid w:val="007C18E6"/>
    <w:rsid w:val="007C3C43"/>
    <w:rsid w:val="007C4379"/>
    <w:rsid w:val="007C6E2D"/>
    <w:rsid w:val="007C7591"/>
    <w:rsid w:val="007D1C7E"/>
    <w:rsid w:val="007D24B4"/>
    <w:rsid w:val="007D5CD5"/>
    <w:rsid w:val="007D678C"/>
    <w:rsid w:val="007F29E1"/>
    <w:rsid w:val="007F5ABE"/>
    <w:rsid w:val="007F6AE9"/>
    <w:rsid w:val="00804C8A"/>
    <w:rsid w:val="00810227"/>
    <w:rsid w:val="008203EF"/>
    <w:rsid w:val="0082570A"/>
    <w:rsid w:val="00825933"/>
    <w:rsid w:val="00826D54"/>
    <w:rsid w:val="00832B4D"/>
    <w:rsid w:val="00834CBF"/>
    <w:rsid w:val="00834D4D"/>
    <w:rsid w:val="008362B6"/>
    <w:rsid w:val="0083630E"/>
    <w:rsid w:val="00836F89"/>
    <w:rsid w:val="0084110A"/>
    <w:rsid w:val="008415CE"/>
    <w:rsid w:val="00842892"/>
    <w:rsid w:val="00843B03"/>
    <w:rsid w:val="00845692"/>
    <w:rsid w:val="00846459"/>
    <w:rsid w:val="00850F7F"/>
    <w:rsid w:val="0085757D"/>
    <w:rsid w:val="00863435"/>
    <w:rsid w:val="00864954"/>
    <w:rsid w:val="008668D1"/>
    <w:rsid w:val="00870BE6"/>
    <w:rsid w:val="00870DCF"/>
    <w:rsid w:val="00872827"/>
    <w:rsid w:val="0087349A"/>
    <w:rsid w:val="0087532D"/>
    <w:rsid w:val="008814E3"/>
    <w:rsid w:val="008865B6"/>
    <w:rsid w:val="0088689E"/>
    <w:rsid w:val="00890591"/>
    <w:rsid w:val="00891079"/>
    <w:rsid w:val="00893990"/>
    <w:rsid w:val="008947D9"/>
    <w:rsid w:val="008949E3"/>
    <w:rsid w:val="00895DF4"/>
    <w:rsid w:val="00897ABC"/>
    <w:rsid w:val="008A3289"/>
    <w:rsid w:val="008A7971"/>
    <w:rsid w:val="008B0A19"/>
    <w:rsid w:val="008B1A4D"/>
    <w:rsid w:val="008B590E"/>
    <w:rsid w:val="008C13F9"/>
    <w:rsid w:val="008C6B35"/>
    <w:rsid w:val="008D0A54"/>
    <w:rsid w:val="008D3E27"/>
    <w:rsid w:val="008D589C"/>
    <w:rsid w:val="008D7DF3"/>
    <w:rsid w:val="008E356C"/>
    <w:rsid w:val="008E4CA8"/>
    <w:rsid w:val="008E7085"/>
    <w:rsid w:val="008F2EA4"/>
    <w:rsid w:val="008F4AA9"/>
    <w:rsid w:val="008F60C3"/>
    <w:rsid w:val="008F6CA9"/>
    <w:rsid w:val="0090165A"/>
    <w:rsid w:val="00902B2F"/>
    <w:rsid w:val="00903483"/>
    <w:rsid w:val="00904969"/>
    <w:rsid w:val="00911285"/>
    <w:rsid w:val="00913B2D"/>
    <w:rsid w:val="00917F64"/>
    <w:rsid w:val="009254D6"/>
    <w:rsid w:val="0092669B"/>
    <w:rsid w:val="0092699F"/>
    <w:rsid w:val="00926BBE"/>
    <w:rsid w:val="0093163E"/>
    <w:rsid w:val="00933DFB"/>
    <w:rsid w:val="0093585B"/>
    <w:rsid w:val="00935D18"/>
    <w:rsid w:val="009360B6"/>
    <w:rsid w:val="00936348"/>
    <w:rsid w:val="00936436"/>
    <w:rsid w:val="00946622"/>
    <w:rsid w:val="00954AA5"/>
    <w:rsid w:val="00961C61"/>
    <w:rsid w:val="00963982"/>
    <w:rsid w:val="00966AB2"/>
    <w:rsid w:val="00966BAC"/>
    <w:rsid w:val="00972F01"/>
    <w:rsid w:val="00975E37"/>
    <w:rsid w:val="009764AD"/>
    <w:rsid w:val="009770BC"/>
    <w:rsid w:val="009776EE"/>
    <w:rsid w:val="009813F0"/>
    <w:rsid w:val="00991A3D"/>
    <w:rsid w:val="009925A7"/>
    <w:rsid w:val="00993708"/>
    <w:rsid w:val="009945B4"/>
    <w:rsid w:val="009947CA"/>
    <w:rsid w:val="009A17FC"/>
    <w:rsid w:val="009A1C8B"/>
    <w:rsid w:val="009A1E53"/>
    <w:rsid w:val="009A2ABE"/>
    <w:rsid w:val="009A6A2F"/>
    <w:rsid w:val="009B45A8"/>
    <w:rsid w:val="009C755C"/>
    <w:rsid w:val="009C780F"/>
    <w:rsid w:val="009D08BF"/>
    <w:rsid w:val="009D20E9"/>
    <w:rsid w:val="009D3369"/>
    <w:rsid w:val="009D5611"/>
    <w:rsid w:val="009D794C"/>
    <w:rsid w:val="009E4E49"/>
    <w:rsid w:val="009F09BA"/>
    <w:rsid w:val="009F248D"/>
    <w:rsid w:val="009F3F9F"/>
    <w:rsid w:val="009F4D28"/>
    <w:rsid w:val="00A0529D"/>
    <w:rsid w:val="00A116AB"/>
    <w:rsid w:val="00A12C9C"/>
    <w:rsid w:val="00A1468E"/>
    <w:rsid w:val="00A14A00"/>
    <w:rsid w:val="00A17F25"/>
    <w:rsid w:val="00A24B57"/>
    <w:rsid w:val="00A25353"/>
    <w:rsid w:val="00A347F2"/>
    <w:rsid w:val="00A34F5F"/>
    <w:rsid w:val="00A351E0"/>
    <w:rsid w:val="00A3798E"/>
    <w:rsid w:val="00A4407A"/>
    <w:rsid w:val="00A4446A"/>
    <w:rsid w:val="00A458F6"/>
    <w:rsid w:val="00A464AD"/>
    <w:rsid w:val="00A46A68"/>
    <w:rsid w:val="00A50EE9"/>
    <w:rsid w:val="00A50F5A"/>
    <w:rsid w:val="00A52778"/>
    <w:rsid w:val="00A56618"/>
    <w:rsid w:val="00A62982"/>
    <w:rsid w:val="00A62F62"/>
    <w:rsid w:val="00A735E2"/>
    <w:rsid w:val="00A746DE"/>
    <w:rsid w:val="00A847CB"/>
    <w:rsid w:val="00A849F3"/>
    <w:rsid w:val="00A86F48"/>
    <w:rsid w:val="00A91F3E"/>
    <w:rsid w:val="00AA2C69"/>
    <w:rsid w:val="00AA3E0C"/>
    <w:rsid w:val="00AB6429"/>
    <w:rsid w:val="00AD0A33"/>
    <w:rsid w:val="00AD1278"/>
    <w:rsid w:val="00AD228D"/>
    <w:rsid w:val="00AD31BE"/>
    <w:rsid w:val="00AD33FE"/>
    <w:rsid w:val="00AE0982"/>
    <w:rsid w:val="00AE2963"/>
    <w:rsid w:val="00AE2F6C"/>
    <w:rsid w:val="00AF19D4"/>
    <w:rsid w:val="00AF7F45"/>
    <w:rsid w:val="00B00494"/>
    <w:rsid w:val="00B06C8D"/>
    <w:rsid w:val="00B07524"/>
    <w:rsid w:val="00B113E7"/>
    <w:rsid w:val="00B120BA"/>
    <w:rsid w:val="00B13080"/>
    <w:rsid w:val="00B161B1"/>
    <w:rsid w:val="00B20269"/>
    <w:rsid w:val="00B228ED"/>
    <w:rsid w:val="00B22C13"/>
    <w:rsid w:val="00B27C75"/>
    <w:rsid w:val="00B3328E"/>
    <w:rsid w:val="00B35B7C"/>
    <w:rsid w:val="00B36790"/>
    <w:rsid w:val="00B4001F"/>
    <w:rsid w:val="00B44D2B"/>
    <w:rsid w:val="00B50FE4"/>
    <w:rsid w:val="00B52D23"/>
    <w:rsid w:val="00B53C15"/>
    <w:rsid w:val="00B56F08"/>
    <w:rsid w:val="00B57D2D"/>
    <w:rsid w:val="00B60A04"/>
    <w:rsid w:val="00B63240"/>
    <w:rsid w:val="00B64068"/>
    <w:rsid w:val="00B67062"/>
    <w:rsid w:val="00B67767"/>
    <w:rsid w:val="00B71943"/>
    <w:rsid w:val="00B71BD7"/>
    <w:rsid w:val="00B720C0"/>
    <w:rsid w:val="00B72F17"/>
    <w:rsid w:val="00B765A4"/>
    <w:rsid w:val="00B7746D"/>
    <w:rsid w:val="00B90095"/>
    <w:rsid w:val="00B95221"/>
    <w:rsid w:val="00BA29A6"/>
    <w:rsid w:val="00BA7D0F"/>
    <w:rsid w:val="00BC1530"/>
    <w:rsid w:val="00BC19FF"/>
    <w:rsid w:val="00BC6921"/>
    <w:rsid w:val="00BD2603"/>
    <w:rsid w:val="00BD3522"/>
    <w:rsid w:val="00BD43E6"/>
    <w:rsid w:val="00BD457E"/>
    <w:rsid w:val="00BD782E"/>
    <w:rsid w:val="00BD7CAD"/>
    <w:rsid w:val="00BF2473"/>
    <w:rsid w:val="00BF482F"/>
    <w:rsid w:val="00BF7C99"/>
    <w:rsid w:val="00C02ACB"/>
    <w:rsid w:val="00C038D7"/>
    <w:rsid w:val="00C04C1F"/>
    <w:rsid w:val="00C0799A"/>
    <w:rsid w:val="00C11408"/>
    <w:rsid w:val="00C11D0D"/>
    <w:rsid w:val="00C13481"/>
    <w:rsid w:val="00C134A4"/>
    <w:rsid w:val="00C156B2"/>
    <w:rsid w:val="00C15E62"/>
    <w:rsid w:val="00C1681A"/>
    <w:rsid w:val="00C23C85"/>
    <w:rsid w:val="00C24ADA"/>
    <w:rsid w:val="00C25269"/>
    <w:rsid w:val="00C26544"/>
    <w:rsid w:val="00C30D60"/>
    <w:rsid w:val="00C34941"/>
    <w:rsid w:val="00C35A3C"/>
    <w:rsid w:val="00C40804"/>
    <w:rsid w:val="00C40CF7"/>
    <w:rsid w:val="00C41750"/>
    <w:rsid w:val="00C429CA"/>
    <w:rsid w:val="00C45C83"/>
    <w:rsid w:val="00C509C3"/>
    <w:rsid w:val="00C50A17"/>
    <w:rsid w:val="00C5298F"/>
    <w:rsid w:val="00C56AE3"/>
    <w:rsid w:val="00C62031"/>
    <w:rsid w:val="00C6773F"/>
    <w:rsid w:val="00C70EAE"/>
    <w:rsid w:val="00C71914"/>
    <w:rsid w:val="00C77178"/>
    <w:rsid w:val="00C77DDF"/>
    <w:rsid w:val="00C77F57"/>
    <w:rsid w:val="00C81656"/>
    <w:rsid w:val="00C83B65"/>
    <w:rsid w:val="00C84527"/>
    <w:rsid w:val="00C849D4"/>
    <w:rsid w:val="00C876E9"/>
    <w:rsid w:val="00C91194"/>
    <w:rsid w:val="00C9206E"/>
    <w:rsid w:val="00C924C9"/>
    <w:rsid w:val="00C94F0A"/>
    <w:rsid w:val="00CA017E"/>
    <w:rsid w:val="00CA1291"/>
    <w:rsid w:val="00CA2456"/>
    <w:rsid w:val="00CA33AD"/>
    <w:rsid w:val="00CA7E51"/>
    <w:rsid w:val="00CB0E0B"/>
    <w:rsid w:val="00CB1103"/>
    <w:rsid w:val="00CB2881"/>
    <w:rsid w:val="00CC3218"/>
    <w:rsid w:val="00CC3432"/>
    <w:rsid w:val="00CC4E4E"/>
    <w:rsid w:val="00CC6BB0"/>
    <w:rsid w:val="00CD18BC"/>
    <w:rsid w:val="00CD4A53"/>
    <w:rsid w:val="00CD4B48"/>
    <w:rsid w:val="00CD50B5"/>
    <w:rsid w:val="00CD73A9"/>
    <w:rsid w:val="00CD77B6"/>
    <w:rsid w:val="00CE3A3E"/>
    <w:rsid w:val="00CE4D4B"/>
    <w:rsid w:val="00CE64C6"/>
    <w:rsid w:val="00CE6E8A"/>
    <w:rsid w:val="00CF4ED0"/>
    <w:rsid w:val="00D043F3"/>
    <w:rsid w:val="00D05514"/>
    <w:rsid w:val="00D0591B"/>
    <w:rsid w:val="00D06A52"/>
    <w:rsid w:val="00D06B25"/>
    <w:rsid w:val="00D06DF3"/>
    <w:rsid w:val="00D06F12"/>
    <w:rsid w:val="00D118AB"/>
    <w:rsid w:val="00D123F0"/>
    <w:rsid w:val="00D1241F"/>
    <w:rsid w:val="00D16F03"/>
    <w:rsid w:val="00D17C0A"/>
    <w:rsid w:val="00D20FC7"/>
    <w:rsid w:val="00D21EF3"/>
    <w:rsid w:val="00D34145"/>
    <w:rsid w:val="00D35A56"/>
    <w:rsid w:val="00D3679E"/>
    <w:rsid w:val="00D41205"/>
    <w:rsid w:val="00D41DCD"/>
    <w:rsid w:val="00D45FE7"/>
    <w:rsid w:val="00D46790"/>
    <w:rsid w:val="00D512FC"/>
    <w:rsid w:val="00D52707"/>
    <w:rsid w:val="00D52AA5"/>
    <w:rsid w:val="00D54603"/>
    <w:rsid w:val="00D568EF"/>
    <w:rsid w:val="00D576D0"/>
    <w:rsid w:val="00D614F3"/>
    <w:rsid w:val="00D6504C"/>
    <w:rsid w:val="00D668F9"/>
    <w:rsid w:val="00D677AA"/>
    <w:rsid w:val="00D721E4"/>
    <w:rsid w:val="00D72570"/>
    <w:rsid w:val="00D72AAF"/>
    <w:rsid w:val="00D732E9"/>
    <w:rsid w:val="00D73F4D"/>
    <w:rsid w:val="00D74877"/>
    <w:rsid w:val="00D76330"/>
    <w:rsid w:val="00D80B25"/>
    <w:rsid w:val="00D82E57"/>
    <w:rsid w:val="00D85AA5"/>
    <w:rsid w:val="00D86912"/>
    <w:rsid w:val="00D91C27"/>
    <w:rsid w:val="00D9405A"/>
    <w:rsid w:val="00D94B60"/>
    <w:rsid w:val="00D96E44"/>
    <w:rsid w:val="00DA2EE5"/>
    <w:rsid w:val="00DA3B93"/>
    <w:rsid w:val="00DA63AA"/>
    <w:rsid w:val="00DB404D"/>
    <w:rsid w:val="00DB6BBA"/>
    <w:rsid w:val="00DC1318"/>
    <w:rsid w:val="00DC2B65"/>
    <w:rsid w:val="00DC4E11"/>
    <w:rsid w:val="00DC50EC"/>
    <w:rsid w:val="00DC5925"/>
    <w:rsid w:val="00DC60FA"/>
    <w:rsid w:val="00DD00DE"/>
    <w:rsid w:val="00DD3FAA"/>
    <w:rsid w:val="00DD5947"/>
    <w:rsid w:val="00DE0788"/>
    <w:rsid w:val="00DE23AF"/>
    <w:rsid w:val="00DF2EE7"/>
    <w:rsid w:val="00DF3B9A"/>
    <w:rsid w:val="00DF5986"/>
    <w:rsid w:val="00DF6E72"/>
    <w:rsid w:val="00DF7C87"/>
    <w:rsid w:val="00DF7DBE"/>
    <w:rsid w:val="00E04D9F"/>
    <w:rsid w:val="00E04E13"/>
    <w:rsid w:val="00E0536A"/>
    <w:rsid w:val="00E07CC9"/>
    <w:rsid w:val="00E1010E"/>
    <w:rsid w:val="00E1690C"/>
    <w:rsid w:val="00E17598"/>
    <w:rsid w:val="00E17F8F"/>
    <w:rsid w:val="00E23326"/>
    <w:rsid w:val="00E27D00"/>
    <w:rsid w:val="00E31468"/>
    <w:rsid w:val="00E32635"/>
    <w:rsid w:val="00E41BDE"/>
    <w:rsid w:val="00E41F54"/>
    <w:rsid w:val="00E42C65"/>
    <w:rsid w:val="00E459DC"/>
    <w:rsid w:val="00E51F3F"/>
    <w:rsid w:val="00E523ED"/>
    <w:rsid w:val="00E55A77"/>
    <w:rsid w:val="00E579B9"/>
    <w:rsid w:val="00E633BE"/>
    <w:rsid w:val="00E64DD5"/>
    <w:rsid w:val="00E64FC1"/>
    <w:rsid w:val="00E80A9C"/>
    <w:rsid w:val="00E81365"/>
    <w:rsid w:val="00E81703"/>
    <w:rsid w:val="00E850F8"/>
    <w:rsid w:val="00E90AED"/>
    <w:rsid w:val="00E91203"/>
    <w:rsid w:val="00E94216"/>
    <w:rsid w:val="00E97B98"/>
    <w:rsid w:val="00EA464C"/>
    <w:rsid w:val="00EA50C9"/>
    <w:rsid w:val="00EA5199"/>
    <w:rsid w:val="00EA7044"/>
    <w:rsid w:val="00EB2CAF"/>
    <w:rsid w:val="00EC1E58"/>
    <w:rsid w:val="00EC505A"/>
    <w:rsid w:val="00ED121E"/>
    <w:rsid w:val="00ED4F76"/>
    <w:rsid w:val="00ED7A05"/>
    <w:rsid w:val="00EE334C"/>
    <w:rsid w:val="00EF1BFB"/>
    <w:rsid w:val="00EF29B1"/>
    <w:rsid w:val="00EF5AE7"/>
    <w:rsid w:val="00EF7D5B"/>
    <w:rsid w:val="00F01F9B"/>
    <w:rsid w:val="00F02153"/>
    <w:rsid w:val="00F04351"/>
    <w:rsid w:val="00F058DF"/>
    <w:rsid w:val="00F05DFB"/>
    <w:rsid w:val="00F063AE"/>
    <w:rsid w:val="00F076E6"/>
    <w:rsid w:val="00F10C56"/>
    <w:rsid w:val="00F15675"/>
    <w:rsid w:val="00F21250"/>
    <w:rsid w:val="00F2398D"/>
    <w:rsid w:val="00F261A9"/>
    <w:rsid w:val="00F26C23"/>
    <w:rsid w:val="00F31B9B"/>
    <w:rsid w:val="00F37D4C"/>
    <w:rsid w:val="00F404E1"/>
    <w:rsid w:val="00F433BB"/>
    <w:rsid w:val="00F50947"/>
    <w:rsid w:val="00F50E69"/>
    <w:rsid w:val="00F57CFD"/>
    <w:rsid w:val="00F62030"/>
    <w:rsid w:val="00F623AB"/>
    <w:rsid w:val="00F634A3"/>
    <w:rsid w:val="00F70716"/>
    <w:rsid w:val="00F710F9"/>
    <w:rsid w:val="00F71ADC"/>
    <w:rsid w:val="00F73108"/>
    <w:rsid w:val="00F7620F"/>
    <w:rsid w:val="00F7658B"/>
    <w:rsid w:val="00F817E5"/>
    <w:rsid w:val="00F827EB"/>
    <w:rsid w:val="00F83D06"/>
    <w:rsid w:val="00F87F40"/>
    <w:rsid w:val="00F916A0"/>
    <w:rsid w:val="00F93EE7"/>
    <w:rsid w:val="00F96FE7"/>
    <w:rsid w:val="00F97977"/>
    <w:rsid w:val="00FA0AE4"/>
    <w:rsid w:val="00FA5F65"/>
    <w:rsid w:val="00FA75A5"/>
    <w:rsid w:val="00FB4DBA"/>
    <w:rsid w:val="00FB6632"/>
    <w:rsid w:val="00FB667E"/>
    <w:rsid w:val="00FC2275"/>
    <w:rsid w:val="00FC5A1B"/>
    <w:rsid w:val="00FC644E"/>
    <w:rsid w:val="00FD1AE9"/>
    <w:rsid w:val="00FD3677"/>
    <w:rsid w:val="00FD5895"/>
    <w:rsid w:val="00FD5D6B"/>
    <w:rsid w:val="00FE1A49"/>
    <w:rsid w:val="00FE3C41"/>
    <w:rsid w:val="00FE4B25"/>
    <w:rsid w:val="00FE552D"/>
    <w:rsid w:val="00FF0A2E"/>
    <w:rsid w:val="00FF1665"/>
    <w:rsid w:val="00FF195C"/>
    <w:rsid w:val="00FF2D35"/>
    <w:rsid w:val="00FF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6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D5611"/>
    <w:rPr>
      <w:rFonts w:ascii="Arial" w:hAnsi="Arial" w:cs="Arial"/>
      <w:b/>
      <w:bCs/>
      <w:iCs/>
      <w:sz w:val="28"/>
      <w:szCs w:val="28"/>
    </w:rPr>
  </w:style>
  <w:style w:type="paragraph" w:styleId="ListParagraph">
    <w:name w:val="List Paragraph"/>
    <w:basedOn w:val="Normal"/>
    <w:uiPriority w:val="34"/>
    <w:unhideWhenUsed/>
    <w:qFormat/>
    <w:rsid w:val="00C876E9"/>
    <w:pPr>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F7C99"/>
    <w:rPr>
      <w:color w:val="605E5C"/>
      <w:shd w:val="clear" w:color="auto" w:fill="E1DFDD"/>
    </w:rPr>
  </w:style>
  <w:style w:type="paragraph" w:styleId="NormalWeb">
    <w:name w:val="Normal (Web)"/>
    <w:basedOn w:val="Normal"/>
    <w:uiPriority w:val="99"/>
    <w:semiHidden/>
    <w:unhideWhenUsed/>
    <w:rsid w:val="00BF7C99"/>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3067383">
      <w:bodyDiv w:val="1"/>
      <w:marLeft w:val="0"/>
      <w:marRight w:val="0"/>
      <w:marTop w:val="0"/>
      <w:marBottom w:val="0"/>
      <w:divBdr>
        <w:top w:val="none" w:sz="0" w:space="0" w:color="auto"/>
        <w:left w:val="none" w:sz="0" w:space="0" w:color="auto"/>
        <w:bottom w:val="none" w:sz="0" w:space="0" w:color="auto"/>
        <w:right w:val="none" w:sz="0" w:space="0" w:color="auto"/>
      </w:divBdr>
    </w:div>
    <w:div w:id="1169446435">
      <w:bodyDiv w:val="1"/>
      <w:marLeft w:val="0"/>
      <w:marRight w:val="0"/>
      <w:marTop w:val="0"/>
      <w:marBottom w:val="0"/>
      <w:divBdr>
        <w:top w:val="none" w:sz="0" w:space="0" w:color="auto"/>
        <w:left w:val="none" w:sz="0" w:space="0" w:color="auto"/>
        <w:bottom w:val="none" w:sz="0" w:space="0" w:color="auto"/>
        <w:right w:val="none" w:sz="0" w:space="0" w:color="auto"/>
      </w:divBdr>
    </w:div>
    <w:div w:id="1209608769">
      <w:bodyDiv w:val="1"/>
      <w:marLeft w:val="0"/>
      <w:marRight w:val="0"/>
      <w:marTop w:val="0"/>
      <w:marBottom w:val="0"/>
      <w:divBdr>
        <w:top w:val="none" w:sz="0" w:space="0" w:color="auto"/>
        <w:left w:val="none" w:sz="0" w:space="0" w:color="auto"/>
        <w:bottom w:val="none" w:sz="0" w:space="0" w:color="auto"/>
        <w:right w:val="none" w:sz="0" w:space="0" w:color="auto"/>
      </w:divBdr>
    </w:div>
    <w:div w:id="1770929550">
      <w:bodyDiv w:val="1"/>
      <w:marLeft w:val="0"/>
      <w:marRight w:val="0"/>
      <w:marTop w:val="0"/>
      <w:marBottom w:val="0"/>
      <w:divBdr>
        <w:top w:val="none" w:sz="0" w:space="0" w:color="auto"/>
        <w:left w:val="none" w:sz="0" w:space="0" w:color="auto"/>
        <w:bottom w:val="none" w:sz="0" w:space="0" w:color="auto"/>
        <w:right w:val="none" w:sz="0" w:space="0" w:color="auto"/>
      </w:divBdr>
    </w:div>
    <w:div w:id="18298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Relationship Id="rId30" Type="http://schemas.openxmlformats.org/officeDocument/2006/relationships/image" Target="media/image22.tiff"/><Relationship Id="rId35" Type="http://schemas.openxmlformats.org/officeDocument/2006/relationships/fontTable" Target="fontTable.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161</Pages>
  <Words>61433</Words>
  <Characters>350169</Characters>
  <Application>Microsoft Office Word</Application>
  <DocSecurity>0</DocSecurity>
  <Lines>2918</Lines>
  <Paragraphs>821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410781</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2021-07-20T17:39:00Z</dcterms:created>
  <dcterms:modified xsi:type="dcterms:W3CDTF">2022-04-20T13:26:00Z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http://www.zotero.org/styles/biological-invasions</vt:lpwstr>
  </property>
  <property fmtid="{D5CDD505-2E9C-101B-9397-08002B2CF9AE}" pid="3" name="Mendeley Recent Style Name 0_1">
    <vt:lpwstr>Biological Invasions</vt:lpwstr>
  </property>
  <property fmtid="{D5CDD505-2E9C-101B-9397-08002B2CF9AE}" pid="4" name="Mendeley Recent Style Id 1_1">
    <vt:lpwstr>http://www.zotero.org/styles/ecography</vt:lpwstr>
  </property>
  <property fmtid="{D5CDD505-2E9C-101B-9397-08002B2CF9AE}" pid="5" name="Mendeley Recent Style Name 1_1">
    <vt:lpwstr>Ecography</vt:lpwstr>
  </property>
  <property fmtid="{D5CDD505-2E9C-101B-9397-08002B2CF9AE}" pid="6" name="Mendeley Recent Style Id 2_1">
    <vt:lpwstr>http://www.zotero.org/styles/ecology</vt:lpwstr>
  </property>
  <property fmtid="{D5CDD505-2E9C-101B-9397-08002B2CF9AE}" pid="7" name="Mendeley Recent Style Name 2_1">
    <vt:lpwstr>Ecology</vt:lpwstr>
  </property>
  <property fmtid="{D5CDD505-2E9C-101B-9397-08002B2CF9AE}" pid="8" name="Mendeley Recent Style Id 3_1">
    <vt:lpwstr>http://www.zotero.org/styles/ecology-letters</vt:lpwstr>
  </property>
  <property fmtid="{D5CDD505-2E9C-101B-9397-08002B2CF9AE}" pid="9" name="Mendeley Recent Style Name 3_1">
    <vt:lpwstr>Ecology Letters</vt:lpwstr>
  </property>
  <property fmtid="{D5CDD505-2E9C-101B-9397-08002B2CF9AE}" pid="10" name="Mendeley Recent Style Id 4_1">
    <vt:lpwstr>http://www.zotero.org/styles/freshwater-science</vt:lpwstr>
  </property>
  <property fmtid="{D5CDD505-2E9C-101B-9397-08002B2CF9AE}" pid="11" name="Mendeley Recent Style Name 4_1">
    <vt:lpwstr>Freshwater Science</vt:lpwstr>
  </property>
  <property fmtid="{D5CDD505-2E9C-101B-9397-08002B2CF9AE}" pid="12" name="Mendeley Recent Style Id 5_1">
    <vt:lpwstr>http://www.zotero.org/styles/frontiers-in-ecology-and-the-environment</vt:lpwstr>
  </property>
  <property fmtid="{D5CDD505-2E9C-101B-9397-08002B2CF9AE}" pid="13" name="Mendeley Recent Style Name 5_1">
    <vt:lpwstr>Frontiers in Ecology and the Environment</vt:lpwstr>
  </property>
  <property fmtid="{D5CDD505-2E9C-101B-9397-08002B2CF9AE}" pid="14" name="Mendeley Recent Style Id 6_1">
    <vt:lpwstr>http://www.zotero.org/styles/global-ecology-and-biogeography</vt:lpwstr>
  </property>
  <property fmtid="{D5CDD505-2E9C-101B-9397-08002B2CF9AE}" pid="15" name="Mendeley Recent Style Name 6_1">
    <vt:lpwstr>Global Ecology and Biogeography</vt:lpwstr>
  </property>
  <property fmtid="{D5CDD505-2E9C-101B-9397-08002B2CF9AE}" pid="16" name="Mendeley Recent Style Id 7_1">
    <vt:lpwstr>http://www.zotero.org/styles/journal-of-animal-ecology</vt:lpwstr>
  </property>
  <property fmtid="{D5CDD505-2E9C-101B-9397-08002B2CF9AE}" pid="17" name="Mendeley Recent Style Name 7_1">
    <vt:lpwstr>Journal of Animal Ecology</vt:lpwstr>
  </property>
  <property fmtid="{D5CDD505-2E9C-101B-9397-08002B2CF9AE}" pid="18" name="Mendeley Recent Style Id 8_1">
    <vt:lpwstr>http://www.zotero.org/styles/journal-of-biogeography</vt:lpwstr>
  </property>
  <property fmtid="{D5CDD505-2E9C-101B-9397-08002B2CF9AE}" pid="19" name="Mendeley Recent Style Name 8_1">
    <vt:lpwstr>Journal of Biogeography</vt:lpwstr>
  </property>
  <property fmtid="{D5CDD505-2E9C-101B-9397-08002B2CF9AE}" pid="20" name="Mendeley Recent Style Id 9_1">
    <vt:lpwstr>http://www.zotero.org/styles/plos-biology</vt:lpwstr>
  </property>
  <property fmtid="{D5CDD505-2E9C-101B-9397-08002B2CF9AE}" pid="21" name="Mendeley Recent Style Name 9_1">
    <vt:lpwstr>PLOS Biology</vt:lpwstr>
  </property>
</Properties>
</file>