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76452" w14:textId="13184889" w:rsidR="00D342E4" w:rsidRPr="00700474" w:rsidRDefault="00D342E4" w:rsidP="003B6E74">
      <w:pPr>
        <w:rPr>
          <w:b/>
          <w:bCs/>
        </w:rPr>
      </w:pPr>
      <w:r w:rsidRPr="00700474">
        <w:rPr>
          <w:b/>
          <w:bCs/>
        </w:rPr>
        <w:t>UNPACKING GHANA’S PUNITIVENESS:</w:t>
      </w:r>
    </w:p>
    <w:p w14:paraId="09DF0CA6" w14:textId="04060AB8" w:rsidR="00D342E4" w:rsidRDefault="00D342E4" w:rsidP="003B6E74">
      <w:pPr>
        <w:rPr>
          <w:b/>
          <w:bCs/>
        </w:rPr>
      </w:pPr>
      <w:r w:rsidRPr="00700474">
        <w:rPr>
          <w:b/>
          <w:bCs/>
        </w:rPr>
        <w:t>A NARRATIVE ANALYSIS</w:t>
      </w:r>
    </w:p>
    <w:p w14:paraId="2E4F8C78" w14:textId="77777777" w:rsidR="00D60FF5" w:rsidRDefault="00D60FF5" w:rsidP="003B6E74">
      <w:pPr>
        <w:rPr>
          <w:b/>
          <w:bCs/>
        </w:rPr>
      </w:pPr>
    </w:p>
    <w:p w14:paraId="0F7B7225" w14:textId="77777777" w:rsidR="00D60FF5" w:rsidRDefault="00D60FF5" w:rsidP="003B6E74">
      <w:pPr>
        <w:rPr>
          <w:b/>
          <w:bCs/>
        </w:rPr>
      </w:pPr>
    </w:p>
    <w:p w14:paraId="7E015DB7" w14:textId="77777777" w:rsidR="00D60FF5" w:rsidRDefault="00D60FF5" w:rsidP="003B6E74">
      <w:pPr>
        <w:rPr>
          <w:b/>
          <w:bCs/>
        </w:rPr>
      </w:pPr>
    </w:p>
    <w:p w14:paraId="49D06C65" w14:textId="77777777" w:rsidR="00D60FF5" w:rsidRDefault="00D60FF5" w:rsidP="003B6E74">
      <w:pPr>
        <w:rPr>
          <w:b/>
          <w:bCs/>
        </w:rPr>
      </w:pPr>
    </w:p>
    <w:p w14:paraId="02FDB7A0" w14:textId="77777777" w:rsidR="00D60FF5" w:rsidRDefault="00D60FF5" w:rsidP="003B6E74">
      <w:pPr>
        <w:rPr>
          <w:b/>
          <w:bCs/>
        </w:rPr>
      </w:pPr>
    </w:p>
    <w:p w14:paraId="1DCD3298" w14:textId="77777777" w:rsidR="00D60FF5" w:rsidRPr="00700474" w:rsidRDefault="00D60FF5" w:rsidP="003B6E74">
      <w:pPr>
        <w:rPr>
          <w:b/>
          <w:bCs/>
        </w:rPr>
      </w:pPr>
    </w:p>
    <w:p w14:paraId="0BA0B7BE" w14:textId="1FB06A87" w:rsidR="00D342E4" w:rsidRPr="00700474" w:rsidRDefault="00D342E4" w:rsidP="003B6E74">
      <w:r w:rsidRPr="00700474">
        <w:t>A Dissertation Presented for the</w:t>
      </w:r>
    </w:p>
    <w:p w14:paraId="2FB5AC12" w14:textId="25A36FD6" w:rsidR="00D342E4" w:rsidRPr="00700474" w:rsidRDefault="00D342E4" w:rsidP="003B6E74">
      <w:r w:rsidRPr="00700474">
        <w:t>Doctor of Philosophy</w:t>
      </w:r>
    </w:p>
    <w:p w14:paraId="2765CBB5" w14:textId="3CB84399" w:rsidR="00D342E4" w:rsidRPr="00700474" w:rsidRDefault="00D342E4" w:rsidP="003B6E74">
      <w:r w:rsidRPr="00700474">
        <w:t>Degree</w:t>
      </w:r>
    </w:p>
    <w:p w14:paraId="4B1D475E" w14:textId="659FC0E7" w:rsidR="00D342E4" w:rsidRPr="00700474" w:rsidRDefault="00D342E4" w:rsidP="003B6E74">
      <w:r w:rsidRPr="00700474">
        <w:t>The University of Tennessee, Knoxville</w:t>
      </w:r>
    </w:p>
    <w:p w14:paraId="6DF64948" w14:textId="77777777" w:rsidR="00D60FF5" w:rsidRDefault="00D60FF5" w:rsidP="003B6E74"/>
    <w:p w14:paraId="18F17159" w14:textId="77777777" w:rsidR="00D60FF5" w:rsidRDefault="00D60FF5" w:rsidP="003B6E74"/>
    <w:p w14:paraId="7831DB22" w14:textId="77777777" w:rsidR="00D60FF5" w:rsidRDefault="00D60FF5" w:rsidP="003B6E74"/>
    <w:p w14:paraId="30DCC989" w14:textId="77777777" w:rsidR="00D60FF5" w:rsidRDefault="00D60FF5" w:rsidP="003B6E74"/>
    <w:p w14:paraId="3B9ACC30" w14:textId="77777777" w:rsidR="00D60FF5" w:rsidRDefault="00D60FF5" w:rsidP="003B6E74"/>
    <w:p w14:paraId="30BAE7E9" w14:textId="77777777" w:rsidR="00D60FF5" w:rsidRDefault="00D60FF5" w:rsidP="003B6E74"/>
    <w:p w14:paraId="296EEA25" w14:textId="77777777" w:rsidR="00D60FF5" w:rsidRDefault="00D60FF5" w:rsidP="003B6E74"/>
    <w:p w14:paraId="2A7CBF46" w14:textId="77777777" w:rsidR="00D60FF5" w:rsidRDefault="00D60FF5" w:rsidP="003B6E74"/>
    <w:p w14:paraId="35C817AA" w14:textId="1F19591F" w:rsidR="00D342E4" w:rsidRPr="00700474" w:rsidRDefault="00D342E4" w:rsidP="003B6E74">
      <w:r w:rsidRPr="00700474">
        <w:t>Stella Korleki Ashong</w:t>
      </w:r>
    </w:p>
    <w:p w14:paraId="42F43288" w14:textId="473B03C5" w:rsidR="003B6E74" w:rsidRPr="00700474" w:rsidRDefault="003B6E74" w:rsidP="003B6E74">
      <w:r w:rsidRPr="00700474">
        <w:t>August</w:t>
      </w:r>
      <w:r w:rsidR="00D342E4" w:rsidRPr="00700474">
        <w:t xml:space="preserve"> 2025</w:t>
      </w:r>
    </w:p>
    <w:p w14:paraId="29E03952" w14:textId="7EB44A9F" w:rsidR="003B6E74" w:rsidRPr="00700474" w:rsidRDefault="003B6E74" w:rsidP="003B6E74">
      <w:pPr>
        <w:spacing w:after="160" w:line="259" w:lineRule="auto"/>
        <w:jc w:val="left"/>
      </w:pPr>
      <w:r w:rsidRPr="00700474">
        <w:br w:type="page"/>
      </w:r>
    </w:p>
    <w:p w14:paraId="5CA8A304" w14:textId="1772CAF1" w:rsidR="00540D4A" w:rsidRPr="00700474" w:rsidRDefault="00825D8A" w:rsidP="00AD7A71">
      <w:pPr>
        <w:rPr>
          <w:b/>
          <w:bCs/>
        </w:rPr>
      </w:pPr>
      <w:r w:rsidRPr="00700474">
        <w:rPr>
          <w:b/>
          <w:bCs/>
        </w:rPr>
        <w:lastRenderedPageBreak/>
        <w:t>DEDICATION</w:t>
      </w:r>
    </w:p>
    <w:p w14:paraId="2E67A4F9" w14:textId="14E79FFB" w:rsidR="00A15C8F" w:rsidRPr="00700474" w:rsidRDefault="00700474" w:rsidP="00700474">
      <w:pPr>
        <w:jc w:val="left"/>
        <w:rPr>
          <w:b/>
          <w:bCs/>
        </w:rPr>
      </w:pPr>
      <w:r w:rsidRPr="00700474">
        <w:t>With profound gratitude to God, I dedicate this work to the memory of my late parents, Mr. Daniel and Mrs. Mercy Apenkro, for their commitment to my education. Their sacrifices ensured that I received a strong foundation through elementary, high school, and undergraduate education, paving the way for me to achieve this milestone of earning a PhD. I also dedicate this work to all those who strive for knowledge and justice in the face of adversity.</w:t>
      </w:r>
    </w:p>
    <w:p w14:paraId="3AC56087" w14:textId="77777777" w:rsidR="00A15C8F" w:rsidRPr="00700474" w:rsidRDefault="00A15C8F" w:rsidP="00A15C8F">
      <w:pPr>
        <w:rPr>
          <w:b/>
          <w:bCs/>
        </w:rPr>
      </w:pPr>
    </w:p>
    <w:p w14:paraId="5B9618B0" w14:textId="77777777" w:rsidR="00A15C8F" w:rsidRPr="00700474" w:rsidRDefault="00A15C8F" w:rsidP="00A15C8F">
      <w:pPr>
        <w:rPr>
          <w:b/>
          <w:bCs/>
        </w:rPr>
      </w:pPr>
    </w:p>
    <w:p w14:paraId="6BD8AC4F" w14:textId="77777777" w:rsidR="00A15C8F" w:rsidRPr="00700474" w:rsidRDefault="00A15C8F" w:rsidP="00A15C8F">
      <w:pPr>
        <w:rPr>
          <w:b/>
          <w:bCs/>
        </w:rPr>
      </w:pPr>
    </w:p>
    <w:p w14:paraId="1606B3DD" w14:textId="77777777" w:rsidR="00A15C8F" w:rsidRPr="00700474" w:rsidRDefault="00A15C8F" w:rsidP="00A15C8F">
      <w:pPr>
        <w:rPr>
          <w:b/>
          <w:bCs/>
        </w:rPr>
      </w:pPr>
    </w:p>
    <w:p w14:paraId="152FA0A2" w14:textId="77777777" w:rsidR="00A15C8F" w:rsidRPr="00700474" w:rsidRDefault="00A15C8F" w:rsidP="00A15C8F">
      <w:pPr>
        <w:rPr>
          <w:b/>
          <w:bCs/>
        </w:rPr>
      </w:pPr>
    </w:p>
    <w:p w14:paraId="1F42E489" w14:textId="77777777" w:rsidR="00A15C8F" w:rsidRPr="00700474" w:rsidRDefault="00A15C8F" w:rsidP="00A15C8F">
      <w:pPr>
        <w:rPr>
          <w:b/>
          <w:bCs/>
        </w:rPr>
      </w:pPr>
    </w:p>
    <w:p w14:paraId="721C4F04" w14:textId="77777777" w:rsidR="00A15C8F" w:rsidRPr="00700474" w:rsidRDefault="00A15C8F" w:rsidP="00A15C8F">
      <w:pPr>
        <w:rPr>
          <w:b/>
          <w:bCs/>
        </w:rPr>
      </w:pPr>
    </w:p>
    <w:p w14:paraId="63371C54" w14:textId="77777777" w:rsidR="00A15C8F" w:rsidRPr="00700474" w:rsidRDefault="00A15C8F" w:rsidP="00A15C8F">
      <w:pPr>
        <w:rPr>
          <w:b/>
          <w:bCs/>
        </w:rPr>
      </w:pPr>
    </w:p>
    <w:p w14:paraId="368CA257" w14:textId="77777777" w:rsidR="00A15C8F" w:rsidRPr="00700474" w:rsidRDefault="00A15C8F" w:rsidP="00A15C8F">
      <w:pPr>
        <w:rPr>
          <w:b/>
          <w:bCs/>
        </w:rPr>
      </w:pPr>
    </w:p>
    <w:p w14:paraId="4FC40107" w14:textId="77777777" w:rsidR="00A15C8F" w:rsidRPr="00700474" w:rsidRDefault="00A15C8F" w:rsidP="00A15C8F">
      <w:pPr>
        <w:rPr>
          <w:b/>
          <w:bCs/>
        </w:rPr>
      </w:pPr>
    </w:p>
    <w:p w14:paraId="6EB9F061" w14:textId="77777777" w:rsidR="00584F63" w:rsidRPr="00700474" w:rsidRDefault="00584F63" w:rsidP="00D10938">
      <w:pPr>
        <w:jc w:val="both"/>
        <w:rPr>
          <w:b/>
          <w:bCs/>
        </w:rPr>
      </w:pPr>
    </w:p>
    <w:p w14:paraId="2A8BD977" w14:textId="77777777" w:rsidR="009A6BF7" w:rsidRDefault="009A6BF7" w:rsidP="003B6E74">
      <w:pPr>
        <w:rPr>
          <w:b/>
          <w:bCs/>
        </w:rPr>
      </w:pPr>
    </w:p>
    <w:p w14:paraId="0F7F6BBE" w14:textId="77777777" w:rsidR="009A6BF7" w:rsidRDefault="009A6BF7" w:rsidP="003B6E74">
      <w:pPr>
        <w:rPr>
          <w:b/>
          <w:bCs/>
        </w:rPr>
      </w:pPr>
    </w:p>
    <w:p w14:paraId="28DA9156" w14:textId="77777777" w:rsidR="009A6BF7" w:rsidRDefault="009A6BF7" w:rsidP="003B6E74">
      <w:pPr>
        <w:rPr>
          <w:b/>
          <w:bCs/>
        </w:rPr>
      </w:pPr>
    </w:p>
    <w:p w14:paraId="6237FACB" w14:textId="77777777" w:rsidR="009A6BF7" w:rsidRDefault="009A6BF7" w:rsidP="003B6E74">
      <w:pPr>
        <w:rPr>
          <w:b/>
          <w:bCs/>
        </w:rPr>
      </w:pPr>
    </w:p>
    <w:p w14:paraId="6247917E" w14:textId="77777777" w:rsidR="009A6BF7" w:rsidRDefault="009A6BF7" w:rsidP="003B6E74">
      <w:pPr>
        <w:rPr>
          <w:b/>
          <w:bCs/>
        </w:rPr>
      </w:pPr>
    </w:p>
    <w:p w14:paraId="5D03E5AD" w14:textId="77777777" w:rsidR="009A6BF7" w:rsidRDefault="009A6BF7" w:rsidP="003B6E74">
      <w:pPr>
        <w:rPr>
          <w:b/>
          <w:bCs/>
        </w:rPr>
      </w:pPr>
    </w:p>
    <w:p w14:paraId="0823E50D" w14:textId="0EC29F13" w:rsidR="00333DB7" w:rsidRDefault="00A15C8F" w:rsidP="00333DB7">
      <w:pPr>
        <w:rPr>
          <w:b/>
          <w:bCs/>
        </w:rPr>
      </w:pPr>
      <w:r w:rsidRPr="00700474">
        <w:rPr>
          <w:b/>
          <w:bCs/>
        </w:rPr>
        <w:lastRenderedPageBreak/>
        <w:t>ACKNOWLEDGEMENT</w:t>
      </w:r>
      <w:r w:rsidR="00D60FF5">
        <w:rPr>
          <w:b/>
          <w:bCs/>
        </w:rPr>
        <w:t>S</w:t>
      </w:r>
    </w:p>
    <w:p w14:paraId="7035DBE1" w14:textId="63C498B9" w:rsidR="00D10938" w:rsidRPr="00333DB7" w:rsidRDefault="00333DB7" w:rsidP="00333DB7">
      <w:pPr>
        <w:jc w:val="left"/>
        <w:rPr>
          <w:b/>
          <w:bCs/>
        </w:rPr>
      </w:pPr>
      <w:r w:rsidRPr="00333DB7">
        <w:t>I extend my heartfelt gratitude to the Almighty God, whose blessings and guidance have been my constant source of strength throughout this study. My deepest appreciation goes to my supervisor, Dr. Lois Presser, for her unwavering support, insightful guidance, and patience throughout the completion of this research. I am equally grateful to my committee members, Dr. Asafa Jalata, Dr. Joseph Appiahene-Gyamfi, and Dr. Bill McClanahan, for their invaluable feedback and dedication to reviewing my work. A special acknowledgment is due to Dr. Wanda Rushing and the W.K. McClure Scholarship Program for their generous financial support, which covered all costs associated with this research. I would also like to express my deep gratitude to my siblings—Stephen, Samuel, and Sophia—and Mrs. Gladys Baddoo for their unwavering support. I am profoundly thankful to Mr. and Mrs. Chris and Agnes Ashong for their consistent check-in and encouragement, which has propelled me this far.</w:t>
      </w:r>
      <w:r>
        <w:t xml:space="preserve"> </w:t>
      </w:r>
      <w:r w:rsidRPr="00333DB7">
        <w:t>Additionally, I extend my heartfelt thanks to Rev’d Fr. Aaron Wright, Rector at Old North Abbey Anglican Church and Dean of the Knoxville Deanery, for his support throughout my four years in Knoxville during my PhD program. I am equally grateful to the Old North Abbey Anglican community for their prayers and encouragement, which have been a source of strength and inspiration during this journey. Finally, I wish to express my sincere gratitude to my husband, Rev’d Fr. Chris Nii Noi Ashong, for his steadfast support and unwavering belief in me throughout my PhD studies. His enduring presence has been a cornerstone of my success on this journey. To our sons—Adrian Marcellus Nii Nortey Ashong, Aiden Melvis Nii Nortei Ashong, and Adriel Myles Nii Narh Ashong—your birth and presence during my PhD program have instilled in me the virtues of resilience, time management, determination, and discipline.</w:t>
      </w:r>
    </w:p>
    <w:p w14:paraId="08A5E940" w14:textId="77777777" w:rsidR="00E1046B" w:rsidRPr="00700474" w:rsidRDefault="00E1046B" w:rsidP="00333DB7">
      <w:pPr>
        <w:spacing w:after="160" w:line="259" w:lineRule="auto"/>
        <w:jc w:val="left"/>
        <w:rPr>
          <w:rFonts w:eastAsia="Times New Roman"/>
          <w:b/>
          <w:bCs/>
          <w:kern w:val="0"/>
          <w14:ligatures w14:val="none"/>
        </w:rPr>
      </w:pPr>
      <w:r w:rsidRPr="00700474">
        <w:rPr>
          <w:b/>
          <w:bCs/>
        </w:rPr>
        <w:br w:type="page"/>
      </w:r>
    </w:p>
    <w:p w14:paraId="2DDE14C0" w14:textId="77777777" w:rsidR="005D7B75" w:rsidRDefault="00983CF7" w:rsidP="00D60FF5">
      <w:pPr>
        <w:pStyle w:val="NormalWeb"/>
        <w:spacing w:before="0" w:beforeAutospacing="0" w:after="0" w:afterAutospacing="0"/>
        <w:rPr>
          <w:b/>
          <w:bCs/>
        </w:rPr>
      </w:pPr>
      <w:r w:rsidRPr="00700474">
        <w:rPr>
          <w:b/>
          <w:bCs/>
        </w:rPr>
        <w:lastRenderedPageBreak/>
        <w:t>ABSTRACT</w:t>
      </w:r>
    </w:p>
    <w:p w14:paraId="7A0B7CE0" w14:textId="2F2EB4E2" w:rsidR="008D79A8" w:rsidRPr="00700474" w:rsidRDefault="00983CF7" w:rsidP="00D60FF5">
      <w:pPr>
        <w:pStyle w:val="NormalWeb"/>
        <w:spacing w:before="0" w:beforeAutospacing="0" w:after="0" w:afterAutospacing="0"/>
        <w:jc w:val="left"/>
        <w:rPr>
          <w:b/>
          <w:bCs/>
        </w:rPr>
      </w:pPr>
      <w:r w:rsidRPr="00700474">
        <w:t xml:space="preserve">This research delves into Ghanaians' attitudes toward sanctions, using qualitative methods to uncover perspectives deeply influenced by cultural, religious, and ethical frameworks. One hundred participants, aged 18 and above, were individually interviewed using open-ended questions and prompts to elicit narratives about their experiences with formal, informal, and extra-judicial sanctions. The findings reveal that sanctions are not just a matter of discipline, law, and order, but they also hold a significant cultural, religious, and ethical value. They also shed light on the significant reservations regarding their implementation, thereby providing a deeper understanding of this complex issue. Key conclusions include: </w:t>
      </w:r>
      <w:r w:rsidR="008D79A8" w:rsidRPr="00700474">
        <w:t xml:space="preserve">(1)Attitudes toward sanctions are shaped by narratives and past experiences; (2) Attitudes toward sanctions are shaped by intentions and expected outcomes; (3) Mob justice is illegal but justified; (4) Mob justice is a by-product of colonialism; (5) Attitudes toward corporal </w:t>
      </w:r>
      <w:r w:rsidR="00022967" w:rsidRPr="00700474">
        <w:t>punishment</w:t>
      </w:r>
      <w:r w:rsidR="008D79A8" w:rsidRPr="00700474">
        <w:t xml:space="preserve"> of children are shaped by culture; (6) Attitudes toward corporal </w:t>
      </w:r>
      <w:r w:rsidR="00022967" w:rsidRPr="00700474">
        <w:t>punishment</w:t>
      </w:r>
      <w:r w:rsidR="008D79A8" w:rsidRPr="00700474">
        <w:t xml:space="preserve"> of children are shaped by ethical dualism; (7) Attitudes toward sanctions are shaped by narratives and past experiences; and (8) Attitudes toward sanctions are shaped by intentions and expected outcomes.</w:t>
      </w:r>
    </w:p>
    <w:p w14:paraId="128E3BF6" w14:textId="25C296B0" w:rsidR="008D79A8" w:rsidRPr="00700474" w:rsidRDefault="008D79A8" w:rsidP="005D7B75">
      <w:pPr>
        <w:spacing w:after="160" w:line="240" w:lineRule="auto"/>
        <w:jc w:val="left"/>
      </w:pPr>
    </w:p>
    <w:p w14:paraId="6D9B0F1E" w14:textId="3E497954" w:rsidR="008D79A8" w:rsidRPr="00700474" w:rsidRDefault="008D79A8" w:rsidP="005D7B75">
      <w:pPr>
        <w:spacing w:after="160"/>
        <w:jc w:val="left"/>
      </w:pPr>
    </w:p>
    <w:p w14:paraId="5920E4BC" w14:textId="709FE536" w:rsidR="008D79A8" w:rsidRPr="00700474" w:rsidRDefault="008D79A8" w:rsidP="005D7B75">
      <w:pPr>
        <w:spacing w:after="160"/>
        <w:ind w:left="720"/>
        <w:jc w:val="left"/>
      </w:pPr>
    </w:p>
    <w:p w14:paraId="34AF79DB" w14:textId="311DA4CB" w:rsidR="00983CF7" w:rsidRDefault="00983CF7" w:rsidP="005D7B75">
      <w:pPr>
        <w:pStyle w:val="NormalWeb"/>
        <w:jc w:val="left"/>
      </w:pPr>
    </w:p>
    <w:p w14:paraId="21E6E21B" w14:textId="77777777" w:rsidR="00D60FF5" w:rsidRPr="00700474" w:rsidRDefault="00D60FF5" w:rsidP="005D7B75">
      <w:pPr>
        <w:pStyle w:val="NormalWeb"/>
        <w:jc w:val="left"/>
      </w:pPr>
    </w:p>
    <w:p w14:paraId="6A9871EE" w14:textId="65D3B550" w:rsidR="00E778C8" w:rsidRPr="00700474" w:rsidRDefault="00E778C8">
      <w:pPr>
        <w:spacing w:after="160" w:line="259" w:lineRule="auto"/>
        <w:jc w:val="left"/>
      </w:pPr>
    </w:p>
    <w:sdt>
      <w:sdtPr>
        <w:rPr>
          <w:rFonts w:ascii="Times New Roman" w:eastAsiaTheme="minorHAnsi" w:hAnsi="Times New Roman" w:cs="Times New Roman"/>
          <w:color w:val="000000" w:themeColor="text1"/>
          <w:kern w:val="2"/>
          <w:sz w:val="24"/>
          <w:szCs w:val="24"/>
          <w14:ligatures w14:val="standardContextual"/>
        </w:rPr>
        <w:id w:val="152729822"/>
        <w:docPartObj>
          <w:docPartGallery w:val="Table of Contents"/>
          <w:docPartUnique/>
        </w:docPartObj>
      </w:sdtPr>
      <w:sdtEndPr>
        <w:rPr>
          <w:b/>
          <w:bCs/>
          <w:noProof/>
        </w:rPr>
      </w:sdtEndPr>
      <w:sdtContent>
        <w:p w14:paraId="6043E5B1" w14:textId="1CAAFC8F" w:rsidR="00E778C8" w:rsidRPr="00700474" w:rsidRDefault="00E778C8" w:rsidP="00D60FF5">
          <w:pPr>
            <w:pStyle w:val="TOCHeading"/>
            <w:spacing w:before="0" w:line="480" w:lineRule="auto"/>
            <w:jc w:val="center"/>
            <w:rPr>
              <w:rFonts w:ascii="Times New Roman" w:hAnsi="Times New Roman" w:cs="Times New Roman"/>
              <w:b/>
              <w:bCs/>
              <w:color w:val="000000" w:themeColor="text1"/>
              <w:sz w:val="24"/>
              <w:szCs w:val="24"/>
            </w:rPr>
          </w:pPr>
          <w:r w:rsidRPr="00700474">
            <w:rPr>
              <w:rFonts w:ascii="Times New Roman" w:hAnsi="Times New Roman" w:cs="Times New Roman"/>
              <w:b/>
              <w:bCs/>
              <w:color w:val="000000" w:themeColor="text1"/>
              <w:sz w:val="24"/>
              <w:szCs w:val="24"/>
            </w:rPr>
            <w:t>TABLE OF CONTENTS</w:t>
          </w:r>
        </w:p>
        <w:p w14:paraId="31A4B626" w14:textId="412D9B03" w:rsidR="000A53DE" w:rsidRDefault="00E778C8">
          <w:pPr>
            <w:pStyle w:val="TOC1"/>
            <w:tabs>
              <w:tab w:val="right" w:leader="dot" w:pos="9350"/>
            </w:tabs>
            <w:rPr>
              <w:rFonts w:asciiTheme="minorHAnsi" w:eastAsiaTheme="minorEastAsia" w:hAnsiTheme="minorHAnsi" w:cstheme="minorBidi"/>
              <w:noProof/>
              <w:color w:val="auto"/>
            </w:rPr>
          </w:pPr>
          <w:r w:rsidRPr="00700474">
            <w:fldChar w:fldCharType="begin"/>
          </w:r>
          <w:r w:rsidRPr="00700474">
            <w:instrText xml:space="preserve"> TOC \o "1-3" \h \z \u </w:instrText>
          </w:r>
          <w:r w:rsidRPr="00700474">
            <w:fldChar w:fldCharType="separate"/>
          </w:r>
          <w:hyperlink w:anchor="_Toc204092872" w:history="1">
            <w:r w:rsidR="000A53DE" w:rsidRPr="009D744D">
              <w:rPr>
                <w:rStyle w:val="Hyperlink"/>
                <w:b/>
                <w:bCs/>
                <w:noProof/>
              </w:rPr>
              <w:t>CHAPTER TWO</w:t>
            </w:r>
            <w:r w:rsidR="000A53DE">
              <w:rPr>
                <w:noProof/>
                <w:webHidden/>
              </w:rPr>
              <w:tab/>
            </w:r>
            <w:r w:rsidR="000A53DE">
              <w:rPr>
                <w:noProof/>
                <w:webHidden/>
              </w:rPr>
              <w:fldChar w:fldCharType="begin"/>
            </w:r>
            <w:r w:rsidR="000A53DE">
              <w:rPr>
                <w:noProof/>
                <w:webHidden/>
              </w:rPr>
              <w:instrText xml:space="preserve"> PAGEREF _Toc204092872 \h </w:instrText>
            </w:r>
            <w:r w:rsidR="000A53DE">
              <w:rPr>
                <w:noProof/>
                <w:webHidden/>
              </w:rPr>
            </w:r>
            <w:r w:rsidR="000A53DE">
              <w:rPr>
                <w:noProof/>
                <w:webHidden/>
              </w:rPr>
              <w:fldChar w:fldCharType="separate"/>
            </w:r>
            <w:r w:rsidR="000A53DE">
              <w:rPr>
                <w:noProof/>
                <w:webHidden/>
              </w:rPr>
              <w:t>13</w:t>
            </w:r>
            <w:r w:rsidR="000A53DE">
              <w:rPr>
                <w:noProof/>
                <w:webHidden/>
              </w:rPr>
              <w:fldChar w:fldCharType="end"/>
            </w:r>
          </w:hyperlink>
        </w:p>
        <w:p w14:paraId="16EC94BE" w14:textId="6659C1D2" w:rsidR="000A53DE" w:rsidRDefault="000A53DE">
          <w:pPr>
            <w:pStyle w:val="TOC1"/>
            <w:tabs>
              <w:tab w:val="right" w:leader="dot" w:pos="9350"/>
            </w:tabs>
            <w:rPr>
              <w:rFonts w:asciiTheme="minorHAnsi" w:eastAsiaTheme="minorEastAsia" w:hAnsiTheme="minorHAnsi" w:cstheme="minorBidi"/>
              <w:noProof/>
              <w:color w:val="auto"/>
            </w:rPr>
          </w:pPr>
          <w:hyperlink w:anchor="_Toc204092873" w:history="1">
            <w:r w:rsidRPr="009D744D">
              <w:rPr>
                <w:rStyle w:val="Hyperlink"/>
                <w:b/>
                <w:bCs/>
                <w:noProof/>
              </w:rPr>
              <w:t>SANCTIONS IN GHANA, THEORY AND KNOWLEDGE OF ATTITUDES AROUND PUNISHMENT</w:t>
            </w:r>
            <w:r>
              <w:rPr>
                <w:noProof/>
                <w:webHidden/>
              </w:rPr>
              <w:tab/>
            </w:r>
            <w:r>
              <w:rPr>
                <w:noProof/>
                <w:webHidden/>
              </w:rPr>
              <w:fldChar w:fldCharType="begin"/>
            </w:r>
            <w:r>
              <w:rPr>
                <w:noProof/>
                <w:webHidden/>
              </w:rPr>
              <w:instrText xml:space="preserve"> PAGEREF _Toc204092873 \h </w:instrText>
            </w:r>
            <w:r>
              <w:rPr>
                <w:noProof/>
                <w:webHidden/>
              </w:rPr>
            </w:r>
            <w:r>
              <w:rPr>
                <w:noProof/>
                <w:webHidden/>
              </w:rPr>
              <w:fldChar w:fldCharType="separate"/>
            </w:r>
            <w:r>
              <w:rPr>
                <w:noProof/>
                <w:webHidden/>
              </w:rPr>
              <w:t>13</w:t>
            </w:r>
            <w:r>
              <w:rPr>
                <w:noProof/>
                <w:webHidden/>
              </w:rPr>
              <w:fldChar w:fldCharType="end"/>
            </w:r>
          </w:hyperlink>
        </w:p>
        <w:p w14:paraId="0D12F4B3" w14:textId="2EC2C5D9" w:rsidR="000A53DE" w:rsidRDefault="000A53DE">
          <w:pPr>
            <w:pStyle w:val="TOC1"/>
            <w:tabs>
              <w:tab w:val="right" w:leader="dot" w:pos="9350"/>
            </w:tabs>
            <w:rPr>
              <w:rFonts w:asciiTheme="minorHAnsi" w:eastAsiaTheme="minorEastAsia" w:hAnsiTheme="minorHAnsi" w:cstheme="minorBidi"/>
              <w:noProof/>
              <w:color w:val="auto"/>
            </w:rPr>
          </w:pPr>
          <w:hyperlink w:anchor="_Toc204092874" w:history="1">
            <w:r w:rsidRPr="009D744D">
              <w:rPr>
                <w:rStyle w:val="Hyperlink"/>
                <w:b/>
                <w:bCs/>
                <w:noProof/>
              </w:rPr>
              <w:t>CHAPTER FIVE</w:t>
            </w:r>
            <w:r>
              <w:rPr>
                <w:noProof/>
                <w:webHidden/>
              </w:rPr>
              <w:tab/>
            </w:r>
            <w:r>
              <w:rPr>
                <w:noProof/>
                <w:webHidden/>
              </w:rPr>
              <w:fldChar w:fldCharType="begin"/>
            </w:r>
            <w:r>
              <w:rPr>
                <w:noProof/>
                <w:webHidden/>
              </w:rPr>
              <w:instrText xml:space="preserve"> PAGEREF _Toc204092874 \h </w:instrText>
            </w:r>
            <w:r>
              <w:rPr>
                <w:noProof/>
                <w:webHidden/>
              </w:rPr>
            </w:r>
            <w:r>
              <w:rPr>
                <w:noProof/>
                <w:webHidden/>
              </w:rPr>
              <w:fldChar w:fldCharType="separate"/>
            </w:r>
            <w:r>
              <w:rPr>
                <w:noProof/>
                <w:webHidden/>
              </w:rPr>
              <w:t>89</w:t>
            </w:r>
            <w:r>
              <w:rPr>
                <w:noProof/>
                <w:webHidden/>
              </w:rPr>
              <w:fldChar w:fldCharType="end"/>
            </w:r>
          </w:hyperlink>
        </w:p>
        <w:p w14:paraId="2B4228EE" w14:textId="3415E99B" w:rsidR="000A53DE" w:rsidRDefault="000A53DE">
          <w:pPr>
            <w:pStyle w:val="TOC1"/>
            <w:tabs>
              <w:tab w:val="right" w:leader="dot" w:pos="9350"/>
            </w:tabs>
            <w:rPr>
              <w:rFonts w:asciiTheme="minorHAnsi" w:eastAsiaTheme="minorEastAsia" w:hAnsiTheme="minorHAnsi" w:cstheme="minorBidi"/>
              <w:noProof/>
              <w:color w:val="auto"/>
            </w:rPr>
          </w:pPr>
          <w:hyperlink w:anchor="_Toc204092875" w:history="1">
            <w:r w:rsidRPr="009D744D">
              <w:rPr>
                <w:rStyle w:val="Hyperlink"/>
                <w:b/>
                <w:bCs/>
                <w:noProof/>
              </w:rPr>
              <w:t>FINDINGS: INFORMAL SANCTIONS</w:t>
            </w:r>
            <w:r>
              <w:rPr>
                <w:noProof/>
                <w:webHidden/>
              </w:rPr>
              <w:tab/>
            </w:r>
            <w:r>
              <w:rPr>
                <w:noProof/>
                <w:webHidden/>
              </w:rPr>
              <w:fldChar w:fldCharType="begin"/>
            </w:r>
            <w:r>
              <w:rPr>
                <w:noProof/>
                <w:webHidden/>
              </w:rPr>
              <w:instrText xml:space="preserve"> PAGEREF _Toc204092875 \h </w:instrText>
            </w:r>
            <w:r>
              <w:rPr>
                <w:noProof/>
                <w:webHidden/>
              </w:rPr>
            </w:r>
            <w:r>
              <w:rPr>
                <w:noProof/>
                <w:webHidden/>
              </w:rPr>
              <w:fldChar w:fldCharType="separate"/>
            </w:r>
            <w:r>
              <w:rPr>
                <w:noProof/>
                <w:webHidden/>
              </w:rPr>
              <w:t>89</w:t>
            </w:r>
            <w:r>
              <w:rPr>
                <w:noProof/>
                <w:webHidden/>
              </w:rPr>
              <w:fldChar w:fldCharType="end"/>
            </w:r>
          </w:hyperlink>
        </w:p>
        <w:p w14:paraId="24290B41" w14:textId="39A417E5" w:rsidR="000A53DE" w:rsidRDefault="000A53DE">
          <w:pPr>
            <w:pStyle w:val="TOC1"/>
            <w:tabs>
              <w:tab w:val="right" w:leader="dot" w:pos="9350"/>
            </w:tabs>
            <w:rPr>
              <w:rFonts w:asciiTheme="minorHAnsi" w:eastAsiaTheme="minorEastAsia" w:hAnsiTheme="minorHAnsi" w:cstheme="minorBidi"/>
              <w:noProof/>
              <w:color w:val="auto"/>
            </w:rPr>
          </w:pPr>
          <w:hyperlink w:anchor="_Toc204092876" w:history="1">
            <w:r w:rsidRPr="009D744D">
              <w:rPr>
                <w:rStyle w:val="Hyperlink"/>
                <w:b/>
                <w:bCs/>
                <w:noProof/>
              </w:rPr>
              <w:t>CHAPTER SIX</w:t>
            </w:r>
            <w:r>
              <w:rPr>
                <w:noProof/>
                <w:webHidden/>
              </w:rPr>
              <w:tab/>
            </w:r>
            <w:r>
              <w:rPr>
                <w:noProof/>
                <w:webHidden/>
              </w:rPr>
              <w:fldChar w:fldCharType="begin"/>
            </w:r>
            <w:r>
              <w:rPr>
                <w:noProof/>
                <w:webHidden/>
              </w:rPr>
              <w:instrText xml:space="preserve"> PAGEREF _Toc204092876 \h </w:instrText>
            </w:r>
            <w:r>
              <w:rPr>
                <w:noProof/>
                <w:webHidden/>
              </w:rPr>
            </w:r>
            <w:r>
              <w:rPr>
                <w:noProof/>
                <w:webHidden/>
              </w:rPr>
              <w:fldChar w:fldCharType="separate"/>
            </w:r>
            <w:r>
              <w:rPr>
                <w:noProof/>
                <w:webHidden/>
              </w:rPr>
              <w:t>104</w:t>
            </w:r>
            <w:r>
              <w:rPr>
                <w:noProof/>
                <w:webHidden/>
              </w:rPr>
              <w:fldChar w:fldCharType="end"/>
            </w:r>
          </w:hyperlink>
        </w:p>
        <w:p w14:paraId="55A17974" w14:textId="0AE25867" w:rsidR="000A53DE" w:rsidRDefault="000A53DE">
          <w:pPr>
            <w:pStyle w:val="TOC1"/>
            <w:tabs>
              <w:tab w:val="right" w:leader="dot" w:pos="9350"/>
            </w:tabs>
            <w:rPr>
              <w:rFonts w:asciiTheme="minorHAnsi" w:eastAsiaTheme="minorEastAsia" w:hAnsiTheme="minorHAnsi" w:cstheme="minorBidi"/>
              <w:noProof/>
              <w:color w:val="auto"/>
            </w:rPr>
          </w:pPr>
          <w:hyperlink w:anchor="_Toc204092877" w:history="1">
            <w:r w:rsidRPr="009D744D">
              <w:rPr>
                <w:rStyle w:val="Hyperlink"/>
                <w:b/>
                <w:bCs/>
                <w:noProof/>
              </w:rPr>
              <w:t>FINDINGS:</w:t>
            </w:r>
            <w:r w:rsidRPr="009D744D">
              <w:rPr>
                <w:rStyle w:val="Hyperlink"/>
                <w:b/>
                <w:bCs/>
                <w:noProof/>
                <w:shd w:val="clear" w:color="auto" w:fill="FFFFFF"/>
              </w:rPr>
              <w:t xml:space="preserve"> </w:t>
            </w:r>
            <w:r w:rsidRPr="009D744D">
              <w:rPr>
                <w:rStyle w:val="Hyperlink"/>
                <w:b/>
                <w:bCs/>
                <w:noProof/>
              </w:rPr>
              <w:t>EXTRA-LEGAL SANCTIONS</w:t>
            </w:r>
            <w:r>
              <w:rPr>
                <w:noProof/>
                <w:webHidden/>
              </w:rPr>
              <w:tab/>
            </w:r>
            <w:r>
              <w:rPr>
                <w:noProof/>
                <w:webHidden/>
              </w:rPr>
              <w:fldChar w:fldCharType="begin"/>
            </w:r>
            <w:r>
              <w:rPr>
                <w:noProof/>
                <w:webHidden/>
              </w:rPr>
              <w:instrText xml:space="preserve"> PAGEREF _Toc204092877 \h </w:instrText>
            </w:r>
            <w:r>
              <w:rPr>
                <w:noProof/>
                <w:webHidden/>
              </w:rPr>
            </w:r>
            <w:r>
              <w:rPr>
                <w:noProof/>
                <w:webHidden/>
              </w:rPr>
              <w:fldChar w:fldCharType="separate"/>
            </w:r>
            <w:r>
              <w:rPr>
                <w:noProof/>
                <w:webHidden/>
              </w:rPr>
              <w:t>104</w:t>
            </w:r>
            <w:r>
              <w:rPr>
                <w:noProof/>
                <w:webHidden/>
              </w:rPr>
              <w:fldChar w:fldCharType="end"/>
            </w:r>
          </w:hyperlink>
        </w:p>
        <w:p w14:paraId="2EBD43DD" w14:textId="6F1D00A1" w:rsidR="000A53DE" w:rsidRDefault="000A53DE">
          <w:pPr>
            <w:pStyle w:val="TOC1"/>
            <w:tabs>
              <w:tab w:val="right" w:leader="dot" w:pos="9350"/>
            </w:tabs>
            <w:rPr>
              <w:rFonts w:asciiTheme="minorHAnsi" w:eastAsiaTheme="minorEastAsia" w:hAnsiTheme="minorHAnsi" w:cstheme="minorBidi"/>
              <w:noProof/>
              <w:color w:val="auto"/>
            </w:rPr>
          </w:pPr>
          <w:hyperlink w:anchor="_Toc204092878" w:history="1">
            <w:r w:rsidRPr="009D744D">
              <w:rPr>
                <w:rStyle w:val="Hyperlink"/>
                <w:b/>
                <w:bCs/>
                <w:noProof/>
              </w:rPr>
              <w:t>CHAPTER SEVEN</w:t>
            </w:r>
            <w:r>
              <w:rPr>
                <w:noProof/>
                <w:webHidden/>
              </w:rPr>
              <w:tab/>
            </w:r>
            <w:r>
              <w:rPr>
                <w:noProof/>
                <w:webHidden/>
              </w:rPr>
              <w:fldChar w:fldCharType="begin"/>
            </w:r>
            <w:r>
              <w:rPr>
                <w:noProof/>
                <w:webHidden/>
              </w:rPr>
              <w:instrText xml:space="preserve"> PAGEREF _Toc204092878 \h </w:instrText>
            </w:r>
            <w:r>
              <w:rPr>
                <w:noProof/>
                <w:webHidden/>
              </w:rPr>
            </w:r>
            <w:r>
              <w:rPr>
                <w:noProof/>
                <w:webHidden/>
              </w:rPr>
              <w:fldChar w:fldCharType="separate"/>
            </w:r>
            <w:r>
              <w:rPr>
                <w:noProof/>
                <w:webHidden/>
              </w:rPr>
              <w:t>119</w:t>
            </w:r>
            <w:r>
              <w:rPr>
                <w:noProof/>
                <w:webHidden/>
              </w:rPr>
              <w:fldChar w:fldCharType="end"/>
            </w:r>
          </w:hyperlink>
        </w:p>
        <w:p w14:paraId="2DE13E44" w14:textId="1FCD27C6" w:rsidR="000A53DE" w:rsidRDefault="000A53DE">
          <w:pPr>
            <w:pStyle w:val="TOC1"/>
            <w:tabs>
              <w:tab w:val="right" w:leader="dot" w:pos="9350"/>
            </w:tabs>
            <w:rPr>
              <w:rFonts w:asciiTheme="minorHAnsi" w:eastAsiaTheme="minorEastAsia" w:hAnsiTheme="minorHAnsi" w:cstheme="minorBidi"/>
              <w:noProof/>
              <w:color w:val="auto"/>
            </w:rPr>
          </w:pPr>
          <w:hyperlink w:anchor="_Toc204092879" w:history="1">
            <w:r w:rsidRPr="009D744D">
              <w:rPr>
                <w:rStyle w:val="Hyperlink"/>
                <w:b/>
                <w:bCs/>
                <w:noProof/>
              </w:rPr>
              <w:t>CONCLUSION</w:t>
            </w:r>
            <w:r>
              <w:rPr>
                <w:noProof/>
                <w:webHidden/>
              </w:rPr>
              <w:tab/>
            </w:r>
            <w:r>
              <w:rPr>
                <w:noProof/>
                <w:webHidden/>
              </w:rPr>
              <w:fldChar w:fldCharType="begin"/>
            </w:r>
            <w:r>
              <w:rPr>
                <w:noProof/>
                <w:webHidden/>
              </w:rPr>
              <w:instrText xml:space="preserve"> PAGEREF _Toc204092879 \h </w:instrText>
            </w:r>
            <w:r>
              <w:rPr>
                <w:noProof/>
                <w:webHidden/>
              </w:rPr>
            </w:r>
            <w:r>
              <w:rPr>
                <w:noProof/>
                <w:webHidden/>
              </w:rPr>
              <w:fldChar w:fldCharType="separate"/>
            </w:r>
            <w:r>
              <w:rPr>
                <w:noProof/>
                <w:webHidden/>
              </w:rPr>
              <w:t>119</w:t>
            </w:r>
            <w:r>
              <w:rPr>
                <w:noProof/>
                <w:webHidden/>
              </w:rPr>
              <w:fldChar w:fldCharType="end"/>
            </w:r>
          </w:hyperlink>
        </w:p>
        <w:p w14:paraId="351E8D65" w14:textId="4C7C124E" w:rsidR="000A53DE" w:rsidRDefault="000A53DE">
          <w:pPr>
            <w:pStyle w:val="TOC1"/>
            <w:tabs>
              <w:tab w:val="right" w:leader="dot" w:pos="9350"/>
            </w:tabs>
            <w:rPr>
              <w:rFonts w:asciiTheme="minorHAnsi" w:eastAsiaTheme="minorEastAsia" w:hAnsiTheme="minorHAnsi" w:cstheme="minorBidi"/>
              <w:noProof/>
              <w:color w:val="auto"/>
            </w:rPr>
          </w:pPr>
          <w:hyperlink w:anchor="_Toc204092880" w:history="1">
            <w:r w:rsidRPr="009D744D">
              <w:rPr>
                <w:rStyle w:val="Hyperlink"/>
                <w:b/>
                <w:bCs/>
                <w:noProof/>
              </w:rPr>
              <w:t>LIST OF REFERENCES</w:t>
            </w:r>
            <w:r>
              <w:rPr>
                <w:noProof/>
                <w:webHidden/>
              </w:rPr>
              <w:tab/>
            </w:r>
            <w:r>
              <w:rPr>
                <w:noProof/>
                <w:webHidden/>
              </w:rPr>
              <w:fldChar w:fldCharType="begin"/>
            </w:r>
            <w:r>
              <w:rPr>
                <w:noProof/>
                <w:webHidden/>
              </w:rPr>
              <w:instrText xml:space="preserve"> PAGEREF _Toc204092880 \h </w:instrText>
            </w:r>
            <w:r>
              <w:rPr>
                <w:noProof/>
                <w:webHidden/>
              </w:rPr>
            </w:r>
            <w:r>
              <w:rPr>
                <w:noProof/>
                <w:webHidden/>
              </w:rPr>
              <w:fldChar w:fldCharType="separate"/>
            </w:r>
            <w:r>
              <w:rPr>
                <w:noProof/>
                <w:webHidden/>
              </w:rPr>
              <w:t>135</w:t>
            </w:r>
            <w:r>
              <w:rPr>
                <w:noProof/>
                <w:webHidden/>
              </w:rPr>
              <w:fldChar w:fldCharType="end"/>
            </w:r>
          </w:hyperlink>
        </w:p>
        <w:p w14:paraId="70233B99" w14:textId="39420149" w:rsidR="000A53DE" w:rsidRDefault="000A53DE">
          <w:pPr>
            <w:pStyle w:val="TOC1"/>
            <w:tabs>
              <w:tab w:val="right" w:leader="dot" w:pos="9350"/>
            </w:tabs>
            <w:rPr>
              <w:rFonts w:asciiTheme="minorHAnsi" w:eastAsiaTheme="minorEastAsia" w:hAnsiTheme="minorHAnsi" w:cstheme="minorBidi"/>
              <w:noProof/>
              <w:color w:val="auto"/>
            </w:rPr>
          </w:pPr>
          <w:hyperlink w:anchor="_Toc204092881" w:history="1">
            <w:r w:rsidRPr="009D744D">
              <w:rPr>
                <w:rStyle w:val="Hyperlink"/>
                <w:b/>
                <w:bCs/>
                <w:noProof/>
                <w:shd w:val="clear" w:color="auto" w:fill="FFFFFF"/>
              </w:rPr>
              <w:t>APPENDIX</w:t>
            </w:r>
            <w:r>
              <w:rPr>
                <w:noProof/>
                <w:webHidden/>
              </w:rPr>
              <w:tab/>
            </w:r>
            <w:r>
              <w:rPr>
                <w:noProof/>
                <w:webHidden/>
              </w:rPr>
              <w:fldChar w:fldCharType="begin"/>
            </w:r>
            <w:r>
              <w:rPr>
                <w:noProof/>
                <w:webHidden/>
              </w:rPr>
              <w:instrText xml:space="preserve"> PAGEREF _Toc204092881 \h </w:instrText>
            </w:r>
            <w:r>
              <w:rPr>
                <w:noProof/>
                <w:webHidden/>
              </w:rPr>
            </w:r>
            <w:r>
              <w:rPr>
                <w:noProof/>
                <w:webHidden/>
              </w:rPr>
              <w:fldChar w:fldCharType="separate"/>
            </w:r>
            <w:r>
              <w:rPr>
                <w:noProof/>
                <w:webHidden/>
              </w:rPr>
              <w:t>147</w:t>
            </w:r>
            <w:r>
              <w:rPr>
                <w:noProof/>
                <w:webHidden/>
              </w:rPr>
              <w:fldChar w:fldCharType="end"/>
            </w:r>
          </w:hyperlink>
        </w:p>
        <w:p w14:paraId="6E1BA4BB" w14:textId="52772C3D" w:rsidR="000A53DE" w:rsidRDefault="000A53DE">
          <w:pPr>
            <w:pStyle w:val="TOC1"/>
            <w:tabs>
              <w:tab w:val="right" w:leader="dot" w:pos="9350"/>
            </w:tabs>
            <w:rPr>
              <w:rFonts w:asciiTheme="minorHAnsi" w:eastAsiaTheme="minorEastAsia" w:hAnsiTheme="minorHAnsi" w:cstheme="minorBidi"/>
              <w:noProof/>
              <w:color w:val="auto"/>
            </w:rPr>
          </w:pPr>
          <w:hyperlink w:anchor="_Toc204092889" w:history="1">
            <w:r w:rsidRPr="009D744D">
              <w:rPr>
                <w:rStyle w:val="Hyperlink"/>
                <w:b/>
                <w:bCs/>
                <w:noProof/>
              </w:rPr>
              <w:t>VITA</w:t>
            </w:r>
            <w:r>
              <w:rPr>
                <w:noProof/>
                <w:webHidden/>
              </w:rPr>
              <w:tab/>
            </w:r>
            <w:r>
              <w:rPr>
                <w:noProof/>
                <w:webHidden/>
              </w:rPr>
              <w:fldChar w:fldCharType="begin"/>
            </w:r>
            <w:r>
              <w:rPr>
                <w:noProof/>
                <w:webHidden/>
              </w:rPr>
              <w:instrText xml:space="preserve"> PAGEREF _Toc204092889 \h </w:instrText>
            </w:r>
            <w:r>
              <w:rPr>
                <w:noProof/>
                <w:webHidden/>
              </w:rPr>
            </w:r>
            <w:r>
              <w:rPr>
                <w:noProof/>
                <w:webHidden/>
              </w:rPr>
              <w:fldChar w:fldCharType="separate"/>
            </w:r>
            <w:r>
              <w:rPr>
                <w:noProof/>
                <w:webHidden/>
              </w:rPr>
              <w:t>152</w:t>
            </w:r>
            <w:r>
              <w:rPr>
                <w:noProof/>
                <w:webHidden/>
              </w:rPr>
              <w:fldChar w:fldCharType="end"/>
            </w:r>
          </w:hyperlink>
        </w:p>
        <w:p w14:paraId="3E596705" w14:textId="358B9797" w:rsidR="00E778C8" w:rsidRPr="00700474" w:rsidRDefault="00E778C8" w:rsidP="00D60FF5">
          <w:r w:rsidRPr="00700474">
            <w:rPr>
              <w:b/>
              <w:bCs/>
              <w:noProof/>
            </w:rPr>
            <w:fldChar w:fldCharType="end"/>
          </w:r>
        </w:p>
      </w:sdtContent>
    </w:sdt>
    <w:p w14:paraId="442D99EE" w14:textId="1B9726A8" w:rsidR="00EE5073" w:rsidRPr="00700474" w:rsidRDefault="00EE5073" w:rsidP="00D60FF5">
      <w:r w:rsidRPr="00700474">
        <w:br w:type="page"/>
      </w:r>
      <w:r w:rsidRPr="00700474">
        <w:rPr>
          <w:b/>
          <w:bCs/>
        </w:rPr>
        <w:lastRenderedPageBreak/>
        <w:t>LIST OF TABLES</w:t>
      </w:r>
    </w:p>
    <w:p w14:paraId="24771E66" w14:textId="0994F75B" w:rsidR="00EE5073" w:rsidRPr="00700474" w:rsidRDefault="00EE5073" w:rsidP="00D60FF5">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Table 1. Summary of Research Participant Demographics...........................................................5</w:t>
      </w:r>
      <w:r w:rsidR="00E65B1F">
        <w:rPr>
          <w:rFonts w:ascii="Times New Roman" w:hAnsi="Times New Roman" w:cs="Times New Roman"/>
          <w:color w:val="000000" w:themeColor="text1"/>
        </w:rPr>
        <w:t>9</w:t>
      </w:r>
    </w:p>
    <w:p w14:paraId="08D5E7DB" w14:textId="77777777" w:rsidR="00EE5073" w:rsidRPr="00700474" w:rsidRDefault="00EE5073" w:rsidP="00D60FF5">
      <w:pPr>
        <w:jc w:val="left"/>
      </w:pPr>
      <w:r w:rsidRPr="00700474">
        <w:t>Table 2. Participants’ Perceptions of Ghana’s Legal Sanctions.....................................................72</w:t>
      </w:r>
    </w:p>
    <w:p w14:paraId="112C63E6" w14:textId="73ED4B33" w:rsidR="00EE5073" w:rsidRPr="00700474" w:rsidRDefault="00EE5073" w:rsidP="00D60FF5">
      <w:pPr>
        <w:jc w:val="left"/>
      </w:pPr>
      <w:r w:rsidRPr="00700474">
        <w:t>Table 3. Participants’ Perceptions and Justifications of Informal..................................................9</w:t>
      </w:r>
      <w:r w:rsidR="000A53DE">
        <w:t>1</w:t>
      </w:r>
    </w:p>
    <w:p w14:paraId="6F012FE4" w14:textId="3495581C" w:rsidR="00EE5073" w:rsidRPr="00700474" w:rsidRDefault="00EE5073" w:rsidP="00D60FF5">
      <w:pPr>
        <w:jc w:val="left"/>
      </w:pPr>
      <w:r w:rsidRPr="00700474">
        <w:t>Table 4. Participants’ Perceptions of Mob</w:t>
      </w:r>
      <w:r w:rsidR="00D316B0" w:rsidRPr="00700474">
        <w:t xml:space="preserve"> and the Post-Colonial Legal System</w:t>
      </w:r>
      <w:r w:rsidRPr="00700474">
        <w:t>.......................</w:t>
      </w:r>
      <w:r w:rsidR="00D316B0" w:rsidRPr="00700474">
        <w:t>.</w:t>
      </w:r>
      <w:r w:rsidRPr="00700474">
        <w:t>.105</w:t>
      </w:r>
    </w:p>
    <w:p w14:paraId="39121A11" w14:textId="77777777" w:rsidR="00A15C8F" w:rsidRPr="00700474" w:rsidRDefault="00A15C8F" w:rsidP="005D7B75">
      <w:pPr>
        <w:jc w:val="left"/>
      </w:pPr>
    </w:p>
    <w:p w14:paraId="3E34526D" w14:textId="7E07AD3D" w:rsidR="00540D4A" w:rsidRPr="00700474" w:rsidRDefault="00540D4A" w:rsidP="005D7B75">
      <w:pPr>
        <w:jc w:val="left"/>
      </w:pPr>
    </w:p>
    <w:p w14:paraId="46CD9890" w14:textId="77777777" w:rsidR="00D342E4" w:rsidRPr="00700474" w:rsidRDefault="00D342E4" w:rsidP="00825D8A">
      <w:pPr>
        <w:jc w:val="left"/>
      </w:pPr>
    </w:p>
    <w:p w14:paraId="5DE2DCF0" w14:textId="77777777" w:rsidR="00D342E4" w:rsidRPr="00700474" w:rsidRDefault="00D342E4" w:rsidP="00825D8A">
      <w:pPr>
        <w:jc w:val="left"/>
      </w:pPr>
    </w:p>
    <w:p w14:paraId="160F1C8A" w14:textId="10A133E4" w:rsidR="00D342E4" w:rsidRPr="00700474" w:rsidRDefault="00D342E4" w:rsidP="00825D8A">
      <w:pPr>
        <w:jc w:val="left"/>
      </w:pPr>
    </w:p>
    <w:p w14:paraId="6094041F" w14:textId="77777777" w:rsidR="00AD7A71" w:rsidRPr="00700474" w:rsidRDefault="00AD7A71" w:rsidP="00AD7A71">
      <w:pPr>
        <w:pStyle w:val="Heading1"/>
        <w:jc w:val="left"/>
        <w:rPr>
          <w:rFonts w:ascii="Times New Roman" w:hAnsi="Times New Roman" w:cs="Times New Roman"/>
          <w:color w:val="000000" w:themeColor="text1"/>
          <w:sz w:val="24"/>
          <w:szCs w:val="24"/>
        </w:rPr>
      </w:pPr>
    </w:p>
    <w:p w14:paraId="36BCF8A6" w14:textId="77777777" w:rsidR="005D3EBE" w:rsidRPr="00700474" w:rsidRDefault="005D3EBE" w:rsidP="005D3EBE">
      <w:pPr>
        <w:pStyle w:val="NormalWeb"/>
        <w:jc w:val="left"/>
        <w:sectPr w:rsidR="005D3EBE" w:rsidRPr="00700474" w:rsidSect="001F42D4">
          <w:footerReference w:type="default" r:id="rId8"/>
          <w:footerReference w:type="first" r:id="rId9"/>
          <w:pgSz w:w="12240" w:h="15840"/>
          <w:pgMar w:top="1440" w:right="1440" w:bottom="1440" w:left="1440" w:header="720" w:footer="720" w:gutter="0"/>
          <w:pgNumType w:fmt="lowerRoman"/>
          <w:cols w:space="720"/>
          <w:titlePg/>
          <w:docGrid w:linePitch="360"/>
        </w:sectPr>
      </w:pPr>
    </w:p>
    <w:p w14:paraId="24C08388" w14:textId="77777777" w:rsidR="005D7B75" w:rsidRDefault="005A68CE" w:rsidP="00D60FF5">
      <w:pPr>
        <w:rPr>
          <w:b/>
          <w:bCs/>
        </w:rPr>
      </w:pPr>
      <w:r w:rsidRPr="00700474">
        <w:rPr>
          <w:b/>
          <w:bCs/>
        </w:rPr>
        <w:lastRenderedPageBreak/>
        <w:t>CHAPTER ONE</w:t>
      </w:r>
    </w:p>
    <w:p w14:paraId="6936210D" w14:textId="77777777" w:rsidR="005D7B75" w:rsidRDefault="005A68CE" w:rsidP="00D60FF5">
      <w:pPr>
        <w:rPr>
          <w:b/>
          <w:bCs/>
        </w:rPr>
      </w:pPr>
      <w:r w:rsidRPr="00700474">
        <w:rPr>
          <w:b/>
          <w:bCs/>
        </w:rPr>
        <w:t>INTRODUCTION: TELLING PUNITIVE ATTITUDES</w:t>
      </w:r>
    </w:p>
    <w:p w14:paraId="09EF1FF2" w14:textId="1BF6E183" w:rsidR="008B1030" w:rsidRPr="005D7B75" w:rsidRDefault="008B1030" w:rsidP="00D60FF5">
      <w:pPr>
        <w:jc w:val="left"/>
        <w:rPr>
          <w:rFonts w:eastAsiaTheme="majorEastAsia"/>
          <w:b/>
          <w:bCs/>
        </w:rPr>
      </w:pPr>
      <w:r w:rsidRPr="00700474">
        <w:t xml:space="preserve">Criminological literature is replete with research on public attitudes towards punishment (Picket 2019). Indeed, attitudes evidently influence both individual behavior and the formulation of criminal justice policies. As Indermaur and Hough (2013) assert, the operation and legitimacy of criminal legal practices are deeply intertwined with public </w:t>
      </w:r>
      <w:r w:rsidR="00EE5073" w:rsidRPr="00700474">
        <w:t>opinion</w:t>
      </w:r>
      <w:r w:rsidRPr="00700474">
        <w:t xml:space="preserve"> and confidence. They argue that a lack of widespread belief in the fairness and effectiveness of the criminal legal system would lead to its eventual </w:t>
      </w:r>
      <w:r w:rsidR="00EE5073" w:rsidRPr="00700474">
        <w:t>breakdown,</w:t>
      </w:r>
      <w:r w:rsidRPr="00700474">
        <w:t xml:space="preserve"> underscoring the crucial role of public support in the system's effectiveness, reinforcing the need for public confidence in the legal system. The mutual reliance between the public and the legal system is evident in the public's dependence on law enforcement agencies to apprehend and punish offenders, to prevent further victimization, and the legal system's reliance on the public to report criminal activities (Kaukinen</w:t>
      </w:r>
      <w:r w:rsidR="00005BD5" w:rsidRPr="00700474">
        <w:t xml:space="preserve"> and</w:t>
      </w:r>
      <w:r w:rsidRPr="00700474">
        <w:t xml:space="preserve"> Colavecchia 1999; Wood 2001).</w:t>
      </w:r>
    </w:p>
    <w:p w14:paraId="12C81EAA" w14:textId="4E3409B4" w:rsidR="008B5066" w:rsidRPr="00700474" w:rsidRDefault="008B5066" w:rsidP="00D60FF5">
      <w:pPr>
        <w:ind w:firstLine="720"/>
        <w:jc w:val="left"/>
      </w:pPr>
      <w:r w:rsidRPr="00700474">
        <w:t xml:space="preserve">In analyzing trends in punitive policy preferences in the United States, Ramirez (2013) found that public support for punitive measures at a given time shaped the nature of punishment inflicted on offenders. This trend has significant implications for the legal system, as it suggests that the severity of punishment is not solely determined by the severity of the crime, but also by public opinion. Thus, punishment becomes punitive where there is public support and less punitive when it lacks public support. For example, according to Picket (2019), in the US, when public support for death fell to 42% in 1966, then rose to 80% in 1994 before declining to 55% in 2017, the general punitiveness among the public followed the same basic trend.  Public opinion guides politicians in formulating criminal legal policies. As Erikson et al. (2002) argued, public officials, such as the president, senators, and US Supreme Court justices, consider, use, and </w:t>
      </w:r>
      <w:r w:rsidRPr="00700474">
        <w:lastRenderedPageBreak/>
        <w:t xml:space="preserve">respond to public opinion when developing policies. </w:t>
      </w:r>
      <w:r w:rsidR="00385C8D" w:rsidRPr="00700474">
        <w:t>Utilizing</w:t>
      </w:r>
      <w:r w:rsidRPr="00700474">
        <w:t xml:space="preserve"> trends in policy mood and implementation ensures that the public’s voice is heard and understood when shaping criminal legal policies. Similarly, Enns (2016) found that public opinion leads and shapes politicians to the extent that politicians use public opinion polls to formulate their criminal legal positions and policies for political campaigns.</w:t>
      </w:r>
    </w:p>
    <w:p w14:paraId="38AA9A92" w14:textId="6CC97C4D" w:rsidR="008B1030" w:rsidRPr="00700474" w:rsidRDefault="008B1030" w:rsidP="005D7B75">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In Ghana, public opinion and attitudes have been instrumental in shaping the country’s criminal legal </w:t>
      </w:r>
      <w:r w:rsidR="00385C8D" w:rsidRPr="00700474">
        <w:rPr>
          <w:rFonts w:ascii="Times New Roman" w:hAnsi="Times New Roman" w:cs="Times New Roman"/>
          <w:color w:val="000000" w:themeColor="text1"/>
        </w:rPr>
        <w:t>policymaking</w:t>
      </w:r>
      <w:r w:rsidRPr="00700474">
        <w:rPr>
          <w:rFonts w:ascii="Times New Roman" w:hAnsi="Times New Roman" w:cs="Times New Roman"/>
          <w:color w:val="000000" w:themeColor="text1"/>
        </w:rPr>
        <w:t>, particularly in punishing law violators. A prime example of this is the establishment of the office of the Special Prosecutor. The establishment of this Office of the Special Prosecutor in 2017 (Act, 259) was in fulfillment of a campaign promise by the then opposition National Patriotic Party led by ex-President Akuffo Addo in response to strong public demand for effective anti-corruption measures. Thus, the Office of the Special Prosecutor was created to investigate corruption cases involving public officers and their accomplices. This agency, born out of the public’s demand, has been met with much anticipation and hope, with the public eagerly awaiting the potential for a firm hand in the fight against corruption in the country (Anku-Tsede et al. 2023).</w:t>
      </w:r>
    </w:p>
    <w:p w14:paraId="03F898CD" w14:textId="7B6F085D" w:rsidR="008B1030" w:rsidRPr="00700474" w:rsidRDefault="008B1030" w:rsidP="005D7B75">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A Fast-track High Court</w:t>
      </w:r>
      <w:r w:rsidRPr="00700474">
        <w:rPr>
          <w:rFonts w:ascii="Times New Roman" w:hAnsi="Times New Roman" w:cs="Times New Roman"/>
          <w:strike/>
          <w:color w:val="000000" w:themeColor="text1"/>
        </w:rPr>
        <w:t>s</w:t>
      </w:r>
      <w:r w:rsidRPr="00700474">
        <w:rPr>
          <w:rFonts w:ascii="Times New Roman" w:hAnsi="Times New Roman" w:cs="Times New Roman"/>
          <w:color w:val="000000" w:themeColor="text1"/>
        </w:rPr>
        <w:t xml:space="preserve"> (FTC) system was also created to address public grievances regarding judicial delays. The Fast Track High Court (FTC) project was rolled out in three pilot High Courts in Accra, the capital city.  The main aim of the FTC was to reduce the amount of time spent litigating cases to a maximum of six months, compared to many years, sometimes up to 15 years, that it took for courts to deliver judgments. Other technologies, which allowed witnesses to give evidence through video links, were incorporated to facilitate a swift and smooth justice delivery. In 2019, the civil procedure rules were again amended to allow parties to </w:t>
      </w:r>
      <w:r w:rsidRPr="00700474">
        <w:rPr>
          <w:rFonts w:ascii="Times New Roman" w:hAnsi="Times New Roman" w:cs="Times New Roman"/>
          <w:color w:val="000000" w:themeColor="text1"/>
        </w:rPr>
        <w:lastRenderedPageBreak/>
        <w:t>elect at any time during the proceedings to be served court processes electronically, including via email (Addadzi-Koom</w:t>
      </w:r>
      <w:r w:rsidR="00005BD5" w:rsidRPr="00700474">
        <w:rPr>
          <w:rFonts w:ascii="Times New Roman" w:hAnsi="Times New Roman" w:cs="Times New Roman"/>
          <w:color w:val="000000" w:themeColor="text1"/>
        </w:rPr>
        <w:t xml:space="preserve"> and</w:t>
      </w:r>
      <w:r w:rsidRPr="00700474">
        <w:rPr>
          <w:rFonts w:ascii="Times New Roman" w:hAnsi="Times New Roman" w:cs="Times New Roman"/>
          <w:color w:val="000000" w:themeColor="text1"/>
        </w:rPr>
        <w:t xml:space="preserve"> Bediako 2019).</w:t>
      </w:r>
    </w:p>
    <w:p w14:paraId="730AA811" w14:textId="4ED2E72A" w:rsidR="008B1030" w:rsidRPr="00700474" w:rsidRDefault="000D32B7" w:rsidP="005D7B75">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Also, over the years, successive governments have made several interventions to deal with public complaints and outcry over police misconduct. One such intervention was the establishment of the Police Intelligence and Professional Standards Bureau (PIPS). Further reforms in the Police Service to raise professional standards led to replacing PIPS with the current Police Professional Standards Bureau (PPSB). The PPSB, with its expanded mandate, is a testament to the continuous nature of police reform, dealing with all police misconduct, receiving and investigating public complaints against the police and resolving such complaints (Eklu 2023). </w:t>
      </w:r>
      <w:r w:rsidR="008B1030" w:rsidRPr="00700474">
        <w:rPr>
          <w:rFonts w:ascii="Times New Roman" w:hAnsi="Times New Roman" w:cs="Times New Roman"/>
          <w:color w:val="000000" w:themeColor="text1"/>
        </w:rPr>
        <w:t xml:space="preserve">Thus, the impact of public opinion on criminal legal policy formation and implementation in Ghana, which extant literature appears lacking, if not nonexistent, needs to be explored. However, my search for existing literature on the public’s attitudes toward sanction revealed only five empirical studies in Ghana. Therefore, my research: Exploring attitudes towards sanctions in Ghana was aimed at filling this gap. Informed by the theory of reasoned action and narrative criminology, this dissertation examined attitudes toward sanctions in Ghana, a West African country of over 34 million people. </w:t>
      </w:r>
    </w:p>
    <w:p w14:paraId="7ADE8BD5" w14:textId="77777777" w:rsidR="008B1030" w:rsidRPr="00700474" w:rsidRDefault="008B1030" w:rsidP="00385C8D">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While interventions like the establishment of the Police Professional Standards Bureau (PPSB), Fast-track High Court</w:t>
      </w:r>
      <w:r w:rsidRPr="00700474">
        <w:rPr>
          <w:rFonts w:ascii="Times New Roman" w:hAnsi="Times New Roman" w:cs="Times New Roman"/>
          <w:strike/>
          <w:color w:val="000000" w:themeColor="text1"/>
        </w:rPr>
        <w:t>s</w:t>
      </w:r>
      <w:r w:rsidRPr="00700474">
        <w:rPr>
          <w:rFonts w:ascii="Times New Roman" w:hAnsi="Times New Roman" w:cs="Times New Roman"/>
          <w:color w:val="000000" w:themeColor="text1"/>
        </w:rPr>
        <w:t xml:space="preserve"> (FTC) and the Special Prosecutor’s office have sought to address public concerns over police misconduct in Ghana, the broader issue of public attitudes toward sanctions which remains underexplored, highlight a significant gap in criminological research that is further compounded by the underdevelopment of criminology in African nations.</w:t>
      </w:r>
    </w:p>
    <w:p w14:paraId="1F474F40" w14:textId="77777777" w:rsidR="00553A2E" w:rsidRPr="00700474" w:rsidRDefault="00553A2E" w:rsidP="00385C8D">
      <w:pPr>
        <w:pStyle w:val="NoSpacing"/>
        <w:spacing w:line="480" w:lineRule="auto"/>
        <w:rPr>
          <w:rFonts w:ascii="Times New Roman" w:hAnsi="Times New Roman" w:cs="Times New Roman"/>
          <w:b/>
          <w:bCs/>
          <w:color w:val="000000" w:themeColor="text1"/>
        </w:rPr>
      </w:pPr>
    </w:p>
    <w:p w14:paraId="688A6359" w14:textId="77777777" w:rsidR="00553A2E" w:rsidRPr="00700474" w:rsidRDefault="00553A2E" w:rsidP="00617E03">
      <w:pPr>
        <w:pStyle w:val="NoSpacing"/>
        <w:spacing w:line="480" w:lineRule="auto"/>
        <w:jc w:val="center"/>
        <w:rPr>
          <w:rFonts w:ascii="Times New Roman" w:hAnsi="Times New Roman" w:cs="Times New Roman"/>
          <w:b/>
          <w:bCs/>
          <w:color w:val="000000" w:themeColor="text1"/>
        </w:rPr>
      </w:pPr>
    </w:p>
    <w:p w14:paraId="46A76DBA" w14:textId="0DB80AFE" w:rsidR="008B1030" w:rsidRPr="00700474" w:rsidRDefault="008B1030" w:rsidP="00385C8D">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lastRenderedPageBreak/>
        <w:t>Statement of the Problem</w:t>
      </w:r>
    </w:p>
    <w:p w14:paraId="20296272" w14:textId="77777777" w:rsidR="008B1030" w:rsidRPr="00700474" w:rsidRDefault="008B1030" w:rsidP="00385C8D">
      <w:pPr>
        <w:pStyle w:val="NoSpacing"/>
        <w:spacing w:line="480" w:lineRule="auto"/>
        <w:rPr>
          <w:rFonts w:ascii="Times New Roman" w:eastAsia="Times New Roman" w:hAnsi="Times New Roman" w:cs="Times New Roman"/>
          <w:color w:val="000000" w:themeColor="text1"/>
        </w:rPr>
      </w:pPr>
      <w:r w:rsidRPr="00700474">
        <w:rPr>
          <w:rFonts w:ascii="Times New Roman" w:eastAsia="Times New Roman" w:hAnsi="Times New Roman" w:cs="Times New Roman"/>
          <w:color w:val="000000" w:themeColor="text1"/>
        </w:rPr>
        <w:t xml:space="preserve">While criminological research has extensively covered attitudes toward punishment, it has predominantly focused on the specifics of Western nations, neglecting many nations and entire continents. The limited criminological research on attitudes toward sanctions in Ghana and Africa is arguably a result of the underdevelopment of criminology in African countries, which can be attributed to several factors. </w:t>
      </w:r>
    </w:p>
    <w:p w14:paraId="6EB27C23" w14:textId="01AB5CC4" w:rsidR="008B1030" w:rsidRPr="00700474" w:rsidRDefault="002A102F" w:rsidP="00385C8D">
      <w:pPr>
        <w:pStyle w:val="NoSpacing"/>
        <w:spacing w:line="480" w:lineRule="auto"/>
        <w:ind w:firstLine="720"/>
        <w:rPr>
          <w:rFonts w:ascii="Times New Roman" w:eastAsia="Times New Roman" w:hAnsi="Times New Roman" w:cs="Times New Roman"/>
          <w:color w:val="000000" w:themeColor="text1"/>
        </w:rPr>
      </w:pPr>
      <w:r w:rsidRPr="00700474">
        <w:rPr>
          <w:rFonts w:ascii="Times New Roman" w:eastAsia="Times New Roman" w:hAnsi="Times New Roman" w:cs="Times New Roman"/>
          <w:color w:val="000000" w:themeColor="text1"/>
        </w:rPr>
        <w:t xml:space="preserve">According to Agozino (2003), criminology's establishment in Africa and other Third World countries has been hindered by its colonial roots, which were developed for imperialist domination and continue to function primarily as a repressive technology. This perspective is crucial for understanding the current state of criminology in postcolonial countries like Africa, which have actively rejected it as a colonialist pastime. Yet, the persistent influence of colonialism is evident in the continued adoption of the components of ‘made-for-export’ imperialistic technology. Thus, although Africa and other third-world countries continue to depend on the West for developmental ideas and materials, they refuse to rely on the West for ideas on dealing with crime, considering it a tool for imperialist domination. </w:t>
      </w:r>
      <w:r w:rsidR="008B1030" w:rsidRPr="00700474">
        <w:rPr>
          <w:rFonts w:ascii="Times New Roman" w:eastAsia="Times New Roman" w:hAnsi="Times New Roman" w:cs="Times New Roman"/>
          <w:color w:val="000000" w:themeColor="text1"/>
        </w:rPr>
        <w:t>Agozino (2003) further argues that</w:t>
      </w:r>
      <w:r w:rsidR="008B1030" w:rsidRPr="00700474">
        <w:rPr>
          <w:rFonts w:ascii="Times New Roman" w:eastAsia="Times New Roman" w:hAnsi="Times New Roman" w:cs="Times New Roman"/>
          <w:i/>
          <w:iCs/>
          <w:color w:val="000000" w:themeColor="text1"/>
        </w:rPr>
        <w:t xml:space="preserve"> </w:t>
      </w:r>
      <w:r w:rsidR="008B1030" w:rsidRPr="00700474">
        <w:rPr>
          <w:rFonts w:ascii="Times New Roman" w:eastAsia="Times New Roman" w:hAnsi="Times New Roman" w:cs="Times New Roman"/>
          <w:color w:val="000000" w:themeColor="text1"/>
        </w:rPr>
        <w:t>criminology is poorly developed in Africa because</w:t>
      </w:r>
      <w:r w:rsidR="008B1030" w:rsidRPr="00700474">
        <w:rPr>
          <w:rFonts w:ascii="Times New Roman" w:eastAsia="Times New Roman" w:hAnsi="Times New Roman" w:cs="Times New Roman"/>
          <w:i/>
          <w:iCs/>
          <w:color w:val="000000" w:themeColor="text1"/>
        </w:rPr>
        <w:t xml:space="preserve"> </w:t>
      </w:r>
      <w:r w:rsidR="008B1030" w:rsidRPr="00700474">
        <w:rPr>
          <w:rFonts w:ascii="Times New Roman" w:eastAsia="Times New Roman" w:hAnsi="Times New Roman" w:cs="Times New Roman"/>
          <w:color w:val="000000" w:themeColor="text1"/>
        </w:rPr>
        <w:t>African criminologists have yet to fully utilize their innovative and creative potential in developing criminological concepts that align with the African worldview. The existing criminological theories have been developed in isolation from the unique African social structure, leaving African criminologists ill-equipped to analyze deviance and social control peculiar to Africans (Agozino and Dastil, 2022).While Odo (2005) acknowledges the depth of  Agozino’s critique he pointed out the need for more concrete examples and actionable steps to operationalize a counter-colonial framework, bridging theoretical insights with practical applications.</w:t>
      </w:r>
    </w:p>
    <w:p w14:paraId="50514AEB" w14:textId="77777777" w:rsidR="008B1030" w:rsidRPr="00700474" w:rsidRDefault="008B1030" w:rsidP="00385C8D">
      <w:pPr>
        <w:pStyle w:val="NoSpacing"/>
        <w:spacing w:line="480" w:lineRule="auto"/>
        <w:ind w:firstLine="720"/>
        <w:rPr>
          <w:rFonts w:ascii="Times New Roman" w:eastAsia="Times New Roman" w:hAnsi="Times New Roman" w:cs="Times New Roman"/>
          <w:color w:val="000000" w:themeColor="text1"/>
        </w:rPr>
      </w:pPr>
      <w:r w:rsidRPr="00700474">
        <w:rPr>
          <w:rFonts w:ascii="Times New Roman" w:eastAsia="Times New Roman" w:hAnsi="Times New Roman" w:cs="Times New Roman"/>
          <w:color w:val="000000" w:themeColor="text1"/>
        </w:rPr>
        <w:lastRenderedPageBreak/>
        <w:t>Cohen (1988; 2017) expanded on the argument that imperialist underpinnings of criminology failed to align with African social structures, by emphasizing how Western-centric criminological theories overlook the unique cultural, structural, and historical dynamics of African societies, further underscoring the need for a decolonized framework. Cohen (1988; 2017) avers that Criminology remains underdeveloped in Africa and other third-world countries because criminology was developed principally from Western culture and reflects Western perspectives. Thus, criminological theories explain African or Third-World crime problems without considering the structural, cultural and social differences and dynamics unique to Africa. Agozino (2020) underscores this argument by opining that much of what passes for knowledge about African crime and response to crime is European. With most pioneering researchers in African criminology have been Europeans rather than Africans. The few native-born African criminologists have been trained in Europe and the Americas, though some have developed ideas critical of Western criminology (Agozino 2020). Thus, Agozino and Dastile (2023:413) contend that criminology “has yet to be decolonized in Africa.”</w:t>
      </w:r>
    </w:p>
    <w:p w14:paraId="59B3EB1E" w14:textId="77777777" w:rsidR="008B1030" w:rsidRPr="00700474" w:rsidRDefault="008B1030" w:rsidP="00385C8D">
      <w:pPr>
        <w:pStyle w:val="NoSpacing"/>
        <w:spacing w:line="480" w:lineRule="auto"/>
        <w:ind w:firstLine="720"/>
        <w:rPr>
          <w:rFonts w:ascii="Times New Roman" w:eastAsia="Times New Roman" w:hAnsi="Times New Roman" w:cs="Times New Roman"/>
          <w:color w:val="000000" w:themeColor="text1"/>
        </w:rPr>
      </w:pPr>
      <w:r w:rsidRPr="00700474">
        <w:rPr>
          <w:rFonts w:ascii="Times New Roman" w:eastAsia="Times New Roman" w:hAnsi="Times New Roman" w:cs="Times New Roman"/>
          <w:color w:val="000000" w:themeColor="text1"/>
        </w:rPr>
        <w:t xml:space="preserve">According to Winterdyk (2022), the underdevelopment of criminology in Africa is mainly due to the prevalence of economic and social issues. Many African countries are grappling with poverty, unemployment, an underdeveloped education system, and civil unrest. While some argue that these factors can lead to crime, according to Winterdyk (2022), if one applies Maslow’s hierarchy of needs within a state context, it is crucial to address the underlying economic and social issues before tackling their consequences, such as crime. Therefore, although most African countries face a growing crime problem, it is just one aspect of several broader economic and social issues that require immediate attention. Supporting Igbinovia’s (1989) assertion, Winterdyk (2022) maintains that criminology and criminological research in </w:t>
      </w:r>
      <w:r w:rsidRPr="00700474">
        <w:rPr>
          <w:rFonts w:ascii="Times New Roman" w:eastAsia="Times New Roman" w:hAnsi="Times New Roman" w:cs="Times New Roman"/>
          <w:color w:val="000000" w:themeColor="text1"/>
        </w:rPr>
        <w:lastRenderedPageBreak/>
        <w:t xml:space="preserve">Africa have been largely overlooked, leading to their restricted growth. The scarcity of relevant international journals on criminology in Africa is a key factor, resulting in the limited encouragement and dissemination of research on crime and criminality. </w:t>
      </w:r>
    </w:p>
    <w:p w14:paraId="664FBE41" w14:textId="77777777" w:rsidR="008B1030" w:rsidRPr="00700474" w:rsidRDefault="008B1030" w:rsidP="00385C8D">
      <w:pPr>
        <w:pStyle w:val="NoSpacing"/>
        <w:spacing w:line="480" w:lineRule="auto"/>
        <w:ind w:firstLine="720"/>
        <w:rPr>
          <w:rFonts w:ascii="Times New Roman" w:eastAsia="Times New Roman" w:hAnsi="Times New Roman" w:cs="Times New Roman"/>
          <w:color w:val="000000" w:themeColor="text1"/>
        </w:rPr>
      </w:pPr>
      <w:r w:rsidRPr="00700474">
        <w:rPr>
          <w:rFonts w:ascii="Times New Roman" w:eastAsia="Times New Roman" w:hAnsi="Times New Roman" w:cs="Times New Roman"/>
          <w:color w:val="000000" w:themeColor="text1"/>
        </w:rPr>
        <w:t xml:space="preserve">Criminology in sub-Sahara Africa remains less developed because few post-secondary schools offer dedicated undergraduate or graduate degrees in criminology and/or criminal justice. For instance, only five institutions of higher education (i.e., the University of Pretoria, University of Cape Town, UNISEA, Nelson Mandela Metropolitan University, and IIE MSA) across Africa offer criminology and or criminal justice degrees; not even in Ghana, where criminology was first introduced in Africa, as part of an undergraduate sociology curriculum, in 1952. Thus, criminology and criminal justice remain a limited focus within the African academic mindset (Winterdyk 2022). </w:t>
      </w:r>
    </w:p>
    <w:p w14:paraId="1C42B415" w14:textId="77777777" w:rsidR="008B1030" w:rsidRPr="00700474" w:rsidRDefault="008B1030" w:rsidP="00385C8D">
      <w:pPr>
        <w:pStyle w:val="NoSpacing"/>
        <w:spacing w:line="480" w:lineRule="auto"/>
        <w:ind w:firstLine="720"/>
        <w:rPr>
          <w:rFonts w:ascii="Times New Roman" w:eastAsia="Times New Roman" w:hAnsi="Times New Roman" w:cs="Times New Roman"/>
          <w:color w:val="000000" w:themeColor="text1"/>
        </w:rPr>
      </w:pPr>
      <w:r w:rsidRPr="00700474">
        <w:rPr>
          <w:rFonts w:ascii="Times New Roman" w:eastAsia="Times New Roman" w:hAnsi="Times New Roman" w:cs="Times New Roman"/>
          <w:color w:val="000000" w:themeColor="text1"/>
        </w:rPr>
        <w:t xml:space="preserve">The limited study of attitudes toward punishment in Ghana is closely tied to the underdevelopment of criminology in Africa and other Third World countries. Criminology, often perceived as a colonial import designed for imperialist domination, has been dismissed by postcolonial nations as irrelevant, leading to a lack of localized theories and methodologies. This disconnect leaves African criminologists ill-equipped to analyze unique societal phenomena like attitudes toward punishment. Furthermore, existing criminological frameworks developed in Western contexts fail to address the complexities of African social structures, and limited funding for research has contributed to the scarcity of studies exploring attitudes toward sanctions in Ghana and similar contexts. This underdevelopment of criminology in Ghana and Africa at large, coupled with the lack of localized theories, sets the stage for examining the limited empirical studies on public attitudes toward sanctions. These existing studies, while insightful, focus </w:t>
      </w:r>
      <w:r w:rsidRPr="00700474">
        <w:rPr>
          <w:rFonts w:ascii="Times New Roman" w:eastAsia="Times New Roman" w:hAnsi="Times New Roman" w:cs="Times New Roman"/>
          <w:color w:val="000000" w:themeColor="text1"/>
        </w:rPr>
        <w:lastRenderedPageBreak/>
        <w:t>narrowly on specific legal sanctions, highlighting a significant gap in understanding broader societal attitudes toward sanctions—a gap this research aims to address.</w:t>
      </w:r>
    </w:p>
    <w:p w14:paraId="460355C2"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Empirical Gap</w:t>
      </w:r>
    </w:p>
    <w:p w14:paraId="08FDBBF0" w14:textId="37F75853" w:rsidR="008B1030" w:rsidRPr="00700474" w:rsidRDefault="008B1030" w:rsidP="00385C8D">
      <w:pPr>
        <w:pStyle w:val="NoSpacing"/>
        <w:spacing w:line="480" w:lineRule="auto"/>
        <w:rPr>
          <w:rFonts w:ascii="Times New Roman" w:eastAsia="Times New Roman" w:hAnsi="Times New Roman" w:cs="Times New Roman"/>
          <w:color w:val="000000" w:themeColor="text1"/>
          <w:kern w:val="0"/>
          <w14:ligatures w14:val="none"/>
        </w:rPr>
      </w:pPr>
      <w:r w:rsidRPr="00700474">
        <w:rPr>
          <w:rFonts w:ascii="Times New Roman" w:eastAsia="Times New Roman" w:hAnsi="Times New Roman" w:cs="Times New Roman"/>
          <w:color w:val="000000" w:themeColor="text1"/>
          <w:kern w:val="0"/>
          <w14:ligatures w14:val="none"/>
        </w:rPr>
        <w:t>My search for existing literature on the public's attitudes toward punishment revealed only five empirical studies in Ghana. The literature only explore</w:t>
      </w:r>
      <w:r w:rsidR="00EE5073" w:rsidRPr="00700474">
        <w:rPr>
          <w:rFonts w:ascii="Times New Roman" w:eastAsia="Times New Roman" w:hAnsi="Times New Roman" w:cs="Times New Roman"/>
          <w:color w:val="000000" w:themeColor="text1"/>
          <w:kern w:val="0"/>
          <w14:ligatures w14:val="none"/>
        </w:rPr>
        <w:t>d</w:t>
      </w:r>
      <w:r w:rsidRPr="00700474">
        <w:rPr>
          <w:rFonts w:ascii="Times New Roman" w:eastAsia="Times New Roman" w:hAnsi="Times New Roman" w:cs="Times New Roman"/>
          <w:color w:val="000000" w:themeColor="text1"/>
          <w:kern w:val="0"/>
          <w14:ligatures w14:val="none"/>
        </w:rPr>
        <w:t xml:space="preserve"> attitudes towards specific legal punishment (imprisonment and death penalty) and not punishment in general. For instance, Ofori-Duah et al.'s (2015) study focused solely on attitudes toward using non-custodial sentences as an alternative to imprisonment. Even so, the study only focused on one form of non-custodial sentencing: community service. Similarly, Halm's (2020) work focused on attitudes towards imprisonment and the use of non-custodial sentences as an alternative but explores other issues relating to non-custodial sentencing, such as (a) the awareness of the existence of non-custodial sentencing; (b) the prospects of non-custodial sentencing; and (c) the challenges associated with non-custodial sentencing in Ghana. Also, Parimah et al. (2016) evaluated attitudes concerning the use of non-custodial sentences as an alternative to imprisonment. </w:t>
      </w:r>
    </w:p>
    <w:p w14:paraId="091F8C1B" w14:textId="77777777" w:rsidR="008B1030" w:rsidRPr="00700474" w:rsidRDefault="008B1030" w:rsidP="00385C8D">
      <w:pPr>
        <w:pStyle w:val="NoSpacing"/>
        <w:spacing w:line="480" w:lineRule="auto"/>
        <w:ind w:firstLine="720"/>
        <w:rPr>
          <w:rFonts w:ascii="Times New Roman" w:eastAsia="Times New Roman" w:hAnsi="Times New Roman" w:cs="Times New Roman"/>
          <w:color w:val="000000" w:themeColor="text1"/>
          <w:kern w:val="0"/>
          <w14:ligatures w14:val="none"/>
        </w:rPr>
      </w:pPr>
      <w:r w:rsidRPr="00700474">
        <w:rPr>
          <w:rFonts w:ascii="Times New Roman" w:eastAsia="Times New Roman" w:hAnsi="Times New Roman" w:cs="Times New Roman"/>
          <w:color w:val="000000" w:themeColor="text1"/>
          <w:kern w:val="0"/>
          <w14:ligatures w14:val="none"/>
        </w:rPr>
        <w:t xml:space="preserve">On the other hand, Tankebe et al. (2015) and Awudjah et al. (2021) examined public opinion on the death penalty in Ghana. It is important to note that these studies provide no insight into Ghanaians' general attitude towards sanctions. highlighting a significant gap in our understanding of the public's attitudes towards sanctions in Ghana. </w:t>
      </w:r>
      <w:r w:rsidRPr="00700474">
        <w:rPr>
          <w:rFonts w:ascii="Times New Roman" w:hAnsi="Times New Roman" w:cs="Times New Roman"/>
          <w:color w:val="000000" w:themeColor="text1"/>
        </w:rPr>
        <w:t>My research aims at filling this gap. It is aimed at learning about attitudes towards sanctions among Ghanaians</w:t>
      </w:r>
      <w:r w:rsidRPr="00700474">
        <w:rPr>
          <w:rFonts w:ascii="Times New Roman" w:eastAsia="Times New Roman" w:hAnsi="Times New Roman" w:cs="Times New Roman"/>
          <w:color w:val="000000" w:themeColor="text1"/>
          <w:kern w:val="0"/>
          <w14:ligatures w14:val="none"/>
        </w:rPr>
        <w:t xml:space="preserve">. In addition to the empirical gap, there also exists a methodological gap in the study of attitudes towards sanctions in Ghana. While the existing literature highlights a narrow focus on specific legal sanctions, the methodological limitations of these studies further underscore the need for a more comprehensive and nuanced approach. This research addresses these gaps by employing </w:t>
      </w:r>
      <w:r w:rsidRPr="00700474">
        <w:rPr>
          <w:rFonts w:ascii="Times New Roman" w:eastAsia="Times New Roman" w:hAnsi="Times New Roman" w:cs="Times New Roman"/>
          <w:color w:val="000000" w:themeColor="text1"/>
          <w:kern w:val="0"/>
          <w14:ligatures w14:val="none"/>
        </w:rPr>
        <w:lastRenderedPageBreak/>
        <w:t>qualitative methods framed by the theories of reasoned action and narrative criminology to explore broader attitudes toward sanctions in Ghana.</w:t>
      </w:r>
    </w:p>
    <w:p w14:paraId="1A4E97D7" w14:textId="77777777" w:rsidR="008B1030" w:rsidRPr="00700474" w:rsidRDefault="008B1030" w:rsidP="008B1030">
      <w:pPr>
        <w:pStyle w:val="NoSpacing"/>
        <w:spacing w:line="480" w:lineRule="auto"/>
        <w:rPr>
          <w:rFonts w:ascii="Times New Roman" w:hAnsi="Times New Roman" w:cs="Times New Roman"/>
          <w:b/>
          <w:bCs/>
          <w:color w:val="000000" w:themeColor="text1"/>
        </w:rPr>
      </w:pPr>
      <w:r w:rsidRPr="00700474">
        <w:rPr>
          <w:rFonts w:ascii="Times New Roman" w:hAnsi="Times New Roman" w:cs="Times New Roman"/>
          <w:b/>
          <w:bCs/>
          <w:i/>
          <w:iCs/>
          <w:color w:val="000000" w:themeColor="text1"/>
        </w:rPr>
        <w:t>Methodological Gap</w:t>
      </w:r>
    </w:p>
    <w:p w14:paraId="7E015737" w14:textId="11C4D776" w:rsidR="008B1030" w:rsidRPr="00700474" w:rsidRDefault="008B1030" w:rsidP="00170D69">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The methods used for the few existing studies on attitudes towards sanctions in Ghana are quantitative—</w:t>
      </w:r>
      <w:r w:rsidRPr="00700474">
        <w:rPr>
          <w:rFonts w:ascii="Times New Roman" w:hAnsi="Times New Roman" w:cs="Times New Roman"/>
          <w:color w:val="000000" w:themeColor="text1"/>
          <w:kern w:val="0"/>
          <w14:ligatures w14:val="none"/>
        </w:rPr>
        <w:t xml:space="preserve"> </w:t>
      </w:r>
      <w:r w:rsidRPr="00700474">
        <w:rPr>
          <w:rFonts w:ascii="Times New Roman" w:hAnsi="Times New Roman" w:cs="Times New Roman"/>
          <w:color w:val="000000" w:themeColor="text1"/>
        </w:rPr>
        <w:t>collecting and analyzing numerical data to identify patterns, test hypotheses, or measure variables and mixed— combining quantitative and qualitative approaches in a single study to provide a more comprehensive understanding of the research problem.</w:t>
      </w:r>
      <w:r w:rsidR="00170D69" w:rsidRPr="00700474">
        <w:rPr>
          <w:rFonts w:ascii="Times New Roman" w:hAnsi="Times New Roman" w:cs="Times New Roman"/>
          <w:color w:val="000000" w:themeColor="text1"/>
        </w:rPr>
        <w:t xml:space="preserve"> There is however,</w:t>
      </w:r>
      <w:r w:rsidRPr="00700474">
        <w:rPr>
          <w:rFonts w:ascii="Times New Roman" w:hAnsi="Times New Roman" w:cs="Times New Roman"/>
          <w:color w:val="000000" w:themeColor="text1"/>
        </w:rPr>
        <w:t xml:space="preserve"> scant information on research instruments and procedures. In Ofori-Dua et al. (2015) and Awudja et al. (2021), we learn little about what questions were posed besides stating that they used questionnaires. However, it can be inferred from the study that a closed-ended questionnaire was used. Using questionnaires for data collection likely leads to low and inaccurate response rates, given that no interviewer or supervisor is present during the data collection process to provide an explanation where needed by the respondent. Tankebe et al. (2015) used face-to-face surveys for their data collection. Face-to-face surveys may limit the depth of information or responses provided by respondents, leading to unreliable data and making it challenging to explore complex issues. Halm (2020) used a mixed method—an interview guide and a closed-ended questionnaire. </w:t>
      </w:r>
    </w:p>
    <w:p w14:paraId="147BE2B4" w14:textId="2C0CEE78" w:rsidR="008B1030" w:rsidRPr="00700474" w:rsidRDefault="008B1030" w:rsidP="00170D69">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A closed-ended questionnaire generally means that important contextual information and nuanced insights are missed because participants cannot elaborate on their answers. Also, respondents may feel compelled to choose an option that does not accurately reflect their views because the available choices are limited. Also, some respondents tend to agree with statements regardless of their true feelings, leading to biased results. Predefined response options mean the researcher cannot adapt to new or unexpected information that emerges during data collection. </w:t>
      </w:r>
      <w:r w:rsidRPr="00700474">
        <w:rPr>
          <w:rFonts w:ascii="Times New Roman" w:hAnsi="Times New Roman" w:cs="Times New Roman"/>
          <w:color w:val="000000" w:themeColor="text1"/>
        </w:rPr>
        <w:lastRenderedPageBreak/>
        <w:t>Such a protocol also means researchers cannot ask follow-up questions based on initial responses, limiting the ability to explore exciting findings further. When using a closed-ended questionnaire, complex issues can be oversimplified when reduced to a few response options, failing to capture the full extent of participant experiences or opinions. Also, the binary (yes/no) choices used by Tankebe (2015) and Halm 2020—for example, [Do you think non-custodial sentencing can reduce crime in Ghana?]do not capture the spectrum of possible responses and perspectives. To address this methodological gap, my dissertation used qualitative methods. I conducted face-to-face interviews with 100 Ghanaians aged 18 and above with limited questions (See Appendix C). Furthermore, my methodology, framed by the theory of: (a) reasoned action which posits that an individual's behavior is shaped by their intention or the expected outcome as a result of performing the behavior; and (b) narrative criminology which, pays special attention to storytelling in response to questions about punishment and how stories and storytelling influence harm-doing or resistance (Ningard 2018).</w:t>
      </w:r>
    </w:p>
    <w:p w14:paraId="6FB4C178" w14:textId="77777777" w:rsidR="008B1030" w:rsidRPr="00700474" w:rsidRDefault="008B1030" w:rsidP="00170D69">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While the methodological limitations of previous studies highlight challenges in capturing nuanced attitudes toward sanctions, this dissertation builds on these gaps by employing qualitative methods framed by narrative criminology and the theory of reasoned action. This approach explores how expected outcomes and storytelling shape attitudes, contributing to both Ghanaian criminological discourse and broader sub-Saharan African perspectives.</w:t>
      </w:r>
    </w:p>
    <w:p w14:paraId="046F0DA3" w14:textId="77777777" w:rsidR="008B1030" w:rsidRPr="00700474" w:rsidRDefault="008B1030" w:rsidP="00617E03">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Purpose, Goal and Objective of the Study</w:t>
      </w:r>
    </w:p>
    <w:p w14:paraId="336ACF34" w14:textId="165FC5BE"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This dissertation explored people’s attitudes toward sanction and how expected outcome and narratives shape attitudes toward sanctions in Ghana. Sanctions involve negative consequences, by which a social group or some of its members demonstrate that deviant behavior is not acceptable (Rashidi et al 2020). </w:t>
      </w:r>
      <w:r w:rsidR="002A102F" w:rsidRPr="00700474">
        <w:rPr>
          <w:rFonts w:ascii="Times New Roman" w:hAnsi="Times New Roman" w:cs="Times New Roman"/>
          <w:color w:val="000000" w:themeColor="text1"/>
        </w:rPr>
        <w:t xml:space="preserve">Sanctions </w:t>
      </w:r>
      <w:r w:rsidR="003C3E60" w:rsidRPr="00700474">
        <w:rPr>
          <w:rFonts w:ascii="Times New Roman" w:hAnsi="Times New Roman" w:cs="Times New Roman"/>
          <w:color w:val="000000" w:themeColor="text1"/>
        </w:rPr>
        <w:t>ensure that members</w:t>
      </w:r>
      <w:r w:rsidR="002A102F" w:rsidRPr="00700474">
        <w:rPr>
          <w:rFonts w:ascii="Times New Roman" w:hAnsi="Times New Roman" w:cs="Times New Roman"/>
          <w:color w:val="000000" w:themeColor="text1"/>
        </w:rPr>
        <w:t xml:space="preserve"> </w:t>
      </w:r>
      <w:r w:rsidR="003C3E60" w:rsidRPr="00700474">
        <w:rPr>
          <w:rFonts w:ascii="Times New Roman" w:hAnsi="Times New Roman" w:cs="Times New Roman"/>
          <w:color w:val="000000" w:themeColor="text1"/>
        </w:rPr>
        <w:t xml:space="preserve">of a community </w:t>
      </w:r>
      <w:r w:rsidR="002A102F" w:rsidRPr="00700474">
        <w:rPr>
          <w:rFonts w:ascii="Times New Roman" w:hAnsi="Times New Roman" w:cs="Times New Roman"/>
          <w:color w:val="000000" w:themeColor="text1"/>
        </w:rPr>
        <w:t xml:space="preserve">uphold social </w:t>
      </w:r>
      <w:r w:rsidR="002A102F" w:rsidRPr="00700474">
        <w:rPr>
          <w:rFonts w:ascii="Times New Roman" w:hAnsi="Times New Roman" w:cs="Times New Roman"/>
          <w:color w:val="000000" w:themeColor="text1"/>
        </w:rPr>
        <w:lastRenderedPageBreak/>
        <w:t xml:space="preserve">norms within </w:t>
      </w:r>
      <w:r w:rsidR="003C3E60" w:rsidRPr="00700474">
        <w:rPr>
          <w:rFonts w:ascii="Times New Roman" w:hAnsi="Times New Roman" w:cs="Times New Roman"/>
          <w:color w:val="000000" w:themeColor="text1"/>
        </w:rPr>
        <w:t xml:space="preserve">the </w:t>
      </w:r>
      <w:r w:rsidR="002A102F" w:rsidRPr="00700474">
        <w:rPr>
          <w:rFonts w:ascii="Times New Roman" w:hAnsi="Times New Roman" w:cs="Times New Roman"/>
          <w:color w:val="000000" w:themeColor="text1"/>
        </w:rPr>
        <w:t xml:space="preserve">group. </w:t>
      </w:r>
      <w:r w:rsidR="003C3E60" w:rsidRPr="00700474">
        <w:rPr>
          <w:rFonts w:ascii="Times New Roman" w:hAnsi="Times New Roman" w:cs="Times New Roman"/>
          <w:color w:val="000000" w:themeColor="text1"/>
        </w:rPr>
        <w:t>They</w:t>
      </w:r>
      <w:r w:rsidR="002A102F" w:rsidRPr="00700474">
        <w:rPr>
          <w:rFonts w:ascii="Times New Roman" w:hAnsi="Times New Roman" w:cs="Times New Roman"/>
          <w:color w:val="000000" w:themeColor="text1"/>
        </w:rPr>
        <w:t xml:space="preserve"> enable members to express disapproval of behaviors that deviate from established norms </w:t>
      </w:r>
      <w:r w:rsidRPr="00700474">
        <w:rPr>
          <w:rFonts w:ascii="Times New Roman" w:hAnsi="Times New Roman" w:cs="Times New Roman"/>
          <w:color w:val="000000" w:themeColor="text1"/>
        </w:rPr>
        <w:t>(Rashidi et al 2020). When a person has not internalized a norm, society resorts to threats of sanctions to motivate his or her conformity. Sanctions can be formal or informal</w:t>
      </w:r>
      <w:r w:rsidR="00460431" w:rsidRPr="00700474">
        <w:rPr>
          <w:rFonts w:ascii="Times New Roman" w:hAnsi="Times New Roman" w:cs="Times New Roman"/>
          <w:color w:val="000000" w:themeColor="text1"/>
        </w:rPr>
        <w:t>: f</w:t>
      </w:r>
      <w:r w:rsidRPr="00700474">
        <w:rPr>
          <w:rFonts w:ascii="Times New Roman" w:hAnsi="Times New Roman" w:cs="Times New Roman"/>
          <w:color w:val="000000" w:themeColor="text1"/>
        </w:rPr>
        <w:t>ormal sanction – a punishment for breaking a law or written rule and informal sanction – a punishment for breaking an informal rule, imposed by people around you</w:t>
      </w:r>
      <w:r w:rsidR="003C3E60" w:rsidRPr="00700474">
        <w:rPr>
          <w:rFonts w:ascii="Times New Roman" w:hAnsi="Times New Roman" w:cs="Times New Roman"/>
          <w:color w:val="000000" w:themeColor="text1"/>
        </w:rPr>
        <w:t xml:space="preserve"> (Rashidi et al 2020)</w:t>
      </w:r>
      <w:r w:rsidRPr="00700474">
        <w:rPr>
          <w:rFonts w:ascii="Times New Roman" w:hAnsi="Times New Roman" w:cs="Times New Roman"/>
          <w:color w:val="000000" w:themeColor="text1"/>
        </w:rPr>
        <w:t>. By examining attitudes toward sanctions in Ghana, this dissertation contributes to a deeper understanding of how societal norms and mechanisms of social control shape individual and collective behaviors, offering insights that are both culturally specific and universally relevant.</w:t>
      </w:r>
    </w:p>
    <w:p w14:paraId="239BBF15" w14:textId="77777777" w:rsidR="008B1030" w:rsidRPr="00700474" w:rsidRDefault="008B1030" w:rsidP="00617E03">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Research Questions</w:t>
      </w:r>
    </w:p>
    <w:p w14:paraId="28FE3D28"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The questions this study sought to interrogate are:</w:t>
      </w:r>
    </w:p>
    <w:p w14:paraId="127BA11B" w14:textId="077E1B3F" w:rsidR="00460431" w:rsidRPr="00700474" w:rsidRDefault="00460431" w:rsidP="00460431">
      <w:pPr>
        <w:pStyle w:val="NoSpacing"/>
        <w:numPr>
          <w:ilvl w:val="0"/>
          <w:numId w:val="14"/>
        </w:numPr>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What attitudes towards sanctions for alleged wrongdoing/harm do people in Ghana express? (</w:t>
      </w:r>
      <w:r w:rsidR="00D94F19" w:rsidRPr="00700474">
        <w:rPr>
          <w:rFonts w:ascii="Times New Roman" w:hAnsi="Times New Roman" w:cs="Times New Roman"/>
          <w:color w:val="000000" w:themeColor="text1"/>
        </w:rPr>
        <w:t>f</w:t>
      </w:r>
      <w:r w:rsidRPr="00700474">
        <w:rPr>
          <w:rFonts w:ascii="Times New Roman" w:hAnsi="Times New Roman" w:cs="Times New Roman"/>
          <w:color w:val="000000" w:themeColor="text1"/>
        </w:rPr>
        <w:t xml:space="preserve">ormal, </w:t>
      </w:r>
      <w:r w:rsidR="00D94F19" w:rsidRPr="00700474">
        <w:rPr>
          <w:rFonts w:ascii="Times New Roman" w:hAnsi="Times New Roman" w:cs="Times New Roman"/>
          <w:color w:val="000000" w:themeColor="text1"/>
        </w:rPr>
        <w:t>i</w:t>
      </w:r>
      <w:r w:rsidRPr="00700474">
        <w:rPr>
          <w:rFonts w:ascii="Times New Roman" w:hAnsi="Times New Roman" w:cs="Times New Roman"/>
          <w:color w:val="000000" w:themeColor="text1"/>
        </w:rPr>
        <w:t xml:space="preserve">nformal, </w:t>
      </w:r>
      <w:r w:rsidR="00D94F19" w:rsidRPr="00700474">
        <w:rPr>
          <w:rFonts w:ascii="Times New Roman" w:hAnsi="Times New Roman" w:cs="Times New Roman"/>
          <w:color w:val="000000" w:themeColor="text1"/>
        </w:rPr>
        <w:t>e</w:t>
      </w:r>
      <w:r w:rsidRPr="00700474">
        <w:rPr>
          <w:rFonts w:ascii="Times New Roman" w:hAnsi="Times New Roman" w:cs="Times New Roman"/>
          <w:color w:val="000000" w:themeColor="text1"/>
        </w:rPr>
        <w:t>xtra-</w:t>
      </w:r>
      <w:r w:rsidR="00D94F19" w:rsidRPr="00700474">
        <w:rPr>
          <w:rFonts w:ascii="Times New Roman" w:hAnsi="Times New Roman" w:cs="Times New Roman"/>
          <w:color w:val="000000" w:themeColor="text1"/>
        </w:rPr>
        <w:t>l</w:t>
      </w:r>
      <w:r w:rsidRPr="00700474">
        <w:rPr>
          <w:rFonts w:ascii="Times New Roman" w:hAnsi="Times New Roman" w:cs="Times New Roman"/>
          <w:color w:val="000000" w:themeColor="text1"/>
        </w:rPr>
        <w:t>egal) </w:t>
      </w:r>
    </w:p>
    <w:p w14:paraId="2BE03C70" w14:textId="77777777" w:rsidR="00460431" w:rsidRPr="00700474" w:rsidRDefault="00460431" w:rsidP="00460431">
      <w:pPr>
        <w:pStyle w:val="NoSpacing"/>
        <w:numPr>
          <w:ilvl w:val="0"/>
          <w:numId w:val="14"/>
        </w:numPr>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How do they narrate such attitudes?</w:t>
      </w:r>
    </w:p>
    <w:p w14:paraId="3E86E2F7" w14:textId="77777777" w:rsidR="008B1030" w:rsidRPr="00700474" w:rsidRDefault="008B1030" w:rsidP="00617E03">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Organization of chapters</w:t>
      </w:r>
    </w:p>
    <w:p w14:paraId="57BE04E8" w14:textId="1FC24B45" w:rsidR="008B1030" w:rsidRPr="00700474" w:rsidRDefault="008B1030" w:rsidP="00170D69">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The study is presented in seven chapters. Chapter 1 presented the introductory component—background of the study, the research goals, research questions and the aims and objectives of the study. I established that very few studies have investigated attitudes toward sanctions in Ghana, whether formal, informal, or illegal. Therefore, there exists an empirical gap in the criminological study of attitudes toward sanctions in Africa and, for that matter, Ghana. Chapter 2 reviews relevant works and the theoretical perspectives underpinning the research</w:t>
      </w:r>
      <w:r w:rsidR="00170D69" w:rsidRPr="00700474">
        <w:rPr>
          <w:rFonts w:ascii="Times New Roman" w:hAnsi="Times New Roman" w:cs="Times New Roman"/>
          <w:color w:val="000000" w:themeColor="text1"/>
        </w:rPr>
        <w:t xml:space="preserve"> </w:t>
      </w:r>
      <w:r w:rsidRPr="00700474">
        <w:rPr>
          <w:rFonts w:ascii="Times New Roman" w:hAnsi="Times New Roman" w:cs="Times New Roman"/>
          <w:color w:val="000000" w:themeColor="text1"/>
        </w:rPr>
        <w:t xml:space="preserve">— (a) theory of reasoned action and (b) narrative criminology. Chapter 3 is the discussion of the research methodology, including the </w:t>
      </w:r>
      <w:r w:rsidRPr="00700474">
        <w:rPr>
          <w:rFonts w:ascii="Times New Roman" w:hAnsi="Times New Roman" w:cs="Times New Roman"/>
          <w:strike/>
          <w:color w:val="000000" w:themeColor="text1"/>
        </w:rPr>
        <w:t>—</w:t>
      </w:r>
      <w:r w:rsidRPr="00700474">
        <w:rPr>
          <w:rFonts w:ascii="Times New Roman" w:hAnsi="Times New Roman" w:cs="Times New Roman"/>
          <w:color w:val="000000" w:themeColor="text1"/>
        </w:rPr>
        <w:t xml:space="preserve"> research design, data collection, sampling techniques, data </w:t>
      </w:r>
      <w:r w:rsidRPr="00700474">
        <w:rPr>
          <w:rFonts w:ascii="Times New Roman" w:hAnsi="Times New Roman" w:cs="Times New Roman"/>
          <w:color w:val="000000" w:themeColor="text1"/>
        </w:rPr>
        <w:lastRenderedPageBreak/>
        <w:t xml:space="preserve">analysis techniques, ethical considerations and approval. The chapter also highlights the challenges encountered in the field, which sometimes required that I alter or, in some cases, abandon my initial plan or schedule for data collection. For instance, I planned to have interviews in private spaces such as participants’ homes, but it turned out that all participants preferred having the interview in a public space, such as a shared office space. Then, three chapters of findings follow—Chapter 4 reported on findings on attitudes towards formal sanctions, where participants describe legal sanctions as legitimate. However, the legitimacy participants ascribed to criminal legal punishment may be described as “technical” given that participants’ responses suggested that although they recognized the existence of criminal legal punishment, they may not utilize it because the existence of the legal institution and punishment, they perceive, is only an indication that Ghana is modern and complies to global standards of adjudication and thus irrelevant to their context or needs. </w:t>
      </w:r>
    </w:p>
    <w:p w14:paraId="2FCF16B1" w14:textId="0F7676BD" w:rsidR="008B1030" w:rsidRPr="00700474" w:rsidRDefault="008B1030" w:rsidP="00170D69">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Chapter 5 discussed findings on attitudes towards informal sanctions, respondents’ endorsed of informal sanctions, each with unique caveats or justifications. Those who offered caveats against the use of informal sanctions such as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explained that although they acknowledge the perceived efficacy of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on children in achieving immediate compliance or discipline, they may not practice it due to ethical considerations, potential psychological harm, and their strong beliefs in alternative disciplinary methods. Others also expressed ambivalence about using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due to existing legal contradictions and their religious association and beliefs. Those who justified using informal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argued that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deters undesirable behavior, reforms individuals, and corrects misconduct. Also, it conditions individuals to associate certain behaviors with adverse outcomes, preventing one from engaging in or repeating proscribed </w:t>
      </w:r>
      <w:r w:rsidRPr="00700474">
        <w:rPr>
          <w:rFonts w:ascii="Times New Roman" w:hAnsi="Times New Roman" w:cs="Times New Roman"/>
          <w:color w:val="000000" w:themeColor="text1"/>
        </w:rPr>
        <w:lastRenderedPageBreak/>
        <w:t>actions. Chapter 6 reported on participants’ attitudes toward illegal sanctions such as mob justice, where participants cite judicial and police corruption, an upsurge of crime amidst a lack of security provided by security agencies such as the police, imperialism, the quest for immediate justice or retribution for perceived wrongs, as the cause of the rise in mob justice in Ghana. The various justifications provided by participants for the use of mob justice highlighted the sense of empowerment and control over their environment. This empowerment allowed them to take direct action against perceived injustices, a psychologically gratifying experience. Finally, Chapter 7 offers conclusions and recommendations, underlining the significance of the study's findings.</w:t>
      </w:r>
    </w:p>
    <w:p w14:paraId="5A9CAC20" w14:textId="77777777" w:rsidR="008B1030" w:rsidRPr="00700474" w:rsidRDefault="008B1030" w:rsidP="00170D69">
      <w:pPr>
        <w:spacing w:after="160"/>
        <w:jc w:val="left"/>
        <w:rPr>
          <w:rFonts w:eastAsiaTheme="majorEastAsia"/>
          <w:b/>
          <w:bCs/>
        </w:rPr>
      </w:pPr>
      <w:r w:rsidRPr="00700474">
        <w:rPr>
          <w:b/>
          <w:bCs/>
        </w:rPr>
        <w:br w:type="page"/>
      </w:r>
    </w:p>
    <w:p w14:paraId="08D789AA" w14:textId="0C4C56DE" w:rsidR="00170D69" w:rsidRPr="00700474" w:rsidRDefault="005A68CE" w:rsidP="00D60FF5">
      <w:pPr>
        <w:pStyle w:val="Heading1"/>
        <w:spacing w:before="0" w:after="0"/>
        <w:rPr>
          <w:rFonts w:ascii="Times New Roman" w:hAnsi="Times New Roman" w:cs="Times New Roman"/>
          <w:b/>
          <w:bCs/>
          <w:color w:val="000000" w:themeColor="text1"/>
          <w:sz w:val="24"/>
          <w:szCs w:val="24"/>
        </w:rPr>
      </w:pPr>
      <w:bookmarkStart w:id="0" w:name="_Toc204092872"/>
      <w:r w:rsidRPr="00700474">
        <w:rPr>
          <w:rFonts w:ascii="Times New Roman" w:hAnsi="Times New Roman" w:cs="Times New Roman"/>
          <w:b/>
          <w:bCs/>
          <w:color w:val="000000" w:themeColor="text1"/>
          <w:sz w:val="24"/>
          <w:szCs w:val="24"/>
        </w:rPr>
        <w:lastRenderedPageBreak/>
        <w:t>CHAPTER TWO</w:t>
      </w:r>
      <w:bookmarkEnd w:id="0"/>
      <w:r w:rsidR="00F97C78" w:rsidRPr="00700474">
        <w:rPr>
          <w:rFonts w:ascii="Times New Roman" w:hAnsi="Times New Roman" w:cs="Times New Roman"/>
          <w:b/>
          <w:bCs/>
          <w:color w:val="000000" w:themeColor="text1"/>
          <w:sz w:val="24"/>
          <w:szCs w:val="24"/>
        </w:rPr>
        <w:tab/>
      </w:r>
    </w:p>
    <w:p w14:paraId="1E0384EC" w14:textId="02D38D11" w:rsidR="00815753" w:rsidRPr="00700474" w:rsidRDefault="008B1030" w:rsidP="00D60FF5">
      <w:pPr>
        <w:pStyle w:val="Heading1"/>
        <w:spacing w:before="0" w:after="0"/>
        <w:rPr>
          <w:rFonts w:ascii="Times New Roman" w:hAnsi="Times New Roman" w:cs="Times New Roman"/>
          <w:b/>
          <w:bCs/>
          <w:color w:val="000000" w:themeColor="text1"/>
          <w:sz w:val="24"/>
          <w:szCs w:val="24"/>
        </w:rPr>
      </w:pPr>
      <w:bookmarkStart w:id="1" w:name="_Toc204092873"/>
      <w:r w:rsidRPr="00700474">
        <w:rPr>
          <w:rFonts w:ascii="Times New Roman" w:hAnsi="Times New Roman" w:cs="Times New Roman"/>
          <w:b/>
          <w:bCs/>
          <w:color w:val="000000" w:themeColor="text1"/>
          <w:sz w:val="24"/>
          <w:szCs w:val="24"/>
        </w:rPr>
        <w:t>SANCTIONS IN GHANA, THEORY AND KNOWLEDGE OF ATTITUDES AROUND PUNISHMENT</w:t>
      </w:r>
      <w:bookmarkEnd w:id="1"/>
    </w:p>
    <w:p w14:paraId="7B8A210F" w14:textId="77777777" w:rsidR="008B1030" w:rsidRPr="00700474" w:rsidRDefault="008B1030" w:rsidP="00D60FF5">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In this chapter, I delve into bodies of literature pertinent to attitudes toward sanctions in Ghana. The literature review establishes a foundation for exploring new and uncharted dimensions and identifying gaps that warrant my approach to attitudes towards sanctions in Ghana. </w:t>
      </w:r>
    </w:p>
    <w:p w14:paraId="4D4D73A8" w14:textId="2E0D1D8D" w:rsidR="008B1030" w:rsidRPr="00700474" w:rsidRDefault="008B1030" w:rsidP="00D60FF5">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The chapter begins by exploring the historical evolution of sanctions in Ghana. This section outlines significant shifts from traditional legal systems to contemporary legal frameworks, highlighting how colonization has influenced changes over time. Next, I review existing empirical research on societal attitudes towards various forms of sanctions—incarceration, fines, and community service. Then, I examine key theoretical perspectives related to sanctioning. Among these are deterrence theory, retributive theory, rehabilitation theory, and restorative justice models—all offering differing lenses to guide our actions in punishing offenders and the objectives we aim to achieve through these actions. Finally, theoretical views and explanations of attitudes toward sanctions are provided.</w:t>
      </w:r>
    </w:p>
    <w:p w14:paraId="2F5AD2F7" w14:textId="4A7C541B" w:rsidR="008B1030" w:rsidRPr="00700474" w:rsidRDefault="008B1030" w:rsidP="00D60FF5">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 xml:space="preserve">The Historical Evolution of Sanctions </w:t>
      </w:r>
      <w:r w:rsidR="004D6FEC" w:rsidRPr="00700474">
        <w:rPr>
          <w:rFonts w:ascii="Times New Roman" w:hAnsi="Times New Roman" w:cs="Times New Roman"/>
          <w:b/>
          <w:bCs/>
          <w:color w:val="000000" w:themeColor="text1"/>
        </w:rPr>
        <w:t>in Ghana</w:t>
      </w:r>
    </w:p>
    <w:p w14:paraId="4A5C2CE4" w14:textId="0E9BA86C" w:rsidR="008B1030" w:rsidRPr="00700474" w:rsidRDefault="008B1030" w:rsidP="00D60FF5">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 xml:space="preserve">Indigenous </w:t>
      </w:r>
      <w:r w:rsidR="003C3E60" w:rsidRPr="00700474">
        <w:rPr>
          <w:rFonts w:ascii="Times New Roman" w:hAnsi="Times New Roman" w:cs="Times New Roman"/>
          <w:b/>
          <w:bCs/>
          <w:i/>
          <w:iCs/>
          <w:color w:val="000000" w:themeColor="text1"/>
        </w:rPr>
        <w:t>Legal System</w:t>
      </w:r>
      <w:r w:rsidRPr="00700474">
        <w:rPr>
          <w:rFonts w:ascii="Times New Roman" w:hAnsi="Times New Roman" w:cs="Times New Roman"/>
          <w:b/>
          <w:bCs/>
          <w:i/>
          <w:iCs/>
          <w:color w:val="000000" w:themeColor="text1"/>
        </w:rPr>
        <w:t xml:space="preserve"> and Sanctio</w:t>
      </w:r>
      <w:r w:rsidR="003C3E60" w:rsidRPr="00700474">
        <w:rPr>
          <w:rFonts w:ascii="Times New Roman" w:hAnsi="Times New Roman" w:cs="Times New Roman"/>
          <w:b/>
          <w:bCs/>
          <w:i/>
          <w:iCs/>
          <w:color w:val="000000" w:themeColor="text1"/>
        </w:rPr>
        <w:t>ns</w:t>
      </w:r>
    </w:p>
    <w:p w14:paraId="130B2017" w14:textId="77777777" w:rsidR="00E62582" w:rsidRPr="00700474" w:rsidRDefault="008B1030" w:rsidP="00D60FF5">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Ghana’s criminal legal system, which replaced the traditional and informal systems operated in the precolonial Gold Coast, is primarily </w:t>
      </w:r>
      <w:r w:rsidR="004D6FEC" w:rsidRPr="00700474">
        <w:rPr>
          <w:rFonts w:ascii="Times New Roman" w:hAnsi="Times New Roman" w:cs="Times New Roman"/>
          <w:color w:val="000000" w:themeColor="text1"/>
        </w:rPr>
        <w:t>grounded</w:t>
      </w:r>
      <w:r w:rsidRPr="00700474">
        <w:rPr>
          <w:rFonts w:ascii="Times New Roman" w:hAnsi="Times New Roman" w:cs="Times New Roman"/>
          <w:color w:val="000000" w:themeColor="text1"/>
        </w:rPr>
        <w:t xml:space="preserve"> on the English/British Common Law system. The British, through the Bond of 1844 marked introduced the Common Law System that gradually supplanted the existing, albeit fragmented, native or traditional </w:t>
      </w:r>
      <w:r w:rsidR="00845A00" w:rsidRPr="00700474">
        <w:rPr>
          <w:rFonts w:ascii="Times New Roman" w:hAnsi="Times New Roman" w:cs="Times New Roman"/>
          <w:color w:val="000000" w:themeColor="text1"/>
        </w:rPr>
        <w:t>systems</w:t>
      </w:r>
      <w:r w:rsidRPr="00700474">
        <w:rPr>
          <w:rFonts w:ascii="Times New Roman" w:hAnsi="Times New Roman" w:cs="Times New Roman"/>
          <w:color w:val="000000" w:themeColor="text1"/>
        </w:rPr>
        <w:t xml:space="preserve"> of justice. </w:t>
      </w:r>
      <w:r w:rsidR="00845A00" w:rsidRPr="00700474">
        <w:rPr>
          <w:rFonts w:ascii="Times New Roman" w:hAnsi="Times New Roman" w:cs="Times New Roman"/>
          <w:color w:val="000000" w:themeColor="text1"/>
        </w:rPr>
        <w:t>This</w:t>
      </w:r>
      <w:r w:rsidRPr="00700474">
        <w:rPr>
          <w:rFonts w:ascii="Times New Roman" w:hAnsi="Times New Roman" w:cs="Times New Roman"/>
          <w:color w:val="000000" w:themeColor="text1"/>
        </w:rPr>
        <w:t xml:space="preserve"> colonial influence reshaped </w:t>
      </w:r>
      <w:r w:rsidR="00845A00" w:rsidRPr="00700474">
        <w:rPr>
          <w:rFonts w:ascii="Times New Roman" w:hAnsi="Times New Roman" w:cs="Times New Roman"/>
          <w:color w:val="000000" w:themeColor="text1"/>
        </w:rPr>
        <w:t>the</w:t>
      </w:r>
      <w:r w:rsidRPr="00700474">
        <w:rPr>
          <w:rFonts w:ascii="Times New Roman" w:hAnsi="Times New Roman" w:cs="Times New Roman"/>
          <w:color w:val="000000" w:themeColor="text1"/>
        </w:rPr>
        <w:t xml:space="preserve"> legal landscape </w:t>
      </w:r>
      <w:r w:rsidR="00845A00" w:rsidRPr="00700474">
        <w:rPr>
          <w:rFonts w:ascii="Times New Roman" w:hAnsi="Times New Roman" w:cs="Times New Roman"/>
          <w:color w:val="000000" w:themeColor="text1"/>
        </w:rPr>
        <w:t>of</w:t>
      </w:r>
      <w:r w:rsidRPr="00700474">
        <w:rPr>
          <w:rFonts w:ascii="Times New Roman" w:hAnsi="Times New Roman" w:cs="Times New Roman"/>
          <w:color w:val="000000" w:themeColor="text1"/>
        </w:rPr>
        <w:t xml:space="preserve"> the Gold Coast, which covered about 24,000 square miles (Thomas 1944). </w:t>
      </w:r>
      <w:r w:rsidR="00845A00" w:rsidRPr="00700474">
        <w:rPr>
          <w:rFonts w:ascii="Times New Roman" w:hAnsi="Times New Roman" w:cs="Times New Roman"/>
          <w:color w:val="000000" w:themeColor="text1"/>
        </w:rPr>
        <w:t>The Gold Coast Colony</w:t>
      </w:r>
      <w:r w:rsidRPr="00700474">
        <w:rPr>
          <w:rFonts w:ascii="Times New Roman" w:hAnsi="Times New Roman" w:cs="Times New Roman"/>
          <w:color w:val="000000" w:themeColor="text1"/>
        </w:rPr>
        <w:t xml:space="preserve"> comprised </w:t>
      </w:r>
      <w:r w:rsidR="00845A00" w:rsidRPr="00700474">
        <w:rPr>
          <w:rFonts w:ascii="Times New Roman" w:hAnsi="Times New Roman" w:cs="Times New Roman"/>
          <w:color w:val="000000" w:themeColor="text1"/>
        </w:rPr>
        <w:t>various</w:t>
      </w:r>
      <w:r w:rsidRPr="00700474">
        <w:rPr>
          <w:rFonts w:ascii="Times New Roman" w:hAnsi="Times New Roman" w:cs="Times New Roman"/>
          <w:color w:val="000000" w:themeColor="text1"/>
        </w:rPr>
        <w:t xml:space="preserve"> </w:t>
      </w:r>
      <w:r w:rsidR="00845A00" w:rsidRPr="00700474">
        <w:rPr>
          <w:rFonts w:ascii="Times New Roman" w:hAnsi="Times New Roman" w:cs="Times New Roman"/>
          <w:color w:val="000000" w:themeColor="text1"/>
        </w:rPr>
        <w:t>independent</w:t>
      </w:r>
      <w:r w:rsidRPr="00700474">
        <w:rPr>
          <w:rFonts w:ascii="Times New Roman" w:hAnsi="Times New Roman" w:cs="Times New Roman"/>
          <w:color w:val="000000" w:themeColor="text1"/>
        </w:rPr>
        <w:t xml:space="preserve"> ethnic </w:t>
      </w:r>
      <w:r w:rsidRPr="00700474">
        <w:rPr>
          <w:rFonts w:ascii="Times New Roman" w:hAnsi="Times New Roman" w:cs="Times New Roman"/>
          <w:color w:val="000000" w:themeColor="text1"/>
        </w:rPr>
        <w:lastRenderedPageBreak/>
        <w:t xml:space="preserve">states with </w:t>
      </w:r>
      <w:r w:rsidR="00845A00" w:rsidRPr="00700474">
        <w:rPr>
          <w:rFonts w:ascii="Times New Roman" w:hAnsi="Times New Roman" w:cs="Times New Roman"/>
          <w:color w:val="000000" w:themeColor="text1"/>
        </w:rPr>
        <w:t>unique</w:t>
      </w:r>
      <w:r w:rsidRPr="00700474">
        <w:rPr>
          <w:rFonts w:ascii="Times New Roman" w:hAnsi="Times New Roman" w:cs="Times New Roman"/>
          <w:color w:val="000000" w:themeColor="text1"/>
        </w:rPr>
        <w:t xml:space="preserve"> </w:t>
      </w:r>
      <w:r w:rsidR="00845A00" w:rsidRPr="00700474">
        <w:rPr>
          <w:rFonts w:ascii="Times New Roman" w:hAnsi="Times New Roman" w:cs="Times New Roman"/>
          <w:color w:val="000000" w:themeColor="text1"/>
        </w:rPr>
        <w:t>constitutional regimes and coalitions</w:t>
      </w:r>
      <w:r w:rsidRPr="00700474">
        <w:rPr>
          <w:rFonts w:ascii="Times New Roman" w:hAnsi="Times New Roman" w:cs="Times New Roman"/>
          <w:color w:val="000000" w:themeColor="text1"/>
        </w:rPr>
        <w:t xml:space="preserve">. </w:t>
      </w:r>
      <w:r w:rsidR="00845A00" w:rsidRPr="00700474">
        <w:rPr>
          <w:rFonts w:ascii="Times New Roman" w:hAnsi="Times New Roman" w:cs="Times New Roman"/>
          <w:color w:val="000000" w:themeColor="text1"/>
        </w:rPr>
        <w:t>Examples of these ethnic groups include but not limited to</w:t>
      </w:r>
      <w:r w:rsidRPr="00700474">
        <w:rPr>
          <w:rFonts w:ascii="Times New Roman" w:hAnsi="Times New Roman" w:cs="Times New Roman"/>
          <w:color w:val="000000" w:themeColor="text1"/>
        </w:rPr>
        <w:t>—</w:t>
      </w:r>
      <w:r w:rsidR="00845A00" w:rsidRPr="00700474">
        <w:rPr>
          <w:rFonts w:ascii="Times New Roman" w:hAnsi="Times New Roman" w:cs="Times New Roman"/>
          <w:color w:val="000000" w:themeColor="text1"/>
        </w:rPr>
        <w:t>the Ashantis, Fantis</w:t>
      </w:r>
      <w:r w:rsidRPr="00700474">
        <w:rPr>
          <w:rFonts w:ascii="Times New Roman" w:hAnsi="Times New Roman" w:cs="Times New Roman"/>
          <w:color w:val="000000" w:themeColor="text1"/>
        </w:rPr>
        <w:t xml:space="preserve"> and Gas. </w:t>
      </w:r>
      <w:r w:rsidR="00845A00" w:rsidRPr="00700474">
        <w:rPr>
          <w:rFonts w:ascii="Times New Roman" w:hAnsi="Times New Roman" w:cs="Times New Roman"/>
          <w:color w:val="000000" w:themeColor="text1"/>
        </w:rPr>
        <w:t>Subsistence agriculture was the basic mode of production in Gold Coast before the advent of imperialist rule. Also, the Gold Coast had its own distinct cultural practices and institutions</w:t>
      </w:r>
      <w:r w:rsidRPr="00700474">
        <w:rPr>
          <w:rFonts w:ascii="Times New Roman" w:hAnsi="Times New Roman" w:cs="Times New Roman"/>
          <w:color w:val="000000" w:themeColor="text1"/>
        </w:rPr>
        <w:t xml:space="preserve"> </w:t>
      </w:r>
      <w:r w:rsidR="007F60B4" w:rsidRPr="00700474">
        <w:rPr>
          <w:rFonts w:ascii="Times New Roman" w:hAnsi="Times New Roman" w:cs="Times New Roman"/>
          <w:color w:val="000000" w:themeColor="text1"/>
        </w:rPr>
        <w:t xml:space="preserve">(Seidman and Abaka-Eyison 2024). </w:t>
      </w:r>
      <w:r w:rsidR="00E62582" w:rsidRPr="00700474">
        <w:rPr>
          <w:rFonts w:ascii="Times New Roman" w:hAnsi="Times New Roman" w:cs="Times New Roman"/>
          <w:color w:val="000000" w:themeColor="text1"/>
        </w:rPr>
        <w:t>Being culturally diverse, the various ethnic groups in the Gold Coast had cultural or customary norms that were unique to each community.</w:t>
      </w:r>
    </w:p>
    <w:p w14:paraId="0460928C" w14:textId="74A2FCDF" w:rsidR="007F60B4" w:rsidRPr="00700474" w:rsidRDefault="008B1030" w:rsidP="00E62582">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A traditional ruler and a body of elders tried all alleged offenses. At the same time, other cases not involving violations of customary practices and taboos were collectively settled privately and unofficially by the </w:t>
      </w:r>
      <w:r w:rsidR="00E62582" w:rsidRPr="00700474">
        <w:rPr>
          <w:rFonts w:ascii="Times New Roman" w:hAnsi="Times New Roman" w:cs="Times New Roman"/>
          <w:color w:val="000000" w:themeColor="text1"/>
        </w:rPr>
        <w:t xml:space="preserve">feuding parties and the communities </w:t>
      </w:r>
      <w:r w:rsidRPr="00700474">
        <w:rPr>
          <w:rFonts w:ascii="Times New Roman" w:hAnsi="Times New Roman" w:cs="Times New Roman"/>
          <w:color w:val="000000" w:themeColor="text1"/>
        </w:rPr>
        <w:t xml:space="preserve">to ensure that sanctions did not socially </w:t>
      </w:r>
      <w:r w:rsidR="00E62582" w:rsidRPr="00700474">
        <w:rPr>
          <w:rFonts w:ascii="Times New Roman" w:hAnsi="Times New Roman" w:cs="Times New Roman"/>
          <w:color w:val="000000" w:themeColor="text1"/>
        </w:rPr>
        <w:t>isolate</w:t>
      </w:r>
      <w:r w:rsidRPr="00700474">
        <w:rPr>
          <w:rFonts w:ascii="Times New Roman" w:hAnsi="Times New Roman" w:cs="Times New Roman"/>
          <w:color w:val="000000" w:themeColor="text1"/>
        </w:rPr>
        <w:t xml:space="preserve"> the </w:t>
      </w:r>
      <w:r w:rsidR="00E62582" w:rsidRPr="00700474">
        <w:rPr>
          <w:rFonts w:ascii="Times New Roman" w:hAnsi="Times New Roman" w:cs="Times New Roman"/>
          <w:color w:val="000000" w:themeColor="text1"/>
        </w:rPr>
        <w:t>wrongdoer</w:t>
      </w:r>
      <w:r w:rsidRPr="00700474">
        <w:rPr>
          <w:rFonts w:ascii="Times New Roman" w:hAnsi="Times New Roman" w:cs="Times New Roman"/>
          <w:color w:val="000000" w:themeColor="text1"/>
        </w:rPr>
        <w:t xml:space="preserve"> from the community</w:t>
      </w:r>
      <w:r w:rsidR="000607F8" w:rsidRPr="00700474">
        <w:rPr>
          <w:rFonts w:ascii="Times New Roman" w:hAnsi="Times New Roman" w:cs="Times New Roman"/>
          <w:color w:val="000000" w:themeColor="text1"/>
        </w:rPr>
        <w:t xml:space="preserve"> (Arthur 1991)</w:t>
      </w:r>
      <w:r w:rsidRPr="00700474">
        <w:rPr>
          <w:rFonts w:ascii="Times New Roman" w:hAnsi="Times New Roman" w:cs="Times New Roman"/>
          <w:color w:val="000000" w:themeColor="text1"/>
        </w:rPr>
        <w:t>. Thus, families and community members resolved conflicts through informal precedents, mechanisms and sanctions, largely unwritten and outside the purview of formal systems, which are primarily written and follow codified legal rules, traditions, and norms. In precolonial Ghana, most societies view</w:t>
      </w:r>
      <w:r w:rsidR="00E62582" w:rsidRPr="00700474">
        <w:rPr>
          <w:rFonts w:ascii="Times New Roman" w:hAnsi="Times New Roman" w:cs="Times New Roman"/>
          <w:color w:val="000000" w:themeColor="text1"/>
        </w:rPr>
        <w:t xml:space="preserve">ed </w:t>
      </w:r>
      <w:r w:rsidRPr="00700474">
        <w:rPr>
          <w:rFonts w:ascii="Times New Roman" w:hAnsi="Times New Roman" w:cs="Times New Roman"/>
          <w:color w:val="000000" w:themeColor="text1"/>
        </w:rPr>
        <w:t xml:space="preserve">the problem of crime </w:t>
      </w:r>
      <w:r w:rsidR="00E62582" w:rsidRPr="00700474">
        <w:rPr>
          <w:rFonts w:ascii="Times New Roman" w:hAnsi="Times New Roman" w:cs="Times New Roman"/>
          <w:color w:val="000000" w:themeColor="text1"/>
        </w:rPr>
        <w:t>as</w:t>
      </w:r>
      <w:r w:rsidRPr="00700474">
        <w:rPr>
          <w:rFonts w:ascii="Times New Roman" w:hAnsi="Times New Roman" w:cs="Times New Roman"/>
          <w:color w:val="000000" w:themeColor="text1"/>
        </w:rPr>
        <w:t xml:space="preserve"> restoring equilibrium. This concept of restoring equilibrium was central to the traditional justice system, where the focus was not on sanctions but on restoring the balance and harmony within the community. </w:t>
      </w:r>
      <w:r w:rsidR="00553A2E" w:rsidRPr="00700474">
        <w:rPr>
          <w:rFonts w:ascii="Times New Roman" w:hAnsi="Times New Roman" w:cs="Times New Roman"/>
          <w:color w:val="000000" w:themeColor="text1"/>
        </w:rPr>
        <w:t xml:space="preserve">Therefore, the primary purpose of criminal law and sanctions was to maintain balance—both spiritually, by ensuring harmony with the gods for continued cycles of harvest, and socially, by fostering communal solidarity in the face of environmental challenges. These dual objectives were deeply embedded in the criminal laws of Ghana’s indigenous ethnic groups. </w:t>
      </w:r>
      <w:bookmarkStart w:id="2" w:name="_Hlk201241275"/>
      <w:r w:rsidR="007F60B4" w:rsidRPr="00700474">
        <w:rPr>
          <w:rFonts w:ascii="Times New Roman" w:hAnsi="Times New Roman" w:cs="Times New Roman"/>
          <w:color w:val="000000" w:themeColor="text1"/>
        </w:rPr>
        <w:t>(Seidman and Abaka-Eyison 2024).</w:t>
      </w:r>
    </w:p>
    <w:p w14:paraId="1577DE55" w14:textId="4C733DD7" w:rsidR="00756300" w:rsidRPr="00700474" w:rsidRDefault="00553A2E" w:rsidP="0075630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Among the tales of northern Ghana, for example, homicide was a</w:t>
      </w:r>
      <w:r w:rsidR="00E62582" w:rsidRPr="00700474">
        <w:rPr>
          <w:rFonts w:ascii="Times New Roman" w:hAnsi="Times New Roman" w:cs="Times New Roman"/>
          <w:color w:val="000000" w:themeColor="text1"/>
        </w:rPr>
        <w:t>n</w:t>
      </w:r>
      <w:r w:rsidRPr="00700474">
        <w:rPr>
          <w:rFonts w:ascii="Times New Roman" w:hAnsi="Times New Roman" w:cs="Times New Roman"/>
          <w:color w:val="000000" w:themeColor="text1"/>
        </w:rPr>
        <w:t xml:space="preserve"> </w:t>
      </w:r>
      <w:r w:rsidR="00E62582" w:rsidRPr="00700474">
        <w:rPr>
          <w:rFonts w:ascii="Times New Roman" w:hAnsi="Times New Roman" w:cs="Times New Roman"/>
          <w:color w:val="000000" w:themeColor="text1"/>
        </w:rPr>
        <w:t>iniquity</w:t>
      </w:r>
      <w:r w:rsidRPr="00700474">
        <w:rPr>
          <w:rFonts w:ascii="Times New Roman" w:hAnsi="Times New Roman" w:cs="Times New Roman"/>
          <w:color w:val="000000" w:themeColor="text1"/>
        </w:rPr>
        <w:t xml:space="preserve"> against the earth, the ancestors and the unity of the victim's </w:t>
      </w:r>
      <w:r w:rsidR="00582921" w:rsidRPr="00700474">
        <w:rPr>
          <w:rFonts w:ascii="Times New Roman" w:hAnsi="Times New Roman" w:cs="Times New Roman"/>
          <w:color w:val="000000" w:themeColor="text1"/>
        </w:rPr>
        <w:t>ancestry</w:t>
      </w:r>
      <w:r w:rsidRPr="00700474">
        <w:rPr>
          <w:rFonts w:ascii="Times New Roman" w:hAnsi="Times New Roman" w:cs="Times New Roman"/>
          <w:color w:val="000000" w:themeColor="text1"/>
        </w:rPr>
        <w:t xml:space="preserve">. </w:t>
      </w:r>
      <w:r w:rsidR="00582921" w:rsidRPr="00700474">
        <w:rPr>
          <w:rFonts w:ascii="Times New Roman" w:hAnsi="Times New Roman" w:cs="Times New Roman"/>
          <w:color w:val="000000" w:themeColor="text1"/>
        </w:rPr>
        <w:t xml:space="preserve">The culprit’s family were required to </w:t>
      </w:r>
      <w:r w:rsidR="00582921" w:rsidRPr="00700474">
        <w:rPr>
          <w:rFonts w:ascii="Times New Roman" w:hAnsi="Times New Roman" w:cs="Times New Roman"/>
          <w:color w:val="000000" w:themeColor="text1"/>
        </w:rPr>
        <w:lastRenderedPageBreak/>
        <w:t xml:space="preserve">offer sacrifices; the victim’s family also contributed to achieving the spiritual and earthly resolution of the crime. </w:t>
      </w:r>
      <w:r w:rsidR="00756300" w:rsidRPr="00700474">
        <w:rPr>
          <w:rFonts w:ascii="Times New Roman" w:hAnsi="Times New Roman" w:cs="Times New Roman"/>
          <w:color w:val="000000" w:themeColor="text1"/>
        </w:rPr>
        <w:t>This dual objective prevailed in the criminal laws of the Ashantis.</w:t>
      </w:r>
    </w:p>
    <w:p w14:paraId="63CF9BC8" w14:textId="400ED322" w:rsidR="00553A2E" w:rsidRPr="00700474" w:rsidRDefault="00756300" w:rsidP="00582921">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Among the Ashantis, offenses such as murder, suicide, serious sexual offences, treason and witchcraft were </w:t>
      </w:r>
      <w:r w:rsidRPr="00700474">
        <w:rPr>
          <w:rFonts w:ascii="Times New Roman" w:hAnsi="Times New Roman" w:cs="Times New Roman"/>
          <w:i/>
          <w:iCs/>
          <w:color w:val="000000" w:themeColor="text1"/>
        </w:rPr>
        <w:t xml:space="preserve">oman akyiwade (taboos of the land) are </w:t>
      </w:r>
      <w:r w:rsidRPr="00700474">
        <w:rPr>
          <w:rFonts w:ascii="Times New Roman" w:hAnsi="Times New Roman" w:cs="Times New Roman"/>
          <w:color w:val="000000" w:themeColor="text1"/>
        </w:rPr>
        <w:t xml:space="preserve">considered serious due to their potential to disrupt the spiritual communion between the community and its ancestors and tribal gods (Seidman and Abaka-Eyison 2024). Thus, to remedy such an offense, the offender may be sacrificed. For </w:t>
      </w:r>
      <w:r w:rsidR="00553A2E" w:rsidRPr="00700474">
        <w:rPr>
          <w:rFonts w:ascii="Times New Roman" w:hAnsi="Times New Roman" w:cs="Times New Roman"/>
          <w:i/>
          <w:iCs/>
          <w:color w:val="000000" w:themeColor="text1"/>
        </w:rPr>
        <w:t xml:space="preserve">Efisem, </w:t>
      </w:r>
      <w:r w:rsidR="00553A2E" w:rsidRPr="00700474">
        <w:rPr>
          <w:rFonts w:ascii="Times New Roman" w:hAnsi="Times New Roman" w:cs="Times New Roman"/>
          <w:color w:val="000000" w:themeColor="text1"/>
        </w:rPr>
        <w:t>or minor offen</w:t>
      </w:r>
      <w:r w:rsidRPr="00700474">
        <w:rPr>
          <w:rFonts w:ascii="Times New Roman" w:hAnsi="Times New Roman" w:cs="Times New Roman"/>
          <w:color w:val="000000" w:themeColor="text1"/>
        </w:rPr>
        <w:t>s</w:t>
      </w:r>
      <w:r w:rsidR="00553A2E" w:rsidRPr="00700474">
        <w:rPr>
          <w:rFonts w:ascii="Times New Roman" w:hAnsi="Times New Roman" w:cs="Times New Roman"/>
          <w:color w:val="000000" w:themeColor="text1"/>
        </w:rPr>
        <w:t>es,</w:t>
      </w:r>
      <w:r w:rsidRPr="00700474">
        <w:rPr>
          <w:rFonts w:ascii="Times New Roman" w:hAnsi="Times New Roman" w:cs="Times New Roman"/>
          <w:color w:val="000000" w:themeColor="text1"/>
        </w:rPr>
        <w:t xml:space="preserve"> which</w:t>
      </w:r>
      <w:r w:rsidR="00553A2E" w:rsidRPr="00700474">
        <w:rPr>
          <w:rFonts w:ascii="Times New Roman" w:hAnsi="Times New Roman" w:cs="Times New Roman"/>
          <w:color w:val="000000" w:themeColor="text1"/>
        </w:rPr>
        <w:t xml:space="preserve"> did not involve </w:t>
      </w:r>
      <w:r w:rsidRPr="00700474">
        <w:rPr>
          <w:rFonts w:ascii="Times New Roman" w:hAnsi="Times New Roman" w:cs="Times New Roman"/>
          <w:color w:val="000000" w:themeColor="text1"/>
        </w:rPr>
        <w:t>the breaking of</w:t>
      </w:r>
      <w:r w:rsidR="00553A2E" w:rsidRPr="00700474">
        <w:rPr>
          <w:rFonts w:ascii="Times New Roman" w:hAnsi="Times New Roman" w:cs="Times New Roman"/>
          <w:color w:val="000000" w:themeColor="text1"/>
        </w:rPr>
        <w:t xml:space="preserve"> mystical </w:t>
      </w:r>
      <w:r w:rsidRPr="00700474">
        <w:rPr>
          <w:rFonts w:ascii="Times New Roman" w:hAnsi="Times New Roman" w:cs="Times New Roman"/>
          <w:color w:val="000000" w:themeColor="text1"/>
        </w:rPr>
        <w:t>connection</w:t>
      </w:r>
      <w:r w:rsidR="00553A2E" w:rsidRPr="00700474">
        <w:rPr>
          <w:rFonts w:ascii="Times New Roman" w:hAnsi="Times New Roman" w:cs="Times New Roman"/>
          <w:color w:val="000000" w:themeColor="text1"/>
        </w:rPr>
        <w:t xml:space="preserve"> with the gods</w:t>
      </w:r>
      <w:r w:rsidRPr="00700474">
        <w:rPr>
          <w:rFonts w:ascii="Times New Roman" w:hAnsi="Times New Roman" w:cs="Times New Roman"/>
          <w:color w:val="000000" w:themeColor="text1"/>
        </w:rPr>
        <w:t>,</w:t>
      </w:r>
      <w:r w:rsidR="00553A2E" w:rsidRPr="00700474">
        <w:rPr>
          <w:rFonts w:ascii="Times New Roman" w:hAnsi="Times New Roman" w:cs="Times New Roman"/>
          <w:color w:val="000000" w:themeColor="text1"/>
        </w:rPr>
        <w:t xml:space="preserve"> </w:t>
      </w:r>
      <w:r w:rsidRPr="00700474">
        <w:rPr>
          <w:rFonts w:ascii="Times New Roman" w:hAnsi="Times New Roman" w:cs="Times New Roman"/>
          <w:color w:val="000000" w:themeColor="text1"/>
        </w:rPr>
        <w:t xml:space="preserve">a </w:t>
      </w:r>
      <w:r w:rsidR="00553A2E" w:rsidRPr="00700474">
        <w:rPr>
          <w:rFonts w:ascii="Times New Roman" w:hAnsi="Times New Roman" w:cs="Times New Roman"/>
          <w:color w:val="000000" w:themeColor="text1"/>
        </w:rPr>
        <w:t xml:space="preserve">ritual </w:t>
      </w:r>
      <w:r w:rsidR="00553A2E" w:rsidRPr="00700474">
        <w:rPr>
          <w:rFonts w:ascii="Times New Roman" w:hAnsi="Times New Roman" w:cs="Times New Roman"/>
          <w:i/>
          <w:iCs/>
          <w:color w:val="000000" w:themeColor="text1"/>
        </w:rPr>
        <w:t>impata</w:t>
      </w:r>
      <w:r w:rsidRPr="00700474">
        <w:rPr>
          <w:rFonts w:ascii="Times New Roman" w:hAnsi="Times New Roman" w:cs="Times New Roman"/>
          <w:i/>
          <w:iCs/>
          <w:color w:val="000000" w:themeColor="text1"/>
        </w:rPr>
        <w:t xml:space="preserve"> </w:t>
      </w:r>
      <w:r w:rsidRPr="00700474">
        <w:rPr>
          <w:rFonts w:ascii="Times New Roman" w:hAnsi="Times New Roman" w:cs="Times New Roman"/>
          <w:color w:val="000000" w:themeColor="text1"/>
        </w:rPr>
        <w:t>(sacrificing a fowl)</w:t>
      </w:r>
      <w:r w:rsidR="00553A2E" w:rsidRPr="00700474">
        <w:rPr>
          <w:rFonts w:ascii="Times New Roman" w:hAnsi="Times New Roman" w:cs="Times New Roman"/>
          <w:i/>
          <w:iCs/>
          <w:color w:val="000000" w:themeColor="text1"/>
        </w:rPr>
        <w:t xml:space="preserve"> </w:t>
      </w:r>
      <w:r w:rsidR="00553A2E" w:rsidRPr="00700474">
        <w:rPr>
          <w:rFonts w:ascii="Times New Roman" w:hAnsi="Times New Roman" w:cs="Times New Roman"/>
          <w:color w:val="000000" w:themeColor="text1"/>
        </w:rPr>
        <w:t>or</w:t>
      </w:r>
      <w:r w:rsidR="000F3A0D" w:rsidRPr="00700474">
        <w:rPr>
          <w:rFonts w:ascii="Times New Roman" w:hAnsi="Times New Roman" w:cs="Times New Roman"/>
          <w:color w:val="000000" w:themeColor="text1"/>
        </w:rPr>
        <w:t xml:space="preserve"> </w:t>
      </w:r>
      <w:r w:rsidR="00553A2E" w:rsidRPr="00700474">
        <w:rPr>
          <w:rFonts w:ascii="Times New Roman" w:hAnsi="Times New Roman" w:cs="Times New Roman"/>
          <w:color w:val="000000" w:themeColor="text1"/>
        </w:rPr>
        <w:t>a</w:t>
      </w:r>
      <w:r w:rsidR="000F3A0D" w:rsidRPr="00700474">
        <w:rPr>
          <w:rFonts w:ascii="Times New Roman" w:hAnsi="Times New Roman" w:cs="Times New Roman"/>
          <w:color w:val="000000" w:themeColor="text1"/>
        </w:rPr>
        <w:t xml:space="preserve"> payment of a</w:t>
      </w:r>
      <w:r w:rsidR="00553A2E" w:rsidRPr="00700474">
        <w:rPr>
          <w:rFonts w:ascii="Times New Roman" w:hAnsi="Times New Roman" w:cs="Times New Roman"/>
          <w:color w:val="000000" w:themeColor="text1"/>
        </w:rPr>
        <w:t xml:space="preserve"> small amount of gold-dust if </w:t>
      </w:r>
      <w:r w:rsidR="000F3A0D" w:rsidRPr="00700474">
        <w:rPr>
          <w:rFonts w:ascii="Times New Roman" w:hAnsi="Times New Roman" w:cs="Times New Roman"/>
          <w:color w:val="000000" w:themeColor="text1"/>
        </w:rPr>
        <w:t xml:space="preserve">both the offender and the victim are </w:t>
      </w:r>
      <w:r w:rsidR="00553A2E" w:rsidRPr="00700474">
        <w:rPr>
          <w:rFonts w:ascii="Times New Roman" w:hAnsi="Times New Roman" w:cs="Times New Roman"/>
          <w:color w:val="000000" w:themeColor="text1"/>
        </w:rPr>
        <w:t>within the</w:t>
      </w:r>
      <w:r w:rsidR="000F3A0D" w:rsidRPr="00700474">
        <w:rPr>
          <w:rFonts w:ascii="Times New Roman" w:hAnsi="Times New Roman" w:cs="Times New Roman"/>
          <w:color w:val="000000" w:themeColor="text1"/>
        </w:rPr>
        <w:t xml:space="preserve"> same</w:t>
      </w:r>
      <w:r w:rsidR="00553A2E" w:rsidRPr="00700474">
        <w:rPr>
          <w:rFonts w:ascii="Times New Roman" w:hAnsi="Times New Roman" w:cs="Times New Roman"/>
          <w:color w:val="000000" w:themeColor="text1"/>
        </w:rPr>
        <w:t xml:space="preserve"> lineag</w:t>
      </w:r>
      <w:r w:rsidR="000F3A0D" w:rsidRPr="00700474">
        <w:rPr>
          <w:rFonts w:ascii="Times New Roman" w:hAnsi="Times New Roman" w:cs="Times New Roman"/>
          <w:color w:val="000000" w:themeColor="text1"/>
        </w:rPr>
        <w:t>e</w:t>
      </w:r>
      <w:r w:rsidR="00553A2E" w:rsidRPr="00700474">
        <w:rPr>
          <w:rFonts w:ascii="Times New Roman" w:hAnsi="Times New Roman" w:cs="Times New Roman"/>
          <w:color w:val="000000" w:themeColor="text1"/>
        </w:rPr>
        <w:t xml:space="preserve">, or </w:t>
      </w:r>
      <w:r w:rsidR="000F3A0D" w:rsidRPr="00700474">
        <w:rPr>
          <w:rFonts w:ascii="Times New Roman" w:hAnsi="Times New Roman" w:cs="Times New Roman"/>
          <w:color w:val="000000" w:themeColor="text1"/>
        </w:rPr>
        <w:t xml:space="preserve">suitable </w:t>
      </w:r>
      <w:r w:rsidR="00553A2E" w:rsidRPr="00700474">
        <w:rPr>
          <w:rFonts w:ascii="Times New Roman" w:hAnsi="Times New Roman" w:cs="Times New Roman"/>
          <w:color w:val="000000" w:themeColor="text1"/>
        </w:rPr>
        <w:t xml:space="preserve">compensation </w:t>
      </w:r>
      <w:r w:rsidR="000F3A0D" w:rsidRPr="00700474">
        <w:rPr>
          <w:rFonts w:ascii="Times New Roman" w:hAnsi="Times New Roman" w:cs="Times New Roman"/>
          <w:color w:val="000000" w:themeColor="text1"/>
        </w:rPr>
        <w:t xml:space="preserve">would be determined </w:t>
      </w:r>
      <w:r w:rsidR="00553A2E" w:rsidRPr="00700474">
        <w:rPr>
          <w:rFonts w:ascii="Times New Roman" w:hAnsi="Times New Roman" w:cs="Times New Roman"/>
          <w:color w:val="000000" w:themeColor="text1"/>
        </w:rPr>
        <w:t>if the victim and the offender were of different lineages.</w:t>
      </w:r>
      <w:r w:rsidR="00553A2E" w:rsidRPr="00700474">
        <w:rPr>
          <w:rFonts w:ascii="Times New Roman" w:hAnsi="Times New Roman" w:cs="Times New Roman"/>
          <w:color w:val="000000" w:themeColor="text1"/>
          <w:shd w:val="clear" w:color="auto" w:fill="FFFFFF"/>
        </w:rPr>
        <w:t xml:space="preserve"> </w:t>
      </w:r>
      <w:r w:rsidR="00553A2E" w:rsidRPr="00700474">
        <w:rPr>
          <w:rFonts w:ascii="Times New Roman" w:hAnsi="Times New Roman" w:cs="Times New Roman"/>
          <w:color w:val="000000" w:themeColor="text1"/>
        </w:rPr>
        <w:t xml:space="preserve">Panyarring—the practice of </w:t>
      </w:r>
      <w:r w:rsidR="000F3A0D" w:rsidRPr="00700474">
        <w:rPr>
          <w:rFonts w:ascii="Times New Roman" w:hAnsi="Times New Roman" w:cs="Times New Roman"/>
          <w:color w:val="000000" w:themeColor="text1"/>
        </w:rPr>
        <w:t>arresting</w:t>
      </w:r>
      <w:r w:rsidR="00553A2E" w:rsidRPr="00700474">
        <w:rPr>
          <w:rFonts w:ascii="Times New Roman" w:hAnsi="Times New Roman" w:cs="Times New Roman"/>
          <w:color w:val="000000" w:themeColor="text1"/>
        </w:rPr>
        <w:t xml:space="preserve"> and </w:t>
      </w:r>
      <w:r w:rsidR="000F3A0D" w:rsidRPr="00700474">
        <w:rPr>
          <w:rFonts w:ascii="Times New Roman" w:hAnsi="Times New Roman" w:cs="Times New Roman"/>
          <w:color w:val="000000" w:themeColor="text1"/>
        </w:rPr>
        <w:t>detaining</w:t>
      </w:r>
      <w:r w:rsidR="00553A2E" w:rsidRPr="00700474">
        <w:rPr>
          <w:rFonts w:ascii="Times New Roman" w:hAnsi="Times New Roman" w:cs="Times New Roman"/>
          <w:color w:val="000000" w:themeColor="text1"/>
        </w:rPr>
        <w:t xml:space="preserve"> persons until the repayment of debt or resolution of a dispute was sometimes practiced </w:t>
      </w:r>
      <w:r w:rsidR="007F60B4" w:rsidRPr="00700474">
        <w:rPr>
          <w:rFonts w:ascii="Times New Roman" w:hAnsi="Times New Roman" w:cs="Times New Roman"/>
          <w:color w:val="000000" w:themeColor="text1"/>
        </w:rPr>
        <w:t>(Seidman and Abaka-Eyison 2024).</w:t>
      </w:r>
    </w:p>
    <w:bookmarkEnd w:id="2"/>
    <w:p w14:paraId="7C0B4506" w14:textId="77777777" w:rsidR="003B6BD0" w:rsidRPr="00700474" w:rsidRDefault="003B6BD0" w:rsidP="003B6BD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Acquah (1991) also reported that, generally, in the precolonial era, conventional penal sanctions involved reparations or restitution to the victim, their family, and the community, emphasizing the community's role in the justice system. For instance, in Aguah v Effeel, the defendant was accused of practicing witchcraft and causing the death of a child. The plaintiff partially proved his case, and the defendant was fined. The defendant was further ordered that neither he nor his household should trouble the plaintiff in future under a penalty of four ounces of gold (Acquah, 1991). Therefore, the focus of sanctions in the precolonial Gold Coast was to maintain cohesion among the concerned individuals and groups, with the community playing a significant part. According to Dzivenu (2008), the punishment imposed primarily reflected the principles of accountability, restoration, and reintegration, further strengthening the community's bond.</w:t>
      </w:r>
    </w:p>
    <w:p w14:paraId="6D545D86" w14:textId="47AE1292"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lastRenderedPageBreak/>
        <w:t xml:space="preserve">The English Common Law System </w:t>
      </w:r>
    </w:p>
    <w:p w14:paraId="5894D078" w14:textId="3C5352B6" w:rsidR="008B1030" w:rsidRPr="00700474" w:rsidRDefault="008B1030" w:rsidP="00F97C78">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On July 24, 1874, the British issued a Proclamation which established the Gold Coast as a British colony and Protectorate” (Addo-Fening 2013:44). Subsequently, in 1878 and 1883, two Native Jurisdiction Ordinances were passed, granting the British colonists the authority to institute colonial administration and formal judicial institutions—the English courts, presided over by magistrates and judges who were White civil servants. The traditional legal </w:t>
      </w:r>
      <w:r w:rsidR="00EE5073" w:rsidRPr="00700474">
        <w:rPr>
          <w:rFonts w:ascii="Times New Roman" w:hAnsi="Times New Roman" w:cs="Times New Roman"/>
          <w:color w:val="000000" w:themeColor="text1"/>
        </w:rPr>
        <w:t>system was</w:t>
      </w:r>
      <w:r w:rsidRPr="00700474">
        <w:rPr>
          <w:rFonts w:ascii="Times New Roman" w:hAnsi="Times New Roman" w:cs="Times New Roman"/>
          <w:color w:val="000000" w:themeColor="text1"/>
        </w:rPr>
        <w:t xml:space="preserve"> incorporated into the colonial justice system so long as it was not repugnant to natural justice, equity, and good conscience, nor incompatible directly or by necessary implication with any enactment of the colonial legislature (Amankwah 1970). The Gold Coast colony operated a binary legal system comprised of (a) Traditional courts and (b) English courts through which a formal system of sanctions was instituted (Amankwah 1970). </w:t>
      </w:r>
    </w:p>
    <w:p w14:paraId="600E6FEC" w14:textId="77777777"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During the colonial era, the traditional courts handled matters relating to traditional and customary institutions and their practice (Rathbone 1982). A traditional ruler and a body of elders or advisors presided over and ran the traditional courts according to customary law (Rathbone 1982) – See above). Even though the application of customary laws was a significant aspect of the traditional court, the British did not accord importance to the Gold Coast’s traditional laws compared to the English laws (Rathbone 2000). Customary laws were only applicable in (a) matters where the feuding parties are natives of a particular ethnic group; (b) cases and matters relating to marriage, the tenure and transfer of real and personal property in an inheritance; and (c) matters between natives and Europeans, where it may appear to the court that substantial injustice would be done to either party by strict adherence to the rules of English law (Brobbey n.d.). </w:t>
      </w:r>
    </w:p>
    <w:p w14:paraId="24E892E4" w14:textId="77777777"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lastRenderedPageBreak/>
        <w:t xml:space="preserve">The ordinances passed in 1878 and 1883 further permitted the British to interfere in the legislative structures and the chieftaincy institution. The results were that (a) decisions of the chief’s court were now subjected to appeal in the English courts if judgments of chiefly courts were determined to be ‘repugnant’ or in breach of ‘natural justice (Dzivenu 2008); and (b) the colonial governor gained unquestionable powers to remove a chief without any reference to his council or subjects. Precolonial Gold Coast also operated what may be termed (for lack of better word) “spiritual” justice system, a practice not peculiar to Ghana and Africa alone but widespread in Europe. Under the Supernatural Justice-trial by ordeal system- the aggrieved visit a shrine to narrate their problem and invoke a god to judge the case. If an invocation is made, the god invoked typically gives its verdict by afflicting the guilty party with a sanction (Akpabli-Honu 2014). </w:t>
      </w:r>
    </w:p>
    <w:p w14:paraId="09580CB9" w14:textId="3EF96560"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While the traditional legal system, presided over by the chiefs was incorporated into the colonial legal system, the supernatural system lost grounds to the constitutional courts due to (a) traditions such as Christianity, which weakened the belief in deities and ancestors by denigrating the image of these beings and reducing any service </w:t>
      </w:r>
      <w:r w:rsidR="00460431" w:rsidRPr="00700474">
        <w:rPr>
          <w:rFonts w:ascii="Times New Roman" w:hAnsi="Times New Roman" w:cs="Times New Roman"/>
          <w:color w:val="000000" w:themeColor="text1"/>
        </w:rPr>
        <w:t>(Ntiamoah and Ameyibor 2023)</w:t>
      </w:r>
      <w:r w:rsidRPr="00700474">
        <w:rPr>
          <w:rFonts w:ascii="Times New Roman" w:hAnsi="Times New Roman" w:cs="Times New Roman"/>
          <w:color w:val="000000" w:themeColor="text1"/>
        </w:rPr>
        <w:t xml:space="preserve">they proffered, including the adjudication and dispensing of justice as demonic and harmful (Abotchie 1997); (b) the Native Jurisdiction Ordinance of 1883 which banned the administration and adjudication by supernatural entities (Akpabli-Honu 2015); and (c) the Native Customs Ordinance of 1892 which further prohibited supernatural adjudication practices such as oath swearing and </w:t>
      </w:r>
      <w:r w:rsidRPr="00700474">
        <w:rPr>
          <w:rFonts w:ascii="Times New Roman" w:hAnsi="Times New Roman" w:cs="Times New Roman"/>
          <w:i/>
          <w:iCs/>
          <w:color w:val="000000" w:themeColor="text1"/>
        </w:rPr>
        <w:t>Duab</w:t>
      </w:r>
      <w:r w:rsidR="005E215C" w:rsidRPr="00700474">
        <w:rPr>
          <w:rFonts w:ascii="Times New Roman" w:hAnsi="Times New Roman" w:cs="Times New Roman"/>
          <w:i/>
          <w:iCs/>
          <w:color w:val="000000" w:themeColor="text1"/>
        </w:rPr>
        <w:t>o</w:t>
      </w:r>
      <w:r w:rsidRPr="00700474">
        <w:rPr>
          <w:rFonts w:ascii="Times New Roman" w:hAnsi="Times New Roman" w:cs="Times New Roman"/>
          <w:color w:val="000000" w:themeColor="text1"/>
        </w:rPr>
        <w:t>, recommended a prison term for chiefs who allowed or participated in the celebrations of any proscribed custom in their territories because, in the legal reasoning of the colonialists, the rationality of invoking the spiritual forces could not be ascertained in court (Tweneboah 2021).</w:t>
      </w:r>
    </w:p>
    <w:p w14:paraId="11ECCB29" w14:textId="20B2E2C3"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lastRenderedPageBreak/>
        <w:t xml:space="preserve">According to </w:t>
      </w:r>
      <w:r w:rsidR="000E6E58" w:rsidRPr="00700474">
        <w:rPr>
          <w:rFonts w:ascii="Times New Roman" w:hAnsi="Times New Roman" w:cs="Times New Roman"/>
          <w:color w:val="000000" w:themeColor="text1"/>
        </w:rPr>
        <w:t>Seidman (</w:t>
      </w:r>
      <w:r w:rsidR="007F60B4" w:rsidRPr="00700474">
        <w:rPr>
          <w:rFonts w:ascii="Times New Roman" w:hAnsi="Times New Roman" w:cs="Times New Roman"/>
          <w:color w:val="000000" w:themeColor="text1"/>
        </w:rPr>
        <w:t>1966)</w:t>
      </w:r>
      <w:r w:rsidRPr="00700474">
        <w:rPr>
          <w:rFonts w:ascii="Times New Roman" w:hAnsi="Times New Roman" w:cs="Times New Roman"/>
          <w:color w:val="000000" w:themeColor="text1"/>
        </w:rPr>
        <w:t>, a fundamental change occurred: The British imposed criminal law and sanctions, which embodied objectives different from those of the indigenous legal system. While the Indigenous society viewed the problem of crime as restoring equilibrium, the</w:t>
      </w:r>
      <w:r w:rsidRPr="00700474">
        <w:rPr>
          <w:rFonts w:ascii="Times New Roman" w:hAnsi="Times New Roman" w:cs="Times New Roman"/>
          <w:i/>
          <w:iCs/>
          <w:color w:val="000000" w:themeColor="text1"/>
        </w:rPr>
        <w:t xml:space="preserve"> </w:t>
      </w:r>
      <w:r w:rsidRPr="00700474">
        <w:rPr>
          <w:rFonts w:ascii="Times New Roman" w:hAnsi="Times New Roman" w:cs="Times New Roman"/>
          <w:color w:val="000000" w:themeColor="text1"/>
        </w:rPr>
        <w:t>English criminal law was designed to keep the multitude in order through exemplary deterrence, the central objective of the law. The English common law of crimes was to serve the Dual Mandate of ensuring an orderly society for trade on the one hand and the ‘enlightenment’ of the Africans on the other hand. This dual mandate, as Seidman points out, was inherently contradictory, given the inconsistent objectives of maintaining order and humanitarianism. According to Seidman, the history of criminal law and prisons on the Gold Coast can best be understood in terms of these two conflicting conceptions of sanctions.</w:t>
      </w:r>
    </w:p>
    <w:p w14:paraId="443A8EFA" w14:textId="709E5C8F"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new legal system separated the offender from the community – that is, imprisoned them. As Benault (2003) described, the British established prisons in all garrisons and administrative outposts during the colonial era to maintain and expand colonial authority. Seidman (1966) also reports that colonial masters introduced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to discipline prisoners. Corporal </w:t>
      </w:r>
      <w:r w:rsidR="0084122C" w:rsidRPr="00700474">
        <w:rPr>
          <w:rFonts w:ascii="Times New Roman" w:hAnsi="Times New Roman" w:cs="Times New Roman"/>
          <w:color w:val="000000" w:themeColor="text1"/>
        </w:rPr>
        <w:t xml:space="preserve">punishment </w:t>
      </w:r>
      <w:r w:rsidRPr="00700474">
        <w:rPr>
          <w:rFonts w:ascii="Times New Roman" w:hAnsi="Times New Roman" w:cs="Times New Roman"/>
          <w:color w:val="000000" w:themeColor="text1"/>
        </w:rPr>
        <w:t xml:space="preserve">were administered by the dreaded cat-o’-nine tail, a brutal instrument that tore through the unprotected body of the victim, leaving a trail of horror and pain. Thus, sanctions under colonial rule sharply contrasted with what prevailed in the precolonial era. With the introduction of incarceration, social perceptions about crime and the criminal changed. Crime was now perceived as a wrongful act against the state or a sovereign entity for which only the state reserves the right to decide the form and measure of sanctions. </w:t>
      </w:r>
    </w:p>
    <w:p w14:paraId="62C435EA" w14:textId="79ABA381" w:rsidR="00091893" w:rsidRPr="00700474" w:rsidRDefault="00091893" w:rsidP="00F30DC2">
      <w:pPr>
        <w:ind w:firstLine="720"/>
        <w:jc w:val="left"/>
        <w:rPr>
          <w:b/>
          <w:bCs/>
        </w:rPr>
      </w:pPr>
      <w:r w:rsidRPr="00700474">
        <w:t xml:space="preserve">The British employed state terrorism as a tool to suppress resistance and maintain control over the Gold Coast (modern-day Ghana). This included violent crackdowns on protests, forced labor, and the use of military force to quash uprisings such as the 1948 Accra Riots. These </w:t>
      </w:r>
      <w:r w:rsidRPr="00700474">
        <w:lastRenderedPageBreak/>
        <w:t>actions were justified under colonial laws that criminalized dissent and prioritized imperial interests over human rights. The use of state-sponsored violence created a climate of fear and reinforced the power dynamics between colonizers and the colonized (Rathbone 2000). Colonial exploitation in Ghana was characterized by the systematic extraction of resources such as gold, cocoa, and timber for the benefit of the British Empire. The colonial administration implemented policies that favored European companies while marginalizing local producers. For instance, forced labor and unfair taxation systems ensured that wealth flowed from Ghanaian communities to colonial coffers. This economic theft not only impoverished local populations but also disrupted traditional economic systems (Dumett 1998). Although slavery had existed in precolonial Ghana, the transatlantic slave trade intensified under European colonization. The British capitalized on existing networks to export enslaved Africans to plantations in the Americas. Even after the abolition of the transatlantic slave trade, forms of domestic servitude persisted under colonial rule, often disguised as “indentured labor” perpetuating systems of exploitation that undermined the autonomy and dignity of Ghanaians (Lovejoy 2000). </w:t>
      </w:r>
    </w:p>
    <w:p w14:paraId="158BF7AC" w14:textId="77777777"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On March 6, 1957, Ghana became a sovereign nation after gaining independence from Great Britain. Under the Western-styled democracy and its modern court systems, the Gold Coast laws minimized traditional rulers’ judicial powers (Akpabli-Honu 2015). Besides the Traditional Councils and the Houses of Chiefs, which are mandated by Ghana’s 1992 Republican Constitution and the Chieftaincy Act, 2008 (Act 759) to adjudicate and determine the substance of chieftaincy succession disputes (Anamzoya 2006), individual chiefs are often perceived as ceremonial figures who perform religious and cultural functions (Marfo 2019). The “Ghanaian post-independence legal system follows a similar colonial pattern, disdaining specific traditional systems” (Tweneboah 2021).  </w:t>
      </w:r>
    </w:p>
    <w:p w14:paraId="35A935B6" w14:textId="650461A8"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lastRenderedPageBreak/>
        <w:t>Ghana’s criminal legal system consists of law enforcement (the police), the judiciary, and prisons. There are three broad categories of offenses in Ghana: offenses against the person, property and public order, health, and morality</w:t>
      </w:r>
      <w:r w:rsidR="000B5AF4" w:rsidRPr="00700474">
        <w:rPr>
          <w:rFonts w:ascii="Times New Roman" w:hAnsi="Times New Roman" w:cs="Times New Roman"/>
          <w:color w:val="000000" w:themeColor="text1"/>
        </w:rPr>
        <w:t xml:space="preserve"> (Appiahene-Gyamfi 1995)</w:t>
      </w:r>
      <w:r w:rsidRPr="00700474">
        <w:rPr>
          <w:rFonts w:ascii="Times New Roman" w:hAnsi="Times New Roman" w:cs="Times New Roman"/>
          <w:color w:val="000000" w:themeColor="text1"/>
        </w:rPr>
        <w:t xml:space="preserve">. Under any of the three, a suspect could be punished when they are determined to have violated the relevant criminal code section(s) through an act of either omission or commission. Formal sanctions in Ghana include death, imprisonment, fines, payment of compensation, and liability to police supervision. The colonial legal systems and formal sanctions have been met with displeasure among Ghanaians; for instance, Appiahene-Gyamfi (1995) concluded that disapproval among Ghanaians with the administration of justice in postcolonial Ghana was demonstrated in the establishment of military and public tribunals by military governments who seized political power. Thus, military and public tribunals became the ‘new’ mechanism of justice dispensation and social control. </w:t>
      </w:r>
    </w:p>
    <w:p w14:paraId="31C6A989" w14:textId="252E1858" w:rsidR="00F659AF" w:rsidRPr="00700474" w:rsidRDefault="00F30DC2"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evolution of Ghana’s legal system reflects a dynamic interplay of indigenous traditions, colonial influences, and post-independence reforms. </w:t>
      </w:r>
      <w:r w:rsidR="00F659AF" w:rsidRPr="00700474">
        <w:rPr>
          <w:rFonts w:ascii="Times New Roman" w:hAnsi="Times New Roman" w:cs="Times New Roman"/>
          <w:color w:val="000000" w:themeColor="text1"/>
        </w:rPr>
        <w:t xml:space="preserve">Precolonial Ghana operated under decentralized customary legal systems administered by chiefs, elders, and community leaders. These systems were rooted in oral traditions and focused on restorative justice. Customary laws were tailored to specific communities and emphasized collective harmony over individual rights. However, these systems were not entirely egalitarian; they often reinforced social hierarchies, with unequal treatment based on factors such as gender, age, or social status (Austin 2005). The British played a significant role in Ghana's legal history by introducing a dual legal system. This system combined English common law for colonial administration and customary law for 'native' matters, arguably institutionalizing inequality. Customary law applied only to Africans in matters of personal concern, such as marriage and inheritance, while formal </w:t>
      </w:r>
      <w:r w:rsidR="00F659AF" w:rsidRPr="00700474">
        <w:rPr>
          <w:rFonts w:ascii="Times New Roman" w:hAnsi="Times New Roman" w:cs="Times New Roman"/>
          <w:color w:val="000000" w:themeColor="text1"/>
        </w:rPr>
        <w:lastRenderedPageBreak/>
        <w:t>courts handled cases involving Europeans or state interests. Colonial laws often prioritized European norms</w:t>
      </w:r>
      <w:r w:rsidR="00523C87" w:rsidRPr="00700474">
        <w:rPr>
          <w:rFonts w:ascii="Times New Roman" w:hAnsi="Times New Roman" w:cs="Times New Roman"/>
          <w:color w:val="000000" w:themeColor="text1"/>
        </w:rPr>
        <w:t xml:space="preserve"> </w:t>
      </w:r>
      <w:r w:rsidR="00F659AF" w:rsidRPr="00700474">
        <w:rPr>
          <w:rFonts w:ascii="Times New Roman" w:hAnsi="Times New Roman" w:cs="Times New Roman"/>
          <w:color w:val="000000" w:themeColor="text1"/>
        </w:rPr>
        <w:t>and marginalized indigenous practices</w:t>
      </w:r>
      <w:r w:rsidR="00523C87" w:rsidRPr="00700474">
        <w:rPr>
          <w:rFonts w:ascii="Times New Roman" w:hAnsi="Times New Roman" w:cs="Times New Roman"/>
          <w:color w:val="000000" w:themeColor="text1"/>
        </w:rPr>
        <w:t xml:space="preserve">, favoring the Colonist </w:t>
      </w:r>
      <w:r w:rsidR="00F659AF" w:rsidRPr="00700474">
        <w:rPr>
          <w:rFonts w:ascii="Times New Roman" w:hAnsi="Times New Roman" w:cs="Times New Roman"/>
          <w:color w:val="000000" w:themeColor="text1"/>
        </w:rPr>
        <w:t xml:space="preserve">(Mamdani 1996). After independence in 1957, Ghana retained elements of the colonial legal framework but sought to integrate customary law into the national system. Efforts to unify the legal system have been hampered by corruption, inefficiency, and lingering colonial legacies. </w:t>
      </w:r>
      <w:r w:rsidR="00523C87" w:rsidRPr="00700474">
        <w:rPr>
          <w:rFonts w:ascii="Times New Roman" w:hAnsi="Times New Roman" w:cs="Times New Roman"/>
          <w:color w:val="000000" w:themeColor="text1"/>
        </w:rPr>
        <w:t>The f</w:t>
      </w:r>
      <w:r w:rsidR="00F659AF" w:rsidRPr="00700474">
        <w:rPr>
          <w:rFonts w:ascii="Times New Roman" w:hAnsi="Times New Roman" w:cs="Times New Roman"/>
          <w:color w:val="000000" w:themeColor="text1"/>
        </w:rPr>
        <w:t>ormal legal institutions are often perceived as inaccessible or biased in favor of elites (Allott 1960).</w:t>
      </w:r>
    </w:p>
    <w:p w14:paraId="7BF21286" w14:textId="622B3012" w:rsidR="003B6BD0" w:rsidRPr="00D60FF5" w:rsidRDefault="008B1030" w:rsidP="00D60FF5">
      <w:pPr>
        <w:pStyle w:val="NoSpacing"/>
        <w:widowControl w:val="0"/>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Colonial rule significantly transformed the criminal legal systems of precolonial Ghana. Today, postcolonial</w:t>
      </w:r>
      <w:r w:rsidRPr="00700474">
        <w:rPr>
          <w:rFonts w:ascii="Times New Roman" w:hAnsi="Times New Roman" w:cs="Times New Roman"/>
          <w:b/>
          <w:bCs/>
          <w:color w:val="000000" w:themeColor="text1"/>
        </w:rPr>
        <w:t xml:space="preserve"> </w:t>
      </w:r>
      <w:r w:rsidRPr="00700474">
        <w:rPr>
          <w:rFonts w:ascii="Times New Roman" w:hAnsi="Times New Roman" w:cs="Times New Roman"/>
          <w:color w:val="000000" w:themeColor="text1"/>
        </w:rPr>
        <w:t>Ghana's legal system bears the enduring influence of British colonial structures, which may not fully align with indigenous cultural values and practices. This disconnect between the legal system and societal norms underscores the urgency of studying Ghanaians' attitudes toward sanctions as colonial legacy continues to shape perceptions of justice and governance in Ghana. Hence my research: Exploring attitudes towards sanctions in Ghana. Besides these legal forms of sanction (death, imprisonment, fine payment of compensation, and liability to police supervision) in postcolonial Ghana, other forms of sanction exist, like corporal punishment of children and mob justice. Though its prevalence is unknown, the need to explore attitudes toward corporal punishment and mob justice in Ghana is warranted due to their salience in Ghanaian society, as it could potentially lead to significant insights and policy changes in the direction of nonviolent justice. In the next section, I discuss two forms of sanctions in postcolonial Ghana: (a) mob justice; and (b) corporal punishment of children.</w:t>
      </w:r>
    </w:p>
    <w:p w14:paraId="0412E2EF" w14:textId="590671F9" w:rsidR="008B1030" w:rsidRPr="00700474" w:rsidRDefault="008B1030" w:rsidP="0017691B">
      <w:pPr>
        <w:spacing w:after="160" w:line="259" w:lineRule="auto"/>
        <w:rPr>
          <w:b/>
          <w:bCs/>
        </w:rPr>
      </w:pPr>
      <w:r w:rsidRPr="00700474">
        <w:rPr>
          <w:b/>
          <w:bCs/>
        </w:rPr>
        <w:t>Extra-Judicial Sanctions</w:t>
      </w:r>
    </w:p>
    <w:p w14:paraId="6398966E" w14:textId="77777777" w:rsidR="008B1030" w:rsidRPr="00700474" w:rsidRDefault="008B1030" w:rsidP="008B1030">
      <w:pPr>
        <w:pStyle w:val="NoSpacing"/>
        <w:spacing w:line="480" w:lineRule="auto"/>
        <w:rPr>
          <w:rFonts w:ascii="Times New Roman" w:hAnsi="Times New Roman" w:cs="Times New Roman"/>
          <w:b/>
          <w:bCs/>
          <w:color w:val="000000" w:themeColor="text1"/>
        </w:rPr>
      </w:pPr>
      <w:r w:rsidRPr="00700474">
        <w:rPr>
          <w:rFonts w:ascii="Times New Roman" w:hAnsi="Times New Roman" w:cs="Times New Roman"/>
          <w:b/>
          <w:bCs/>
          <w:i/>
          <w:iCs/>
          <w:color w:val="000000" w:themeColor="text1"/>
        </w:rPr>
        <w:t>Mob Justice</w:t>
      </w:r>
      <w:r w:rsidRPr="00700474">
        <w:rPr>
          <w:rFonts w:ascii="Times New Roman" w:hAnsi="Times New Roman" w:cs="Times New Roman"/>
          <w:b/>
          <w:bCs/>
          <w:color w:val="000000" w:themeColor="text1"/>
        </w:rPr>
        <w:t xml:space="preserve"> </w:t>
      </w:r>
    </w:p>
    <w:p w14:paraId="171941D0" w14:textId="653FCDD2" w:rsidR="008B1030" w:rsidRPr="00700474" w:rsidRDefault="008B1030" w:rsidP="00F97C78">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Among the citizenry, arguably, extra-judicial sanctions such as mob justice emerged to register citizens’ displeasure with the colonial formal sanctions that prevailed in postcolonial Ghana. </w:t>
      </w:r>
      <w:r w:rsidRPr="00700474">
        <w:rPr>
          <w:rFonts w:ascii="Times New Roman" w:hAnsi="Times New Roman" w:cs="Times New Roman"/>
          <w:color w:val="000000" w:themeColor="text1"/>
        </w:rPr>
        <w:lastRenderedPageBreak/>
        <w:t xml:space="preserve">Mob justice, as described by Abrahams (2003), is not just about violence but also about the attempt by a group to enforce societal norms and maintain law and order. This complexity adds a layer of understanding to the justice system in Ghana. It is crucial to note that mob justice is an affront to the laws that govern Ghanaian society and the dignity of victims in general; hence, it is considered illegal, and its prevalence is a cause for serious concern. </w:t>
      </w:r>
    </w:p>
    <w:p w14:paraId="3EFE95D0" w14:textId="680535AD" w:rsidR="008B1030" w:rsidRPr="00700474" w:rsidRDefault="003B6BD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Adzimah-Alade, Millicent, Charity Akotia, Francis Annor, and Emmanuel Quarshie (2020) identify several contexts in which mob justice is commonly applied: (a) suspected criminal activity, (b) violations of religious or moral codes, © political hooliganism, and (d) perceived inefficiencies in the justice delivery system. Mob justice operates outside the law, with mobs taking on roles typically reserved for law enforcement and judicial authorities. These groups illegally apprehend and punish suspected offenders, often bypassing the legal processes meant to ensure fairness and accountability (Adinkrah, 2005; Tei, 2020). By assuming the role of prosecutor, mobs label individuals as criminals—such as thieves—and impose severe punishments. In many cases, victims suffer serious injuries or are beaten to death. The sanctions imposed by mobs lack any systematic procedure for assessing the severity of the alleged offense (Salihu &amp; Gholami, 2018), resulting in punishments that are disproportionate to the crimes committed.</w:t>
      </w:r>
    </w:p>
    <w:p w14:paraId="3CA0C6E6" w14:textId="77777777" w:rsidR="003B6BD0" w:rsidRPr="00700474" w:rsidRDefault="003B6BD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absence of reasonable procedures in mob justice raises concerns about its potential to harm innocent individuals. Mistaken identity or false accusations can lead to assaults, maiming, or even death for those wrongly targeted (Adinkrah, 2005). Furthermore, mob-imposed sanctions are often uniform across all types of crimes and perpetrators, disregarding demographic differences or the nature of the offense (Salihu &amp; Gholami, 2018). The severity of these punishments frequently depends on the emotional state of the mob at the time. Salihu and </w:t>
      </w:r>
      <w:r w:rsidRPr="00700474">
        <w:rPr>
          <w:rFonts w:ascii="Times New Roman" w:hAnsi="Times New Roman" w:cs="Times New Roman"/>
          <w:color w:val="000000" w:themeColor="text1"/>
        </w:rPr>
        <w:lastRenderedPageBreak/>
        <w:t>Gholami (2018) describe mob sanctions as rapid, arbitrary, and dangerous—posing a significant threat to public safety in Ghana. Asamoah (2019) highlights that in many instances of mob justice, suspects’ culpability is not established beyond reasonable doubt. Tei (2021) adds that most victims of mob justice are men accused of crimes such as theft, armed robbery, sodomy, or murder.</w:t>
      </w:r>
    </w:p>
    <w:p w14:paraId="194B9D1E" w14:textId="37CC8896" w:rsidR="008B1030" w:rsidRPr="00700474" w:rsidRDefault="008B1030" w:rsidP="00F97C7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Although mob justice is reported daily on both print and electronic media in Ghana, the actual number of vigilante murders in Ghana, according to Adinkrah (2015), could not be accurately determined as there exists no relevant data. Meanwhile, a 2018 Afrobarometer survey on mob justice in Ghana, which included 2,400 adult respondents, revealed that 15 percent of Ghanaians favored mob justice. This number rises to fifty-nine percent (59%) for residents in the Upper West and sixty-one percent (61%) for residents in the Northern Region (Appiah-Nyamekye and Armah-Attoh 2018). Further, the Afrobarometer round 7 survey reveals that eight (8) in ten (10) Ghanaians say citizens should always rely on police to deal with suspected criminals. About one (1) in seven (7), however, it is sometimes acceptable for citizens to administer instant justice. This view is shared by 39% of residents in the Upper West and Northern regions. </w:t>
      </w:r>
    </w:p>
    <w:p w14:paraId="627064CC" w14:textId="77777777" w:rsidR="0017691B" w:rsidRPr="00700474" w:rsidRDefault="008B1030" w:rsidP="0017691B">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Like mob justice, corporal punishment of children is utilized beyond the jurisdiction of the state. It is used as a disciplinary measure. Though its prevalence is unknown, scholarly attention is warranted due to its salience in Ghanaian society. In the next section, I discuss corporal punishment of children in Ghana. </w:t>
      </w:r>
    </w:p>
    <w:p w14:paraId="5060FFCC" w14:textId="4E545D92" w:rsidR="008B1030" w:rsidRPr="00700474" w:rsidRDefault="008B1030" w:rsidP="0017691B">
      <w:pPr>
        <w:pStyle w:val="NoSpacing"/>
        <w:spacing w:line="480" w:lineRule="auto"/>
        <w:rPr>
          <w:rFonts w:ascii="Times New Roman" w:hAnsi="Times New Roman" w:cs="Times New Roman"/>
          <w:color w:val="000000" w:themeColor="text1"/>
        </w:rPr>
      </w:pPr>
      <w:r w:rsidRPr="00700474">
        <w:rPr>
          <w:rFonts w:ascii="Times New Roman" w:hAnsi="Times New Roman" w:cs="Times New Roman"/>
          <w:b/>
          <w:bCs/>
          <w:i/>
          <w:iCs/>
          <w:color w:val="000000" w:themeColor="text1"/>
        </w:rPr>
        <w:t xml:space="preserve">Corporal </w:t>
      </w:r>
      <w:r w:rsidR="009A53D0" w:rsidRPr="00700474">
        <w:rPr>
          <w:rFonts w:ascii="Times New Roman" w:hAnsi="Times New Roman" w:cs="Times New Roman"/>
          <w:b/>
          <w:bCs/>
          <w:i/>
          <w:iCs/>
          <w:color w:val="000000" w:themeColor="text1"/>
        </w:rPr>
        <w:t>Punishment</w:t>
      </w:r>
      <w:r w:rsidRPr="00700474">
        <w:rPr>
          <w:rFonts w:ascii="Times New Roman" w:hAnsi="Times New Roman" w:cs="Times New Roman"/>
          <w:b/>
          <w:bCs/>
          <w:i/>
          <w:iCs/>
          <w:color w:val="000000" w:themeColor="text1"/>
        </w:rPr>
        <w:t xml:space="preserve"> of Children</w:t>
      </w:r>
    </w:p>
    <w:p w14:paraId="34420A14" w14:textId="3A72D434" w:rsidR="008B1030" w:rsidRPr="00700474" w:rsidRDefault="008B1030" w:rsidP="0017691B">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of children is a</w:t>
      </w:r>
      <w:r w:rsidRPr="00700474">
        <w:rPr>
          <w:rFonts w:ascii="Times New Roman" w:hAnsi="Times New Roman" w:cs="Times New Roman"/>
          <w:i/>
          <w:iCs/>
          <w:color w:val="000000" w:themeColor="text1"/>
        </w:rPr>
        <w:t xml:space="preserve"> </w:t>
      </w:r>
      <w:r w:rsidRPr="00700474">
        <w:rPr>
          <w:rFonts w:ascii="Times New Roman" w:hAnsi="Times New Roman" w:cs="Times New Roman"/>
          <w:color w:val="000000" w:themeColor="text1"/>
        </w:rPr>
        <w:t xml:space="preserve">persistent practice in post-colonial Ghana, a communal social control meted out to children and young adults. This practice, deeply rooted in the </w:t>
      </w:r>
      <w:r w:rsidRPr="00700474">
        <w:rPr>
          <w:rFonts w:ascii="Times New Roman" w:hAnsi="Times New Roman" w:cs="Times New Roman"/>
          <w:color w:val="000000" w:themeColor="text1"/>
        </w:rPr>
        <w:lastRenderedPageBreak/>
        <w:t>historical context of post-colonial Ghana, may not be peculiar to Ghana, as in most known human societies, corporal</w:t>
      </w:r>
      <w:r w:rsidR="009A53D0" w:rsidRPr="00700474">
        <w:rPr>
          <w:rFonts w:ascii="Times New Roman" w:hAnsi="Times New Roman" w:cs="Times New Roman"/>
          <w:color w:val="000000" w:themeColor="text1"/>
        </w:rPr>
        <w:t xml:space="preserve"> punishment </w:t>
      </w:r>
      <w:r w:rsidR="0071582B" w:rsidRPr="00700474">
        <w:rPr>
          <w:rFonts w:ascii="Times New Roman" w:hAnsi="Times New Roman" w:cs="Times New Roman"/>
          <w:color w:val="000000" w:themeColor="text1"/>
        </w:rPr>
        <w:t>has</w:t>
      </w:r>
      <w:r w:rsidRPr="00700474">
        <w:rPr>
          <w:rFonts w:ascii="Times New Roman" w:hAnsi="Times New Roman" w:cs="Times New Roman"/>
          <w:color w:val="000000" w:themeColor="text1"/>
        </w:rPr>
        <w:t xml:space="preserve"> been utilized to deal with aberrant </w:t>
      </w:r>
      <w:r w:rsidR="000E6E58"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especially in children. Tennessee is one of 22 states that allow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Adopted in 1979, the School Discipline Act</w:t>
      </w:r>
      <w:r w:rsidR="000E6E58" w:rsidRPr="00700474">
        <w:rPr>
          <w:rFonts w:ascii="Times New Roman" w:hAnsi="Times New Roman" w:cs="Times New Roman"/>
          <w:color w:val="000000" w:themeColor="text1"/>
        </w:rPr>
        <w:t xml:space="preserve"> </w:t>
      </w:r>
      <w:r w:rsidRPr="00700474">
        <w:rPr>
          <w:rFonts w:ascii="Times New Roman" w:hAnsi="Times New Roman" w:cs="Times New Roman"/>
          <w:color w:val="000000" w:themeColor="text1"/>
        </w:rPr>
        <w:t>permits educators to use corporal punishment in Tennessee public schools. Under this Act, teachers or principals may utilize corporal punishment if it is reasonable. The law does not define “reasonable” but directs local boards of education to adopt policies governing its use within their districts</w:t>
      </w:r>
      <w:r w:rsidR="000E6E58" w:rsidRPr="00700474">
        <w:rPr>
          <w:rFonts w:ascii="Times New Roman" w:hAnsi="Times New Roman" w:cs="Times New Roman"/>
          <w:color w:val="000000" w:themeColor="text1"/>
        </w:rPr>
        <w:t xml:space="preserve"> (Tennessee Code Annotated 1979)</w:t>
      </w:r>
      <w:r w:rsidRPr="00700474">
        <w:rPr>
          <w:rFonts w:ascii="Times New Roman" w:hAnsi="Times New Roman" w:cs="Times New Roman"/>
          <w:color w:val="000000" w:themeColor="text1"/>
        </w:rPr>
        <w:t xml:space="preserve">. Thus,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w:t>
      </w:r>
      <w:r w:rsidR="009A53D0" w:rsidRPr="00700474">
        <w:rPr>
          <w:rFonts w:ascii="Times New Roman" w:hAnsi="Times New Roman" w:cs="Times New Roman"/>
          <w:color w:val="000000" w:themeColor="text1"/>
        </w:rPr>
        <w:t>appears</w:t>
      </w:r>
      <w:r w:rsidRPr="00700474">
        <w:rPr>
          <w:rFonts w:ascii="Times New Roman" w:hAnsi="Times New Roman" w:cs="Times New Roman"/>
          <w:color w:val="000000" w:themeColor="text1"/>
        </w:rPr>
        <w:t xml:space="preserve"> to be an accepted disciplinary measure for children in most societies, albeit harmful.</w:t>
      </w:r>
    </w:p>
    <w:p w14:paraId="64897A5A" w14:textId="6CCB929A" w:rsidR="008B1030" w:rsidRPr="00700474" w:rsidRDefault="008B1030" w:rsidP="0017691B">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Kyei-Gyamfi (2011:79) states that empirical data show that most, if not all, children are subjected to physical abuse daily in the home and at school, with caning and whipping being the most</w:t>
      </w:r>
      <w:r w:rsidRPr="00700474">
        <w:rPr>
          <w:rFonts w:ascii="Times New Roman" w:hAnsi="Times New Roman" w:cs="Times New Roman"/>
          <w:strike/>
          <w:color w:val="000000" w:themeColor="text1"/>
        </w:rPr>
        <w:t xml:space="preserve"> </w:t>
      </w:r>
      <w:r w:rsidRPr="00700474">
        <w:rPr>
          <w:rFonts w:ascii="Times New Roman" w:hAnsi="Times New Roman" w:cs="Times New Roman"/>
          <w:color w:val="000000" w:themeColor="text1"/>
        </w:rPr>
        <w:t xml:space="preserve">used corrective methods applied to children in Ghana—corporal punishment. The Global Initiative to End All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of Children (2017) report revealed that between 2005 and 2006, 90 percent of Ghanaian children between ages 2 and 14 experienced some form of violent discipline (physical punishment and psychological aggression) at home by parents and caregivers. Ten (10) percent experienced severe physical punishment, and the percentage of children who experienced psychological aggression stood at 88 percent.</w:t>
      </w:r>
    </w:p>
    <w:p w14:paraId="0927CDC7" w14:textId="77777777" w:rsidR="008B1030" w:rsidRPr="00700474" w:rsidRDefault="008B1030" w:rsidP="0017691B">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A 2008 study involving 4,164 children from Ghana, conducted by Curious Minds and the Department of Children with UNICEF support, revealed that 71 percent experienced some form of corrective force at school and 81 percent at home. According to statistics collected between 2010-2011 under round 4 of the UNICEF Multiple Indicator Cluster Survey program (MICS4), 94 percent of children aged 2-14 had experienced violent "discipline" (physical punishment or psychological aggression) in the home in the month prior to the survey. Three-quarters (73%) experienced physical punishment, fourteen percent of children were severely </w:t>
      </w:r>
      <w:r w:rsidRPr="00700474">
        <w:rPr>
          <w:rFonts w:ascii="Times New Roman" w:hAnsi="Times New Roman" w:cs="Times New Roman"/>
          <w:color w:val="000000" w:themeColor="text1"/>
        </w:rPr>
        <w:lastRenderedPageBreak/>
        <w:t>physically punished (hit or slapped on the face, head, or ears or hit over and over with an implement), and eighty-nine percent (89%) experienced psychological aggression - being shouted at, yelled at, screamed at or insulted (GSS 2018).</w:t>
      </w:r>
    </w:p>
    <w:p w14:paraId="570E012A" w14:textId="77777777" w:rsidR="008B1030" w:rsidRDefault="008B1030" w:rsidP="0017691B">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In February 2017, the Ghana government abolished corporal punishment in schools (Lawer 2019). The Ghana Education Service (GES) Code of Conduct (2018 edition) also officially banned corporal punishment in all pre-tertiary schools. Yet in 2018, the Ghana Statistical Service's (GSS 2018) Multiple Indicator Cluster Survey revealed that almost all children (94%) aged 1-14 years experienced some form of violent 'discipline' at home. While seventeen percent (17%) experienced severe physical punishment (hitting or slapping a child on the face), seventy-eight percent (78%) experienced other forms of physical punishment. Among 3–4-year-olds, physical punishment was highest (86%) and lowest among 10–14-year-olds sixty-five percent (GSS 2018). From the previous discussion, physical punishment prevails in Ghana even though existing legal and constitutional provisions criminalize its application. Reactions to deviance or crime have evolved to its current forms because of the rapid social changes that have occurred since the native people in today’s Ghana encountered the Europeans, especially since the Bond of 1844. Social change has enabled an evolution of a centrally controlled criminal justice system in which, unlike the precolonial times where the traditional ruler controlled the administration of justice, the police, courts and the prisons or corrections are now the main actors and players in Ghana. Sociological literature has long established not only a clear link between modernization and increasing levels of criminality, but also how modernization has influenced the way offenders are sanctioned.</w:t>
      </w:r>
    </w:p>
    <w:p w14:paraId="1938F5F6" w14:textId="77777777" w:rsidR="00E65B1F" w:rsidRDefault="00E65B1F" w:rsidP="0017691B">
      <w:pPr>
        <w:pStyle w:val="NoSpacing"/>
        <w:spacing w:line="480" w:lineRule="auto"/>
        <w:ind w:firstLine="720"/>
        <w:rPr>
          <w:rFonts w:ascii="Times New Roman" w:hAnsi="Times New Roman" w:cs="Times New Roman"/>
          <w:color w:val="000000" w:themeColor="text1"/>
        </w:rPr>
      </w:pPr>
    </w:p>
    <w:p w14:paraId="7F97A113" w14:textId="77777777" w:rsidR="00E65B1F" w:rsidRPr="00700474" w:rsidRDefault="00E65B1F" w:rsidP="0017691B">
      <w:pPr>
        <w:pStyle w:val="NoSpacing"/>
        <w:spacing w:line="480" w:lineRule="auto"/>
        <w:ind w:firstLine="720"/>
        <w:rPr>
          <w:rFonts w:ascii="Times New Roman" w:hAnsi="Times New Roman" w:cs="Times New Roman"/>
          <w:color w:val="000000" w:themeColor="text1"/>
        </w:rPr>
      </w:pPr>
    </w:p>
    <w:p w14:paraId="4F4F9919" w14:textId="3A34BD5E" w:rsidR="008B1030" w:rsidRPr="00700474" w:rsidRDefault="008B1030" w:rsidP="00632973">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lastRenderedPageBreak/>
        <w:t xml:space="preserve">Theorizing </w:t>
      </w:r>
      <w:r w:rsidR="00EE5073" w:rsidRPr="00700474">
        <w:rPr>
          <w:rFonts w:ascii="Times New Roman" w:hAnsi="Times New Roman" w:cs="Times New Roman"/>
          <w:b/>
          <w:bCs/>
          <w:color w:val="000000" w:themeColor="text1"/>
        </w:rPr>
        <w:t>Sanctions</w:t>
      </w:r>
      <w:r w:rsidRPr="00700474">
        <w:rPr>
          <w:rFonts w:ascii="Times New Roman" w:hAnsi="Times New Roman" w:cs="Times New Roman"/>
          <w:b/>
          <w:bCs/>
          <w:color w:val="000000" w:themeColor="text1"/>
        </w:rPr>
        <w:t xml:space="preserve"> in Ghana</w:t>
      </w:r>
    </w:p>
    <w:p w14:paraId="3BB1430D"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Emile Durkheim (1897;1951) would explain the change in the Ghanaian legal system in terms of a predictable progression in step with societal change. Social control changes when people and interactions increase and become more complex. For instance, the precolonial era was characterized by mechanical solidarity, a term used by Durkheim to describe a type of social order maintained by the collective consciousness of a culture based on sharing similar work, values, beliefs, kinship ties or familial networks with little or no division of labor (Vold, 2010). According to Durkheim (1897;1951) and as evident in the indigenous legal system of Gold Coast, laws and sanctions were derived from traditions or customs, and they focused on maintaining social solidarity and conformity to the norms. The arrival of the colonists to the Gold Coast meant an increase in the number of people and interactions, with interactions becoming more complex. Here, organic solidarity prevailed, a term used by Durkheim to describe a type of social order based around an acceptance of economic and social differences, and identical and straightforward interactions were replaced by complex interdependence due to specialized roles or division of labor. Laws were intended to guide this complex interaction and ensure law and order (Durkheim 1897;1951).</w:t>
      </w:r>
    </w:p>
    <w:p w14:paraId="1A6623F0"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Max Weber would explain the change in the indigenous legal system as an effect of rationality to make the justice system more methodological, efficient and predictable. Weber argues that when society transitions from a traditional to a modern society, traditions and effective ways of doing things are replaced by a system based on rationalization and rational forms concerned with efficiency, predictability, calculability and dehumanization. In modern society, as delineated by Weber, the type of authority used is the Legal-Rational Authority. Legal-rational authority is the historical solution to traditional authority. For instance, whereas laws </w:t>
      </w:r>
      <w:r w:rsidRPr="00700474">
        <w:rPr>
          <w:rFonts w:ascii="Times New Roman" w:hAnsi="Times New Roman" w:cs="Times New Roman"/>
          <w:color w:val="000000" w:themeColor="text1"/>
        </w:rPr>
        <w:lastRenderedPageBreak/>
        <w:t>were derived from customary needs in the traditional society as was in precolonial Gold Coast, in modern society or under colonial rule, they were derived from bureaucratic needs under legal-rational authority. This transition can be seen in the shift from customary laws to colonial laws, and from traditional leadership structures to bureaucratic ones. Again, whereas the administrative model under the traditional authority is household, under the legal-rational authority, it is bureaucracy (Sutton, 2000).</w:t>
      </w:r>
    </w:p>
    <w:p w14:paraId="5B7D7C56" w14:textId="02B4A282"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Clinard and Abbott (1973), in </w:t>
      </w:r>
      <w:r w:rsidRPr="00700474">
        <w:rPr>
          <w:rFonts w:ascii="Times New Roman" w:hAnsi="Times New Roman" w:cs="Times New Roman"/>
          <w:i/>
          <w:iCs/>
          <w:color w:val="000000" w:themeColor="text1"/>
        </w:rPr>
        <w:t>Crime in Developing Countries: A Comparative Perspective</w:t>
      </w:r>
      <w:r w:rsidRPr="00700474">
        <w:rPr>
          <w:rFonts w:ascii="Times New Roman" w:hAnsi="Times New Roman" w:cs="Times New Roman"/>
          <w:color w:val="000000" w:themeColor="text1"/>
        </w:rPr>
        <w:t xml:space="preserve">, consider how modernization impacts crime and </w:t>
      </w:r>
      <w:r w:rsidR="00EE5073" w:rsidRPr="00700474">
        <w:rPr>
          <w:rFonts w:ascii="Times New Roman" w:hAnsi="Times New Roman" w:cs="Times New Roman"/>
          <w:color w:val="000000" w:themeColor="text1"/>
        </w:rPr>
        <w:t>sanctioning</w:t>
      </w:r>
      <w:r w:rsidRPr="00700474">
        <w:rPr>
          <w:rFonts w:ascii="Times New Roman" w:hAnsi="Times New Roman" w:cs="Times New Roman"/>
          <w:color w:val="000000" w:themeColor="text1"/>
        </w:rPr>
        <w:t xml:space="preserve"> in developing nations. They argue that traditional societies rely on informal justice mechanisms embedded in family, community, or religious structures, which weaken as modernization shifts justice administration to formal institutions like police, courts, and prisons. This transition often leads to inefficiencies, corruption, and delays, especially when legal systems are inherited from colonial powers and misaligned with local cultural values. The imposition of Western legal frameworks creates cultural dissonance, undermining the legitimacy of formal institutions and fostering alternative forms of justice, such as mob justice in Ghana. Drawing from Clinard and Abbott (1973)’s </w:t>
      </w:r>
      <w:r w:rsidR="004D01AD" w:rsidRPr="00700474">
        <w:rPr>
          <w:rFonts w:ascii="Times New Roman" w:hAnsi="Times New Roman" w:cs="Times New Roman"/>
          <w:color w:val="000000" w:themeColor="text1"/>
        </w:rPr>
        <w:t>works,</w:t>
      </w:r>
      <w:r w:rsidRPr="00700474">
        <w:rPr>
          <w:rFonts w:ascii="Times New Roman" w:hAnsi="Times New Roman" w:cs="Times New Roman"/>
          <w:color w:val="000000" w:themeColor="text1"/>
        </w:rPr>
        <w:t xml:space="preserve"> the changes in Ghana’s legal system during the colonial era highlights how modernization necessitates structural changes that disrupt existing societal frameworks, including legal systems</w:t>
      </w:r>
      <w:r w:rsidR="004D01AD" w:rsidRPr="00700474">
        <w:rPr>
          <w:rFonts w:ascii="Times New Roman" w:hAnsi="Times New Roman" w:cs="Times New Roman"/>
          <w:color w:val="000000" w:themeColor="text1"/>
        </w:rPr>
        <w:t xml:space="preserve"> and sanctions.</w:t>
      </w:r>
    </w:p>
    <w:p w14:paraId="7817DA63"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Brantingham and Brantingham’s (1991) work has to do with how modernization and social change influence crime patterns and opportunities, then shaping societies' responses to crime and punishment. The Brantinghams propose that criminal activities often adhere to predictable patterns based on the structure of the built environment, and these patterns evolve dynamically with modernization. For example, as societies modernize, individuals’ routine </w:t>
      </w:r>
      <w:r w:rsidRPr="00700474">
        <w:rPr>
          <w:rFonts w:ascii="Times New Roman" w:hAnsi="Times New Roman" w:cs="Times New Roman"/>
          <w:color w:val="000000" w:themeColor="text1"/>
        </w:rPr>
        <w:lastRenderedPageBreak/>
        <w:t>activities change, creating new opportunities for crime (e.g., through transportation systems, digital infrastructure, and commercial centers). While their focus is not on punishment, their work suggests that punishment or punishment policies should not remain static but evolve to effectively address these ever-changing crime patterns. Thus, the change in Ghana’s legal system during the colonial era was a necessity to effectively address the changes crime patterns due to modernization.</w:t>
      </w:r>
    </w:p>
    <w:p w14:paraId="4621FE6D" w14:textId="532C0151"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From a distinctly African criminological perspective, Mushanga (1976) explores the intricate relationship between modernization, social change, and punishment in Africa. He highlights how modernization, particularly Westernization and colonial legal systems, disrupted traditional justice practices that were restorative and community-oriented. The imposition of punitive, state-</w:t>
      </w:r>
      <w:r w:rsidR="000569CB" w:rsidRPr="00700474">
        <w:rPr>
          <w:rFonts w:ascii="Times New Roman" w:hAnsi="Times New Roman" w:cs="Times New Roman"/>
          <w:color w:val="000000" w:themeColor="text1"/>
        </w:rPr>
        <w:t>centered</w:t>
      </w:r>
      <w:r w:rsidRPr="00700474">
        <w:rPr>
          <w:rFonts w:ascii="Times New Roman" w:hAnsi="Times New Roman" w:cs="Times New Roman"/>
          <w:color w:val="000000" w:themeColor="text1"/>
        </w:rPr>
        <w:t xml:space="preserve"> systems by colonial powers not only criminalized indigenous customs but also introduced repressive penal structures, eroding the legitimacy of formal justice systems among local populations. Like other modernization and social change arguments, Mushanga (1976) notes that social changes like urbanization and economic shifts have led to new forms of crime, prompting modern states to adopt punitive sanctions rather than addressing root causes through community engagement. He strongly advocates for integrating Indigenous justice practices with modern frameworks to create culturally relevant and effective responses to crime and punishment.</w:t>
      </w:r>
    </w:p>
    <w:p w14:paraId="212A7C2F"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Social change and modernization theories provide understanding into how macro-level phenomena such as economic growth and societal transitions shape attitudes toward crime and punishment. However, they fail to incorporate insights from the micro level—how individuals create, interpret, negotiate meanings, or form opinions or attitudes in their social world through interactions. Therefore, my research, which delves into attitudes toward sanctions in Ghana, </w:t>
      </w:r>
      <w:r w:rsidRPr="00700474">
        <w:rPr>
          <w:rFonts w:ascii="Times New Roman" w:hAnsi="Times New Roman" w:cs="Times New Roman"/>
          <w:color w:val="000000" w:themeColor="text1"/>
        </w:rPr>
        <w:lastRenderedPageBreak/>
        <w:t>stands apart from macro-level studies which tend to generalize societal trends. My research brings to light the rich diversity of opinions influenced by factors such as age, gender, ethnic or cultural background, personal experiences, narratives (lived or told) and religious affiliation. While modernization and social change theories shed light on why the evolution of legal systems and their sanctions took place under colonial rule, they do not provide a comprehensive understanding of the objectives of these sanctions. Therefore, the next section is paramount as it delves into the theorized rationales of sanctioning (retribution, deterrence, rehabilitation, incapacitation and restoration), thereby providing a deeper understanding of the logic underpinning sanctions across these social changes.</w:t>
      </w:r>
    </w:p>
    <w:p w14:paraId="75EACFB8" w14:textId="77777777"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Broader Rationales of Punishment</w:t>
      </w:r>
    </w:p>
    <w:p w14:paraId="4C2FABF8"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Scholars describe two main rationales of punishment: (a) utilitarianism which uses punishment to achieve utility specifically deterrence, incapacitation, and rehabilitation and (b) non-utilitarian specifically retributive and restorative justice.</w:t>
      </w:r>
    </w:p>
    <w:p w14:paraId="5BE5391C"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Retribution</w:t>
      </w:r>
    </w:p>
    <w:p w14:paraId="03CCD638" w14:textId="72719A85"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Retributive justice is one of the oldest rationales for criminal sanctioning, deeply rooted in religious and theological ideas. It emphasizes punishment, such as pain, suffering, or even death, as a way to atone for criminal offenses, following the principle of “an eye for an eye” (Hadley 2001). The core appeal of retributive theories lies in the belief that offenders should face retribution for their actions (Caruso </w:t>
      </w:r>
      <w:r w:rsidR="00005BD5"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Pereboom 2020). Murphy (1988) argues that retribution stems from morally justified hatred, which is not irrational or immoral. This feeling arises when victims perceive offenders as unrepentant and flourishing despite their wrongdoing. Retribution provides a therapeutic effect for victims by ensuring perpetrators receive their “just deserts.” However, Murphy cautions against retribution based on imagined injuries, deeming it unjustified </w:t>
      </w:r>
      <w:r w:rsidRPr="00700474">
        <w:rPr>
          <w:rFonts w:ascii="Times New Roman" w:hAnsi="Times New Roman" w:cs="Times New Roman"/>
          <w:color w:val="000000" w:themeColor="text1"/>
        </w:rPr>
        <w:lastRenderedPageBreak/>
        <w:t>and immoral. Lab (2013) adds that sanctions motivated by retributive reasons can also serve utilitarian purposes by eliminating benefits gained by offenders, thereby deterring future crimes. Despite its focus on punishment, retributive justice has been criticized for failing to address victims’ needs or providing a convincing explanation of how suffering makes things right (Hadley 2001). Recent legal philosophy trends advocate for restorative justice approaches, which prioritize healing relationships and addressing victims’ needs through dialogue and mutual understanding (Govindan 2022). Supporters of retributive sanctions argue that penalties should reflect the severity of crimes and ensure moral balance by delivering fair and just punishments. They often favor punitive measures over rehabilitative ones to maintain societal condemnation of wrongdoing and deter future offenses.</w:t>
      </w:r>
    </w:p>
    <w:p w14:paraId="6442DD29"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 xml:space="preserve">Deterrence </w:t>
      </w:r>
    </w:p>
    <w:p w14:paraId="742B5E49" w14:textId="7C4ACF9E" w:rsidR="008B1030" w:rsidRPr="00700474" w:rsidRDefault="005E215C" w:rsidP="005E215C">
      <w:pPr>
        <w:jc w:val="left"/>
      </w:pPr>
      <w:r w:rsidRPr="00700474">
        <w:t>The d</w:t>
      </w:r>
      <w:r w:rsidR="008B1030" w:rsidRPr="00700474">
        <w:t xml:space="preserve">eterrence theory aims to prevent future crimes by creating a fear of punishment. </w:t>
      </w:r>
      <w:r w:rsidRPr="00700474">
        <w:t>The d</w:t>
      </w:r>
      <w:r w:rsidR="008B1030" w:rsidRPr="00700474">
        <w:t>eterrence theory is grounded in the idea that the threat or application of punishment can prevent individuals from engaging in criminal behavior. Its arguments are based on the principles of rational choice, where individuals weigh the costs and benefits of their actions before deciding to commit a crime</w:t>
      </w:r>
      <w:r w:rsidR="00460431" w:rsidRPr="00700474">
        <w:t xml:space="preserve"> (Beccaria 1764; 1986).</w:t>
      </w:r>
    </w:p>
    <w:p w14:paraId="3ECD020B" w14:textId="77777777" w:rsidR="008B1030" w:rsidRPr="00700474" w:rsidRDefault="008B1030" w:rsidP="004D01AD">
      <w:pPr>
        <w:ind w:firstLine="720"/>
        <w:jc w:val="left"/>
      </w:pPr>
      <w:r w:rsidRPr="00700474">
        <w:t xml:space="preserve">Cesare Beccaria (1764; 1986) argued that humans act rationally, weighing the costs and benefits of their actions. He believed sanctions should be proportionate to the harm caused and restrictive enough to deter crime without being excessive. Beccaria emphasized three key principles for effective deterrence: certainty (sanctions must be guaranteed), severity (penalties should match the crime but not be overly harsh), and celerity (punishment must follow swiftly after the offense). Excessively severe sanctions, such as death for minor offenses, could lead to disrespect for the law, while lenient penalties fail to deter crime (Beccaria [1764] 1986). </w:t>
      </w:r>
    </w:p>
    <w:p w14:paraId="59D42CA6" w14:textId="1132A1F9" w:rsidR="008B1030" w:rsidRPr="00700474" w:rsidRDefault="008B1030" w:rsidP="004D01AD">
      <w:pPr>
        <w:ind w:firstLine="720"/>
        <w:jc w:val="left"/>
      </w:pPr>
      <w:r w:rsidRPr="00700474">
        <w:lastRenderedPageBreak/>
        <w:t>Jeremy Bentham (1789) supported Beccaria’s ideas, proposing that sanctions should outweigh the pleasure derived from crimes. He outlined four rules of utility: ensuring sanctions outweigh criminal benefits, encouraging lesser offenses over greater ones, minimizing harm caused by offenders, and implementing cost-effective crime prevention measures. In research on attitudes toward sanctions, deterrence theory suggests that certain, swift, and appropriately severe punishments can instill fear in offenders or potential offenders, discouraging criminal acts. Advocates of this theory support stringent penalties and consistent enforcement to create strong disincentives. However, reductions in crime may also result from incapacitation (</w:t>
      </w:r>
      <w:r w:rsidR="004D01AD" w:rsidRPr="00700474">
        <w:t>e.g., imprisonment</w:t>
      </w:r>
      <w:r w:rsidRPr="00700474">
        <w:t>), which prevents offenders from committing further crimes</w:t>
      </w:r>
    </w:p>
    <w:p w14:paraId="3BC1AF2D"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Rehabilitation</w:t>
      </w:r>
    </w:p>
    <w:p w14:paraId="106A2725"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Rehabilitation is an approach aimed at reducing recidivism (repeat offending) by addressing internal and social criminogenic factors that contribute to criminal behavior. Cullen and Jonson (2011) describe it as a planned intervention designed to promote constructive change in offenders’ lives, aligning with utilitarian principles. Rooted in the medical model, rehabilitation views crime as influenced by causal risk factors—biological, psychological, or social—that must be accurately diagnosed and treated for offenders to reform. </w:t>
      </w:r>
    </w:p>
    <w:p w14:paraId="536C6918"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Lipsey and Cullen (2007) emphasize that rehabilitation involves interactions with offenders to motivate and support positive changes in their behavior. It can be provided alongside sanctions like incarceration but is not defined by them. Effective rehabilitation requires individualized treatment based on the offender’s unique circumstances rather than the nature of the crime committed. Cullen (2013) identifies three key components of rehabilitation: accurate diagnosis of criminogenic factors; recognition that people commit crimes for diverse reasons (e.g., economic need, peer pressure); and individualized treatment tailored to the offender’s </w:t>
      </w:r>
      <w:r w:rsidRPr="00700474">
        <w:rPr>
          <w:rFonts w:ascii="Times New Roman" w:hAnsi="Times New Roman" w:cs="Times New Roman"/>
          <w:color w:val="000000" w:themeColor="text1"/>
        </w:rPr>
        <w:lastRenderedPageBreak/>
        <w:t xml:space="preserve">specific needs. Cullen (2017) identifies challenges in implementing rehabilitation, such as ensuring correctional staff have the expertise to diagnose and treat offenders effectively while navigating political and custodial pressures within the correctional system. </w:t>
      </w:r>
    </w:p>
    <w:p w14:paraId="01088F78"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Incapacitation</w:t>
      </w:r>
    </w:p>
    <w:p w14:paraId="4074A897" w14:textId="118CAA9D"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Incapacitation is a utilitarian rationale for punishment that aims to prevent offenders from committing further crimes by physically restraining them. The most common form of incapacitation is incarceration, which ensures public safety by removing offenders from society (Cohen 1983). Other methods include house arrest, electronic monitoring, and the death penalty, which is considered the most extreme form (Glaeser </w:t>
      </w:r>
      <w:r w:rsidR="00005BD5" w:rsidRPr="00700474">
        <w:rPr>
          <w:rFonts w:ascii="Times New Roman" w:hAnsi="Times New Roman" w:cs="Times New Roman"/>
          <w:color w:val="000000" w:themeColor="text1"/>
        </w:rPr>
        <w:t xml:space="preserve">and </w:t>
      </w:r>
      <w:r w:rsidRPr="00700474">
        <w:rPr>
          <w:rFonts w:ascii="Times New Roman" w:hAnsi="Times New Roman" w:cs="Times New Roman"/>
          <w:color w:val="000000" w:themeColor="text1"/>
        </w:rPr>
        <w:t>Sacerdote 2000). Prison terms are seen as inclusive forms of incapacitation, protecting both society and victims by rendering dangerous individuals</w:t>
      </w:r>
      <w:r w:rsidR="004D01AD" w:rsidRPr="00700474">
        <w:rPr>
          <w:rFonts w:ascii="Times New Roman" w:hAnsi="Times New Roman" w:cs="Times New Roman"/>
          <w:color w:val="000000" w:themeColor="text1"/>
        </w:rPr>
        <w:t>’</w:t>
      </w:r>
      <w:r w:rsidRPr="00700474">
        <w:rPr>
          <w:rFonts w:ascii="Times New Roman" w:hAnsi="Times New Roman" w:cs="Times New Roman"/>
          <w:color w:val="000000" w:themeColor="text1"/>
        </w:rPr>
        <w:t xml:space="preserve"> incapable of causing harm (Duker </w:t>
      </w:r>
      <w:r w:rsidR="00005BD5"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Malsch 2012).</w:t>
      </w:r>
    </w:p>
    <w:p w14:paraId="72EFB969" w14:textId="77777777" w:rsidR="00E65B1F" w:rsidRDefault="008B1030" w:rsidP="00E65B1F">
      <w:pPr>
        <w:pStyle w:val="NoSpacing"/>
        <w:widowControl w:val="0"/>
        <w:spacing w:line="480" w:lineRule="auto"/>
        <w:ind w:firstLine="720"/>
        <w:rPr>
          <w:b/>
          <w:bCs/>
          <w:i/>
          <w:iCs/>
        </w:rPr>
      </w:pPr>
      <w:r w:rsidRPr="00700474">
        <w:rPr>
          <w:rFonts w:ascii="Times New Roman" w:hAnsi="Times New Roman" w:cs="Times New Roman"/>
          <w:color w:val="000000" w:themeColor="text1"/>
        </w:rPr>
        <w:t xml:space="preserve">Two types of </w:t>
      </w:r>
      <w:r w:rsidR="004D01AD" w:rsidRPr="00700474">
        <w:rPr>
          <w:rFonts w:ascii="Times New Roman" w:hAnsi="Times New Roman" w:cs="Times New Roman"/>
          <w:color w:val="000000" w:themeColor="text1"/>
        </w:rPr>
        <w:t>incapacitations</w:t>
      </w:r>
      <w:r w:rsidRPr="00700474">
        <w:rPr>
          <w:rFonts w:ascii="Times New Roman" w:hAnsi="Times New Roman" w:cs="Times New Roman"/>
          <w:color w:val="000000" w:themeColor="text1"/>
        </w:rPr>
        <w:t xml:space="preserve"> are distinguished. Selective Incapacitation are tailored sentences based on an individual’s likelihood of reoffending. This approach requires predictive accuracy to identify high-rate offenders. Collective Incapacitation entails uniform sentencing policies applied broadly without considering individual differences (Greenberg 1975; Cohen 1983). Proponents of incapacitation favor sanctions that effectively reduce crime rates and prevent recidivism. They also support interventions that rehabilitate offenders alongside incapacitating measures, aiming to teach them how to reintegrate into society without committing further crimes.</w:t>
      </w:r>
    </w:p>
    <w:p w14:paraId="4C6B1EF5" w14:textId="6DB5CFBF" w:rsidR="008B1030" w:rsidRPr="00E65B1F" w:rsidRDefault="008B1030" w:rsidP="00E65B1F">
      <w:pPr>
        <w:pStyle w:val="NoSpacing"/>
        <w:widowControl w:val="0"/>
        <w:spacing w:line="480" w:lineRule="auto"/>
        <w:rPr>
          <w:rFonts w:ascii="Times New Roman" w:hAnsi="Times New Roman" w:cs="Times New Roman"/>
          <w:color w:val="000000" w:themeColor="text1"/>
        </w:rPr>
      </w:pPr>
      <w:r w:rsidRPr="00E65B1F">
        <w:rPr>
          <w:rFonts w:ascii="Times New Roman" w:hAnsi="Times New Roman" w:cs="Times New Roman"/>
          <w:b/>
          <w:bCs/>
          <w:i/>
          <w:iCs/>
        </w:rPr>
        <w:t>Restoration</w:t>
      </w:r>
      <w:bookmarkStart w:id="3" w:name="_Hlk177439040"/>
    </w:p>
    <w:bookmarkEnd w:id="3"/>
    <w:p w14:paraId="448F83CE"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Restorative justice challenges the traditional criminal justice system’s reliance on punitive sanctions, proposing instead a community-based approach that emphasizes accountability, healing, and reconciliation. Inspired by indigenous and pre-colonial justice systems, restorative </w:t>
      </w:r>
      <w:r w:rsidRPr="00700474">
        <w:rPr>
          <w:rFonts w:ascii="Times New Roman" w:hAnsi="Times New Roman" w:cs="Times New Roman"/>
          <w:color w:val="000000" w:themeColor="text1"/>
        </w:rPr>
        <w:lastRenderedPageBreak/>
        <w:t>justice avoids formal impositions of pain or humiliation, focusing on informal processes such as community meetings involving offenders, victims, and other stakeholders. These gatherings aim to address harm through fact-finding, confession, restitution, repentance, and reconciliation (Braithwaite 1999; Hadley 2001).</w:t>
      </w:r>
    </w:p>
    <w:p w14:paraId="50C057C4"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Christie (1977) and Zehr (1990) argue that crime should be seen as a violation of relationships rather than just laws. Justice involves repairing harm across four dimensions: the victim, interpersonal relationships, the offender, and the community. Zehr (1990) outlines three goals of restorative justice. First, restorative justice seeks restitution and healing for victims, promoting recovery and closure without minimizing the violation. Second, it pursues reconciliation between designated victim and offender, establishing positive relationships through repentance and forgiveness when possible. Third, restorative justice entails healing for designated offenders, encouraging accountability as a step toward personal growth. Additionally, restorative justice seeks to heal communities affected by crime by fostering collective responsibility and transformation. It emphasizes not only repairing harm but also ensuring offenders and their relationships with victims are transformed into healthier dynamics to prevent future offenses.</w:t>
      </w:r>
    </w:p>
    <w:p w14:paraId="20630518" w14:textId="149BE56F" w:rsidR="001C7FA3" w:rsidRPr="00700474" w:rsidRDefault="008B1030" w:rsidP="001C7FA3">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Proponents of restorative justice favor sanctions that prioritize healing over punishment, advocate for community participation in resolving conflicts, and support alternatives like mediation. They emphasize addressing root causes of criminal behavior through holistic strategies that foster dialogue, understanding, and collective accountability.</w:t>
      </w:r>
      <w:r w:rsidR="001C7FA3" w:rsidRPr="00700474">
        <w:rPr>
          <w:rFonts w:ascii="Times New Roman" w:hAnsi="Times New Roman" w:cs="Times New Roman"/>
          <w:color w:val="000000" w:themeColor="text1"/>
        </w:rPr>
        <w:t xml:space="preserve"> </w:t>
      </w:r>
      <w:r w:rsidRPr="00700474">
        <w:rPr>
          <w:rFonts w:ascii="Times New Roman" w:hAnsi="Times New Roman" w:cs="Times New Roman"/>
          <w:color w:val="000000" w:themeColor="text1"/>
        </w:rPr>
        <w:t xml:space="preserve">The rationales of sanctioning provide a framework to guide our actions in punishing offenders and the objectives we aim to achieve through these sanctions. When applied to this research, which explores attitudes toward sanctions in Ghana, these theories aid in contextualizing Ghanaians' aim for </w:t>
      </w:r>
      <w:r w:rsidRPr="00700474">
        <w:rPr>
          <w:rFonts w:ascii="Times New Roman" w:hAnsi="Times New Roman" w:cs="Times New Roman"/>
          <w:color w:val="000000" w:themeColor="text1"/>
        </w:rPr>
        <w:lastRenderedPageBreak/>
        <w:t xml:space="preserve">sanctioning. However, they fall short when addressing how attitudes toward sanctions in Ghana are shaped, leaving a need for further exploration. </w:t>
      </w:r>
      <w:r w:rsidR="001C7FA3" w:rsidRPr="00700474">
        <w:rPr>
          <w:rFonts w:ascii="Times New Roman" w:hAnsi="Times New Roman" w:cs="Times New Roman"/>
          <w:color w:val="000000" w:themeColor="text1"/>
        </w:rPr>
        <w:t>Thus, this research addresses a theoretical gap by integrating </w:t>
      </w:r>
      <w:r w:rsidR="00F30DC2" w:rsidRPr="00700474">
        <w:rPr>
          <w:rFonts w:ascii="Times New Roman" w:hAnsi="Times New Roman" w:cs="Times New Roman"/>
          <w:color w:val="000000" w:themeColor="text1"/>
        </w:rPr>
        <w:t>n</w:t>
      </w:r>
      <w:r w:rsidR="001C7FA3" w:rsidRPr="00700474">
        <w:rPr>
          <w:rFonts w:ascii="Times New Roman" w:hAnsi="Times New Roman" w:cs="Times New Roman"/>
          <w:color w:val="000000" w:themeColor="text1"/>
        </w:rPr>
        <w:t xml:space="preserve">arrative </w:t>
      </w:r>
      <w:r w:rsidR="00F30DC2" w:rsidRPr="00700474">
        <w:rPr>
          <w:rFonts w:ascii="Times New Roman" w:hAnsi="Times New Roman" w:cs="Times New Roman"/>
          <w:color w:val="000000" w:themeColor="text1"/>
        </w:rPr>
        <w:t>c</w:t>
      </w:r>
      <w:r w:rsidR="001C7FA3" w:rsidRPr="00700474">
        <w:rPr>
          <w:rFonts w:ascii="Times New Roman" w:hAnsi="Times New Roman" w:cs="Times New Roman"/>
          <w:color w:val="000000" w:themeColor="text1"/>
        </w:rPr>
        <w:t>riminology and the </w:t>
      </w:r>
      <w:r w:rsidR="00F30DC2" w:rsidRPr="00700474">
        <w:rPr>
          <w:rFonts w:ascii="Times New Roman" w:hAnsi="Times New Roman" w:cs="Times New Roman"/>
          <w:color w:val="000000" w:themeColor="text1"/>
        </w:rPr>
        <w:t>t</w:t>
      </w:r>
      <w:r w:rsidR="001C7FA3" w:rsidRPr="00700474">
        <w:rPr>
          <w:rFonts w:ascii="Times New Roman" w:hAnsi="Times New Roman" w:cs="Times New Roman"/>
          <w:color w:val="000000" w:themeColor="text1"/>
        </w:rPr>
        <w:t xml:space="preserve">heory of </w:t>
      </w:r>
      <w:r w:rsidR="00F30DC2" w:rsidRPr="00700474">
        <w:rPr>
          <w:rFonts w:ascii="Times New Roman" w:hAnsi="Times New Roman" w:cs="Times New Roman"/>
          <w:color w:val="000000" w:themeColor="text1"/>
        </w:rPr>
        <w:t>r</w:t>
      </w:r>
      <w:r w:rsidR="001C7FA3" w:rsidRPr="00700474">
        <w:rPr>
          <w:rFonts w:ascii="Times New Roman" w:hAnsi="Times New Roman" w:cs="Times New Roman"/>
          <w:color w:val="000000" w:themeColor="text1"/>
        </w:rPr>
        <w:t xml:space="preserve">easoned </w:t>
      </w:r>
      <w:r w:rsidR="00F30DC2" w:rsidRPr="00700474">
        <w:rPr>
          <w:rFonts w:ascii="Times New Roman" w:hAnsi="Times New Roman" w:cs="Times New Roman"/>
          <w:color w:val="000000" w:themeColor="text1"/>
        </w:rPr>
        <w:t>a</w:t>
      </w:r>
      <w:r w:rsidR="001C7FA3" w:rsidRPr="00700474">
        <w:rPr>
          <w:rFonts w:ascii="Times New Roman" w:hAnsi="Times New Roman" w:cs="Times New Roman"/>
          <w:color w:val="000000" w:themeColor="text1"/>
        </w:rPr>
        <w:t xml:space="preserve">ction (TRA) to explore attitudes toward sanctions in Ghana. </w:t>
      </w:r>
      <w:r w:rsidRPr="00700474">
        <w:rPr>
          <w:rFonts w:ascii="Times New Roman" w:hAnsi="Times New Roman" w:cs="Times New Roman"/>
          <w:color w:val="000000" w:themeColor="text1"/>
        </w:rPr>
        <w:t xml:space="preserve">In the following section, I discuss the application of narrative criminology and the theory of reasoned action (TRA) in </w:t>
      </w:r>
      <w:r w:rsidR="001C7FA3" w:rsidRPr="00700474">
        <w:rPr>
          <w:rFonts w:ascii="Times New Roman" w:hAnsi="Times New Roman" w:cs="Times New Roman"/>
          <w:color w:val="000000" w:themeColor="text1"/>
        </w:rPr>
        <w:t>my</w:t>
      </w:r>
      <w:r w:rsidRPr="00700474">
        <w:rPr>
          <w:rFonts w:ascii="Times New Roman" w:hAnsi="Times New Roman" w:cs="Times New Roman"/>
          <w:color w:val="000000" w:themeColor="text1"/>
        </w:rPr>
        <w:t xml:space="preserve"> research.  </w:t>
      </w:r>
    </w:p>
    <w:p w14:paraId="106D80E7" w14:textId="2F5664BA"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By integrating these two frameworks, we gain insights into attitudes toward sanctions in Ghana. Narrative criminology and the theory of reasoned action (TRA), arguably, provide a practical understanding of how individuals form, justify, and act on their attitudes, particularly in a culturally rich and diverse context like Ghana.</w:t>
      </w:r>
    </w:p>
    <w:p w14:paraId="53F6C7F4" w14:textId="77777777"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Narrative Criminology</w:t>
      </w:r>
    </w:p>
    <w:p w14:paraId="3D61B1A9" w14:textId="4DEDFFDC"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Narrative criminology, emerging from a qualitative research tradition (Presser and Sandberg 2015), is dedicated to uncovering the profound influence of stories and storytelling on harm-doing or resistance. Stories are not just accounts of events, but powerful tools that shape our understanding of the world and our interactions with each other. They act in ways that often surpass our conscious awareness of their influence (Frank 2010). Stories are not passive reflections of reality, but active constructions that can shape, influence, constrain, legitimize, captivate, motivate or enable actions (Presser and Sandberg 2015). For instance, narratives can be used to justify sanctions against an offender, making them seem acceptable or necessary within their context. Conversely, narratives can also inspire positive change by encouraging individuals to adopt new identities and behaviors (Presser 2013). </w:t>
      </w:r>
    </w:p>
    <w:p w14:paraId="67E967F3" w14:textId="059BBE9C"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People construct narratives based on culturally accepted and available stories familiar to their social position to explain past actions while predicting future actions (Presser 2010). For instance, </w:t>
      </w:r>
      <w:r w:rsidR="00713207" w:rsidRPr="00700474">
        <w:rPr>
          <w:rFonts w:ascii="Times New Roman" w:hAnsi="Times New Roman" w:cs="Times New Roman"/>
          <w:color w:val="000000" w:themeColor="text1"/>
        </w:rPr>
        <w:t>people</w:t>
      </w:r>
      <w:r w:rsidRPr="00700474">
        <w:rPr>
          <w:rFonts w:ascii="Times New Roman" w:hAnsi="Times New Roman" w:cs="Times New Roman"/>
          <w:color w:val="000000" w:themeColor="text1"/>
        </w:rPr>
        <w:t xml:space="preserve"> living in slums where crime is high but with limited police supervision may </w:t>
      </w:r>
      <w:r w:rsidRPr="00700474">
        <w:rPr>
          <w:rFonts w:ascii="Times New Roman" w:hAnsi="Times New Roman" w:cs="Times New Roman"/>
          <w:color w:val="000000" w:themeColor="text1"/>
        </w:rPr>
        <w:lastRenderedPageBreak/>
        <w:t>construct narratives that encourage citizens to ignore the formal legal system and take the laws into their own hands whenever criminal activities are suspected. These narratives can produce harm or provoke harsh sanctions. Thus, the central work of narrative criminology is to pursue an understanding of the various narratives and stories that influence harm (Presser and Sandberg 2015). It contests the popular notion that stories only rationalize past actions and professes that stories inspire</w:t>
      </w:r>
      <w:r w:rsidRPr="00700474">
        <w:rPr>
          <w:rFonts w:ascii="Times New Roman" w:hAnsi="Times New Roman" w:cs="Times New Roman"/>
          <w:i/>
          <w:iCs/>
          <w:color w:val="000000" w:themeColor="text1"/>
        </w:rPr>
        <w:t xml:space="preserve"> </w:t>
      </w:r>
      <w:r w:rsidRPr="00700474">
        <w:rPr>
          <w:rFonts w:ascii="Times New Roman" w:hAnsi="Times New Roman" w:cs="Times New Roman"/>
          <w:color w:val="000000" w:themeColor="text1"/>
        </w:rPr>
        <w:t xml:space="preserve">action or influence harm (Presser and Sandberg 2015). </w:t>
      </w:r>
    </w:p>
    <w:p w14:paraId="0045C107" w14:textId="5F0AEBC1"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Narrative criminology offers an innovative approach to understanding attitudes toward sanctions through storytelling (Presser and Sandberg 2015). However, it is important to consider the potential for narratives to be distorted through co-creation. This critique suggests that narratives are subjective, and the theory's reliance on such narratives can lead to biased interpretations (Maruna and Liem 2021). Some critics have questioned whether narratives, being cocreated through dialogue with others, might be distorted by the audience. Others have suggested that narratives are post-hoc rationalizations that may not accurately represent history. Finally, the debate over whether self-narratives have a causal explanatory function raises the question: do the narratives actually do anything? (Maruna and Liem 2021). While Narrative Criminology offers valuable insights into how storytelling shapes attitudes toward sanctions, the theory of </w:t>
      </w:r>
      <w:r w:rsidR="00B10694" w:rsidRPr="00700474">
        <w:rPr>
          <w:rFonts w:ascii="Times New Roman" w:hAnsi="Times New Roman" w:cs="Times New Roman"/>
          <w:color w:val="000000" w:themeColor="text1"/>
        </w:rPr>
        <w:t>r</w:t>
      </w:r>
      <w:r w:rsidRPr="00700474">
        <w:rPr>
          <w:rFonts w:ascii="Times New Roman" w:hAnsi="Times New Roman" w:cs="Times New Roman"/>
          <w:color w:val="000000" w:themeColor="text1"/>
        </w:rPr>
        <w:t>easoned Action complements this by providing a structured framework to predict behavior based on individual intentions and social pressures, bridging subjective narratives with measurable behavioral outcomes.</w:t>
      </w:r>
    </w:p>
    <w:p w14:paraId="0F0AE4AA" w14:textId="77777777"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Theory of Reasoned Action (TRA)</w:t>
      </w:r>
      <w:bookmarkStart w:id="4" w:name="_Hlk200188270"/>
    </w:p>
    <w:bookmarkEnd w:id="4"/>
    <w:p w14:paraId="2FF30D4D" w14:textId="66B957F3"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According to the theory of </w:t>
      </w:r>
      <w:r w:rsidR="00F30DC2" w:rsidRPr="00700474">
        <w:rPr>
          <w:rFonts w:ascii="Times New Roman" w:hAnsi="Times New Roman" w:cs="Times New Roman"/>
          <w:color w:val="000000" w:themeColor="text1"/>
        </w:rPr>
        <w:t>r</w:t>
      </w:r>
      <w:r w:rsidRPr="00700474">
        <w:rPr>
          <w:rFonts w:ascii="Times New Roman" w:hAnsi="Times New Roman" w:cs="Times New Roman"/>
          <w:color w:val="000000" w:themeColor="text1"/>
        </w:rPr>
        <w:t>easoned</w:t>
      </w:r>
      <w:r w:rsidR="00F30DC2" w:rsidRPr="00700474">
        <w:rPr>
          <w:rFonts w:ascii="Times New Roman" w:hAnsi="Times New Roman" w:cs="Times New Roman"/>
          <w:color w:val="000000" w:themeColor="text1"/>
        </w:rPr>
        <w:t xml:space="preserve"> a</w:t>
      </w:r>
      <w:r w:rsidRPr="00700474">
        <w:rPr>
          <w:rFonts w:ascii="Times New Roman" w:hAnsi="Times New Roman" w:cs="Times New Roman"/>
          <w:color w:val="000000" w:themeColor="text1"/>
        </w:rPr>
        <w:t xml:space="preserve">ction,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can largely be predicted by the individual’s reactions to performing the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which are informed by their intention. The theory also argues that a person’s intentions about performing a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are influenced by social pressures </w:t>
      </w:r>
      <w:r w:rsidRPr="00700474">
        <w:rPr>
          <w:rFonts w:ascii="Times New Roman" w:hAnsi="Times New Roman" w:cs="Times New Roman"/>
          <w:color w:val="000000" w:themeColor="text1"/>
        </w:rPr>
        <w:lastRenderedPageBreak/>
        <w:t xml:space="preserve">or “subjective norms,” which arise from the individual’s perceptions of what others will think about them performing the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in question (Vallerand, Deshaies, Cuerrier, Pelletier and Mongeau, 1991). Thus, personal attitudes and social or normative factors directly influence </w:t>
      </w:r>
      <w:r w:rsidR="00ED50AC" w:rsidRPr="00700474">
        <w:rPr>
          <w:rFonts w:ascii="Times New Roman" w:hAnsi="Times New Roman" w:cs="Times New Roman"/>
          <w:color w:val="000000" w:themeColor="text1"/>
        </w:rPr>
        <w:t>behavioral</w:t>
      </w:r>
      <w:r w:rsidRPr="00700474">
        <w:rPr>
          <w:rFonts w:ascii="Times New Roman" w:hAnsi="Times New Roman" w:cs="Times New Roman"/>
          <w:color w:val="000000" w:themeColor="text1"/>
        </w:rPr>
        <w:t xml:space="preserve"> intentions, which are the strongest predictor of actual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 Al-Suqri and Al-Aufi 2015:189). All other factors in the external environment indirectly influence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through their influence on attitudes and subjective norms (Tsai, Chen, </w:t>
      </w:r>
      <w:r w:rsidR="00ED50AC" w:rsidRPr="00700474">
        <w:rPr>
          <w:rFonts w:ascii="Times New Roman" w:hAnsi="Times New Roman" w:cs="Times New Roman"/>
          <w:color w:val="000000" w:themeColor="text1"/>
        </w:rPr>
        <w:t>and Chien</w:t>
      </w:r>
      <w:r w:rsidRPr="00700474">
        <w:rPr>
          <w:rFonts w:ascii="Times New Roman" w:hAnsi="Times New Roman" w:cs="Times New Roman"/>
          <w:color w:val="000000" w:themeColor="text1"/>
        </w:rPr>
        <w:t>, 2012).</w:t>
      </w:r>
    </w:p>
    <w:p w14:paraId="1A520604" w14:textId="1130192F"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TRA is underpinned by the general assumption that individuals are rational and develop beliefs by systematically using the information that is available to them (Zhang </w:t>
      </w:r>
      <w:r w:rsidR="00005BD5"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Ng</w:t>
      </w:r>
      <w:r w:rsidR="00256510" w:rsidRPr="00700474">
        <w:rPr>
          <w:rFonts w:ascii="Times New Roman" w:hAnsi="Times New Roman" w:cs="Times New Roman"/>
          <w:color w:val="000000" w:themeColor="text1"/>
        </w:rPr>
        <w:t xml:space="preserve"> </w:t>
      </w:r>
      <w:r w:rsidRPr="00700474">
        <w:rPr>
          <w:rFonts w:ascii="Times New Roman" w:hAnsi="Times New Roman" w:cs="Times New Roman"/>
          <w:color w:val="000000" w:themeColor="text1"/>
        </w:rPr>
        <w:t xml:space="preserve">2012). It deploys the “expectancy-value” approach –which assumes that an individual will evaluate the likelihood of a particular outcome of their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and whether this is a good thing or not before deciding whether to act. Suppose the person expects a desirable outcome from their behavior. In that case, they will be likelier to hold a more positive attitude towards performing that behavior than someone who does not expect desirable outcomes. In this context, for instance, if the individual expects that a particular sanction’s outcome would effectively deter crime, they may support that sanction and even more stringent measures. </w:t>
      </w:r>
    </w:p>
    <w:p w14:paraId="57BD9899" w14:textId="7AD6E2B1"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According to the TRA, the evaluation process in deciding whether to perform a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is influenced by combining two types of beliefs: “salient beliefs” and “normative beliefs.” As defined by Ajzen and Fishbein (1980), salient beliefs are the uppermost in mind at the specific time one decides whether to perform a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Thus, one’s attitude toward performing the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is a function of one’s salient beliefs about the expected consequences and evaluating whether the consequences are desirable. For normative beliefs, the main influence on the subjective norm relates to the individual’s perceptions about the likely views of referent groups or individuals on </w:t>
      </w:r>
      <w:r w:rsidR="00ED50AC" w:rsidRPr="00700474">
        <w:rPr>
          <w:rFonts w:ascii="Times New Roman" w:hAnsi="Times New Roman" w:cs="Times New Roman"/>
          <w:color w:val="000000" w:themeColor="text1"/>
        </w:rPr>
        <w:t>whether</w:t>
      </w:r>
      <w:r w:rsidRPr="00700474">
        <w:rPr>
          <w:rFonts w:ascii="Times New Roman" w:hAnsi="Times New Roman" w:cs="Times New Roman"/>
          <w:color w:val="000000" w:themeColor="text1"/>
        </w:rPr>
        <w:t xml:space="preserve"> they should perform the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in question. If influential groups </w:t>
      </w:r>
      <w:r w:rsidRPr="00700474">
        <w:rPr>
          <w:rFonts w:ascii="Times New Roman" w:hAnsi="Times New Roman" w:cs="Times New Roman"/>
          <w:color w:val="000000" w:themeColor="text1"/>
        </w:rPr>
        <w:lastRenderedPageBreak/>
        <w:t>(</w:t>
      </w:r>
      <w:r w:rsidR="00ED50AC" w:rsidRPr="00700474">
        <w:rPr>
          <w:rFonts w:ascii="Times New Roman" w:hAnsi="Times New Roman" w:cs="Times New Roman"/>
          <w:color w:val="000000" w:themeColor="text1"/>
        </w:rPr>
        <w:t>individual</w:t>
      </w:r>
      <w:r w:rsidRPr="00700474">
        <w:rPr>
          <w:rFonts w:ascii="Times New Roman" w:hAnsi="Times New Roman" w:cs="Times New Roman"/>
          <w:color w:val="000000" w:themeColor="text1"/>
        </w:rPr>
        <w:t xml:space="preserve"> peer group, their parents, manager) or societal norms favor certain types of sanctions, individuals might adopt similar views to align with these perceived expectations. Ajzen and Fishbein (1980) posit that the relative importance of each of these personal and social influences on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would vary between different individuals, contexts and types of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as would levels of motivation to comply with subjective norms based on the views of others. </w:t>
      </w:r>
    </w:p>
    <w:p w14:paraId="1F941AEC" w14:textId="3F5392A5"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main limitation of the TRA is that it assumes a high level of volitional control over behavior. It simplifies human decision-making by assuming individuals always act rationally based on clear intentions and information. In practice, however, human behavior is constrained by available opportunities and resources, such as having the right skills, enough money, or the necessary cooperation of others. That is to say, it fails to account for emotional or impulsive responses that significantly influence attitudes toward sanctions (Schifter </w:t>
      </w:r>
      <w:r w:rsidR="00256510"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Ajzen 1985).</w:t>
      </w:r>
    </w:p>
    <w:p w14:paraId="742D3292" w14:textId="6E881D37" w:rsidR="00713207" w:rsidRPr="00700474" w:rsidRDefault="008B1030" w:rsidP="00ED50AC">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While the </w:t>
      </w:r>
      <w:r w:rsidR="00B10694" w:rsidRPr="00700474">
        <w:rPr>
          <w:rFonts w:ascii="Times New Roman" w:hAnsi="Times New Roman" w:cs="Times New Roman"/>
          <w:color w:val="000000" w:themeColor="text1"/>
        </w:rPr>
        <w:t>t</w:t>
      </w:r>
      <w:r w:rsidRPr="00700474">
        <w:rPr>
          <w:rFonts w:ascii="Times New Roman" w:hAnsi="Times New Roman" w:cs="Times New Roman"/>
          <w:color w:val="000000" w:themeColor="text1"/>
        </w:rPr>
        <w:t xml:space="preserve">heory of </w:t>
      </w:r>
      <w:r w:rsidR="00B10694" w:rsidRPr="00700474">
        <w:rPr>
          <w:rFonts w:ascii="Times New Roman" w:hAnsi="Times New Roman" w:cs="Times New Roman"/>
          <w:color w:val="000000" w:themeColor="text1"/>
        </w:rPr>
        <w:t>r</w:t>
      </w:r>
      <w:r w:rsidRPr="00700474">
        <w:rPr>
          <w:rFonts w:ascii="Times New Roman" w:hAnsi="Times New Roman" w:cs="Times New Roman"/>
          <w:color w:val="000000" w:themeColor="text1"/>
        </w:rPr>
        <w:t xml:space="preserve">easoned </w:t>
      </w:r>
      <w:r w:rsidR="00B10694" w:rsidRPr="00700474">
        <w:rPr>
          <w:rFonts w:ascii="Times New Roman" w:hAnsi="Times New Roman" w:cs="Times New Roman"/>
          <w:color w:val="000000" w:themeColor="text1"/>
        </w:rPr>
        <w:t>a</w:t>
      </w:r>
      <w:r w:rsidRPr="00700474">
        <w:rPr>
          <w:rFonts w:ascii="Times New Roman" w:hAnsi="Times New Roman" w:cs="Times New Roman"/>
          <w:color w:val="000000" w:themeColor="text1"/>
        </w:rPr>
        <w:t xml:space="preserve">ction highlights the interplay of personal and normative beliefs in shaping behavior, the broader exploration of attitudes toward sanctions in Africa provides a contextual framework that situates Ghana’s findings within shared historical and cultural legacies across the continent. My search for literature on attitudes towards sanctions in Africa yielded studies mainly on attitudes toward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of children and with a few on sentencing and death penalty.</w:t>
      </w:r>
    </w:p>
    <w:p w14:paraId="2920A28C" w14:textId="42EC094A"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Attitudes towards Sanctions in Africa</w:t>
      </w:r>
    </w:p>
    <w:p w14:paraId="6408931F" w14:textId="189D50CF"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Eyong (2018) investigates primary school teachers’ attitudes toward corporal </w:t>
      </w:r>
      <w:r w:rsidR="0084122C"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in Calabar Municipality, Cross River State, Nigeria, focusing on its implications for classroom assessment and evaluation. Using a sample of 282 teachers and pupils from 12 public schools, the study employed a researcher‑designed </w:t>
      </w:r>
      <w:r w:rsidR="00ED50AC" w:rsidRPr="00700474">
        <w:rPr>
          <w:rFonts w:ascii="Times New Roman" w:hAnsi="Times New Roman" w:cs="Times New Roman"/>
          <w:color w:val="000000" w:themeColor="text1"/>
        </w:rPr>
        <w:t>a questionnaire</w:t>
      </w:r>
      <w:r w:rsidRPr="00700474">
        <w:rPr>
          <w:rFonts w:ascii="Times New Roman" w:hAnsi="Times New Roman" w:cs="Times New Roman"/>
          <w:color w:val="000000" w:themeColor="text1"/>
        </w:rPr>
        <w:t xml:space="preserve"> and achieved reliability coefficients between 0.60 and 0.77. Statistical analyses (t‑tests) revealed that teachers with positive attitudes </w:t>
      </w:r>
      <w:r w:rsidRPr="00700474">
        <w:rPr>
          <w:rFonts w:ascii="Times New Roman" w:hAnsi="Times New Roman" w:cs="Times New Roman"/>
          <w:color w:val="000000" w:themeColor="text1"/>
        </w:rPr>
        <w:lastRenderedPageBreak/>
        <w:t>significantly differed from those with negative ones concerning corporal punishment. Additionally, teachers exhibited significantly negative attitudes toward fixed posturing and spanking as disciplinary methods. Eyong recommends that school leaders encourage teachers to limit corporal punishment and adopt more constructive assessment and behavior management strategies.</w:t>
      </w:r>
    </w:p>
    <w:p w14:paraId="38010A4B"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b/>
        <w:t>Ukala (2018) surveyed nearly 3,000 Senior Secondary School III students across five local government areas in Rivers State, Nigeria, to assess their perceptions of discipline in public secondary schools. Using a 67-item questionnaire and rigorous statistical analysis, the study found that students broadly agree on what constitutes disciplinary offenses—such as stealing, impersonation, smoking, lateness, truancy, and exam malpractice. The study also identified major inhibitors to discipline, including poor upbringing, limited career prospects, the discontinuation of boarding systems, and the abolition of corporal punishment. To address these issues, Ukala recommends an urgent need for enhanced student orientation, collaborative disciplinary action by teachers and students, stronger career guidance, and improved boarding infrastructure to foster a more disciplined school environment.</w:t>
      </w:r>
    </w:p>
    <w:p w14:paraId="1AF4A6A8" w14:textId="0337EAEE"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b/>
      </w:r>
      <w:r w:rsidR="00713207" w:rsidRPr="00700474">
        <w:rPr>
          <w:rFonts w:ascii="Times New Roman" w:hAnsi="Times New Roman" w:cs="Times New Roman"/>
          <w:color w:val="000000" w:themeColor="text1"/>
        </w:rPr>
        <w:t xml:space="preserve">Kumar and Teklu (2018) explore students’ perspectives and experiences with corporal punishment in elementary schools located in the central zone of Ethiopia’s Tigray region. </w:t>
      </w:r>
      <w:r w:rsidRPr="00700474">
        <w:rPr>
          <w:rFonts w:ascii="Times New Roman" w:hAnsi="Times New Roman" w:cs="Times New Roman"/>
          <w:color w:val="000000" w:themeColor="text1"/>
        </w:rPr>
        <w:t xml:space="preserve">Drawing on quantitative data collected from students, the study reveals that a significant number of pupils had been subjected to various forms of corporal punishment, including beatings, slapping, and forced physical postures, often administered for disciplinary reasons. Despite the reported physical and psychological effects, many students expressed mixed attitudes toward the practice—some saw it necessary to maintain order. In contrast, others viewed it as excessive and harmful. The authors argue that the prevalence of corporal punishment reflects deep-rooted </w:t>
      </w:r>
      <w:r w:rsidRPr="00700474">
        <w:rPr>
          <w:rFonts w:ascii="Times New Roman" w:hAnsi="Times New Roman" w:cs="Times New Roman"/>
          <w:color w:val="000000" w:themeColor="text1"/>
        </w:rPr>
        <w:lastRenderedPageBreak/>
        <w:t xml:space="preserve">cultural beliefs and weak enforcement of child protection policies. They stress the need for urgent intervention through awareness campaigns and teacher </w:t>
      </w:r>
      <w:r w:rsidR="00ED50AC" w:rsidRPr="00700474">
        <w:rPr>
          <w:rFonts w:ascii="Times New Roman" w:hAnsi="Times New Roman" w:cs="Times New Roman"/>
          <w:color w:val="000000" w:themeColor="text1"/>
        </w:rPr>
        <w:t>training but</w:t>
      </w:r>
      <w:r w:rsidRPr="00700474">
        <w:rPr>
          <w:rFonts w:ascii="Times New Roman" w:hAnsi="Times New Roman" w:cs="Times New Roman"/>
          <w:color w:val="000000" w:themeColor="text1"/>
        </w:rPr>
        <w:t xml:space="preserve"> particularly emphasize the necessity of policy reform to promote non-violent disciplinary methods in schools, highlighting the need for systemic change.</w:t>
      </w:r>
    </w:p>
    <w:p w14:paraId="36AA327B"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Teklu and Kumar’s 2014 study examines the attitudes of elementary school teachers in Ethiopia’s Tigray Region toward corporal punishment as a disciplinary method. The research reveals that corporal punishment remains prevalent and widely accepted among teachers, who often view it as effective for maintaining discipline and improving student behavior. Teachers’ attitudes are influenced by cultural norms, personal experiences, and the educational environment, though some are increasingly aware of its negative effects, such as emotional harm and reduced student motivation. Despite this awareness, alternative disciplinary methods are rarely practiced due to limited training and resources. The study emphasizes the need for teacher training programs to promote positive disciplinary strategies and policy reforms to reduce reliance on corporal punishment, reflecting a gradual shift toward more humane and effective approaches to discipline.</w:t>
      </w:r>
    </w:p>
    <w:p w14:paraId="3A5F5C0B"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b/>
        <w:t xml:space="preserve">Mgumiro’s 2015 doctoral dissertation investigates Tanzanian community attitudes toward the Community Service Programme (CSP) as an alternative to incarceration for offenders. The study finds that CSP is generally well-received, with many viewing it as a humane and constructive approach that fosters offender rehabilitation and community contribution. However, concerns persist about its effectiveness in deterring crime, challenges in monitoring offenders, and the readiness of communities to support the program. Cultural norms, community values, and awareness levels significantly influence perceptions of CSP. To enhance its acceptance and efficacy, the study recommends greater community involvement, improved public awareness, </w:t>
      </w:r>
      <w:r w:rsidRPr="00700474">
        <w:rPr>
          <w:rFonts w:ascii="Times New Roman" w:hAnsi="Times New Roman" w:cs="Times New Roman"/>
          <w:color w:val="000000" w:themeColor="text1"/>
        </w:rPr>
        <w:lastRenderedPageBreak/>
        <w:t>and strengthened administrative capacity. Overall, the research highlights CSP’s potential as a viable alternative to imprisonment while identifying areas for improvement to maximize its societal benefits.</w:t>
      </w:r>
    </w:p>
    <w:p w14:paraId="775AF725"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b/>
        <w:t>Pitfield’s 1997 doctoral dissertation examines public opinion on sentencing practices in Pretoria, South Africa, revealing a widespread perception that courts are too lenient, particularly for serious crimes like violent offenses and sexual assault. Many respondents advocate for harsher punishments, including longer prison terms and the death penalty, reflecting desires for retribution and deterrence. Public attitudes are shaped by media coverage, personal experiences with crime, and societal concerns about safety, but the study highlights significant knowledge gaps regarding actual sentencing practices and judicial principles. While there is strong support for reforms to make sentencing more transparent and consistent with community values, Pitfield emphasizes the need for public education on judicial processes to bridge the gap between perception and reality.</w:t>
      </w:r>
    </w:p>
    <w:p w14:paraId="77C84EE2"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b/>
        <w:t>Ambrosio’s 2005 doctoral dissertation, </w:t>
      </w:r>
      <w:r w:rsidRPr="00700474">
        <w:rPr>
          <w:rFonts w:ascii="Times New Roman" w:hAnsi="Times New Roman" w:cs="Times New Roman"/>
          <w:i/>
          <w:iCs/>
          <w:color w:val="000000" w:themeColor="text1"/>
        </w:rPr>
        <w:t>Attitudes towards the Death Penalty: A Cross-Cultural Investigation</w:t>
      </w:r>
      <w:r w:rsidRPr="00700474">
        <w:rPr>
          <w:rFonts w:ascii="Times New Roman" w:hAnsi="Times New Roman" w:cs="Times New Roman"/>
          <w:color w:val="000000" w:themeColor="text1"/>
        </w:rPr>
        <w:t xml:space="preserve">, examines how public opinion on capital punishment varies across cultural and national contexts. The study identifies significant differences in support for the death penalty, with collectivist and retributive justice traditions favoring it more strongly than individualistic or human rights-oriented cultures. Key factors shaping attitudes include religion, education, political ideology, trust in the justice system, personal experiences with crime, and media exposure. Younger individuals and women generally oppose the death penalty more than older individuals and men. The research emphasizes that moral and ethical considerations, such as human rights and rehabilitation, influence opposition to capital punishment, while deterrence and retribution drive support. Ambrosio concludes that effective policy-making must consider </w:t>
      </w:r>
      <w:r w:rsidRPr="00700474">
        <w:rPr>
          <w:rFonts w:ascii="Times New Roman" w:hAnsi="Times New Roman" w:cs="Times New Roman"/>
          <w:color w:val="000000" w:themeColor="text1"/>
        </w:rPr>
        <w:lastRenderedPageBreak/>
        <w:t>these cultural dimensions, as public opinion is dynamic and can evolve through education and legal reforms. My search for literature on attitudes towards sanctions in Ghana was also limited: I found just five (5) pieces of literature.</w:t>
      </w:r>
    </w:p>
    <w:p w14:paraId="5A872B76" w14:textId="133C6B7B"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Attitudes towards Legal Sanctions in Ghana</w:t>
      </w:r>
    </w:p>
    <w:p w14:paraId="0E9B3559"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Ofori-Duah et al. (2015) investigated the perception of 200 residents of the Kumasi metropolis about community service as an alternative to imprisonment by administering questionnaires. The data obtained showed that residents of Kumasi metropolis generally had a positive/favorable perception of community service as a sanction option. For instance, fifty-six percent (56%) of the sample preferred community service as an alternative to imprisonment, and seventy-four percent (74%) of the prisoner(s) who participated in the study preferred community service to imprisonment. Although 19% of respondents perceived community service as lenient relative to imprisonment, sixty-two percent (62%) disagreed that imprisonment was the most suitable way to punish offenders because they did not consider the prisons the most effective sanction relative to other non-custodial sentences. Generally, respondents preferred community sentencing because community service (a) offers offenders the opportunity to compensate society and their victims, (b) deters both offenders and would-be offenders from engaging in criminal acts, and (c) effectively removes the stigma attached to ex-convicts (Ofori-Duah et al. 2015). </w:t>
      </w:r>
    </w:p>
    <w:p w14:paraId="735A44E3"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Halm (2020) explored attitudes towards the use of non-custodial sentences as an alternative to imprisonment in Ghana among residents of Cape Coast Metropolitan Assembly. Using a mix-method (questionnaire administered to 382 respondents and interviewed 25 participants) found that eighty-one percent (81.4%) of the respondents answered that sanctions aim to deter and non-custodial sentencing achieves that aim in the sense that community service exposes the offender to public ridicule and shame, thus, deterring the offender from engaging in </w:t>
      </w:r>
      <w:r w:rsidRPr="00700474">
        <w:rPr>
          <w:rFonts w:ascii="Times New Roman" w:hAnsi="Times New Roman" w:cs="Times New Roman"/>
          <w:color w:val="000000" w:themeColor="text1"/>
        </w:rPr>
        <w:lastRenderedPageBreak/>
        <w:t xml:space="preserve">same or similar acts in the future. Also, other people would be deterred from committing a crime as they observe. Respondents also answered that beyond deterring, community service (a) reduces overcrowding in Ghanaian prisons, (b) minimizes recidivism, (c) reduces the cost of maintaining prisons, (d) reduces stigma usually attached to ex-convicts and (e) offers the convicted person a better chance at rehabilitation and smooth reintegration. However, 2.6 % of the respondents expressed that communal service is a 'soft' penalty and hence imprisonment is preferred. </w:t>
      </w:r>
    </w:p>
    <w:p w14:paraId="6911A316"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Tankebe et al. in (2015) gathered public opinion on the death penalty in Ghana using a questionnaire most with Likert scale, some with binary yes or no options. With a sample size of 2460 respondents, results revealed that forty-eight percent 48.3% were intensely opposed to the death penalty, 32.1% were moderately in support, with only eight percent (8.6%) indicating strong endorsement for the death penalty. With regards to preference for discretionary death penalty instead of the mandatory death penalty seventy-one percent (71%) supported the discretionary death penalty instead of the mandatory death penalty and twenty-nine percent (29%) were opposed to the discretionary death penalty. Tankebe et al. (2015) also reports that research participants were asked to indicate their preferred sentences for the three offences that presently attract the death penalty. Across the three offences, 70.7% people preferred life imprisonment without the possibility of parole in the case of those convicted of genocide, 66% for murderers, and 65.2% for treason convicts. Those who favored the retention of the death penalty (46.1%) offered deterrence, retribution, and justice for victims' families as the basis. Among proponents (46.1%) of the abolition of death sentences, the sanctity of life was provided as the reason.</w:t>
      </w:r>
    </w:p>
    <w:p w14:paraId="64AA6F1D" w14:textId="21289B7B"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lastRenderedPageBreak/>
        <w:t xml:space="preserve">Awudjah et al. (2021) sampled 300 respondents randomly and conveniently from the 37 military interdenominational churches and stratified them into three strata: Kanda-Estates, Nima 441 area, and Mamobi. A Likert-type questionnaire and interviews were deployed. Findings on the public attitudes toward the death penalty show that most respondents expressed strong opposition to the death penalty. Specifically, 79% of respondents from Kanda-Estates, 79% from Nima and 78% from Mamobi expressed that the death penalty should be abolished, citing the sanctity of life as the reason. Most of the respondents also advocated for the abolition of the death penalty because, in their estimation, capital sanction is unjustly applied. </w:t>
      </w:r>
      <w:r w:rsidR="000607F8" w:rsidRPr="00700474">
        <w:rPr>
          <w:rFonts w:ascii="Times New Roman" w:hAnsi="Times New Roman" w:cs="Times New Roman"/>
          <w:color w:val="000000" w:themeColor="text1"/>
        </w:rPr>
        <w:t>Others argue that capital sanctions fail to deter crimes even when implemented, allowing capital offenses to persist</w:t>
      </w:r>
      <w:r w:rsidRPr="00700474">
        <w:rPr>
          <w:rFonts w:ascii="Times New Roman" w:hAnsi="Times New Roman" w:cs="Times New Roman"/>
          <w:color w:val="000000" w:themeColor="text1"/>
        </w:rPr>
        <w:t xml:space="preserve">. Respondents further argue that capital sanction encourages serious crime because it gives stale sanction to the violent taking of human life. </w:t>
      </w:r>
      <w:r w:rsidR="000607F8" w:rsidRPr="00700474">
        <w:rPr>
          <w:rFonts w:ascii="Times New Roman" w:hAnsi="Times New Roman" w:cs="Times New Roman"/>
          <w:color w:val="000000" w:themeColor="text1"/>
        </w:rPr>
        <w:t xml:space="preserve">Consequently, they argue that the use of the death penalty by the state promotes violence rather than serving as a deterrent. </w:t>
      </w:r>
      <w:r w:rsidRPr="00700474">
        <w:rPr>
          <w:rFonts w:ascii="Times New Roman" w:hAnsi="Times New Roman" w:cs="Times New Roman"/>
          <w:color w:val="000000" w:themeColor="text1"/>
        </w:rPr>
        <w:t xml:space="preserve">Parimah et al. (2016) interviewed 24 individuals in Accra, most of whom had a professional or personal connection to crime and criminal justice, to ascertain attitudes toward community service for persons convicted of nonviolent offences. Participants expressed favorable attitudes toward community service depending upon the seriousness of the offence. Their support for community service was based on its potential to deter, decongest the prisons, rehabilitate, and be cost-effective, providing hope for effective alternatives to imprisonment. </w:t>
      </w:r>
    </w:p>
    <w:p w14:paraId="7975897E" w14:textId="5500E9E5"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There exist just five (5) research on attitudes toward sanctions in Ghana. Ofori-Duah et al.’s (2015) study focused solely on attitudes toward using non-custodial sentences as an alternative to imprisonment. Even so, the study only focused on one form of non-custodial sentencing: community service. Similarly, Halm’s (2020) work focused on attitudes towards imprisonment and the use of non-custodial sentences as an alternative but explores other issues </w:t>
      </w:r>
      <w:r w:rsidRPr="00700474">
        <w:rPr>
          <w:rFonts w:ascii="Times New Roman" w:hAnsi="Times New Roman" w:cs="Times New Roman"/>
          <w:color w:val="000000" w:themeColor="text1"/>
        </w:rPr>
        <w:lastRenderedPageBreak/>
        <w:t xml:space="preserve">relating to non-custodial sentencing, such as (a) the awareness of the existence of non-custodial sentencing; (b) the prospects of non-custodial sentencing; and (c) the challenges associated with non-custodial sentencing in Ghana. Also, Parimah et al. (2016) evaluated attitudes concerning the use of non-custodial sentences as an alternative to imprisonment. On the other hand, Tankebe et al. (2015) and Awudjah et al. (2021) examined public opinion on the death penalty in Ghana. However, it’s important to note that these studies provide no insight into Ghanaian’s general attitude toward sanctions. This research aims </w:t>
      </w:r>
      <w:r w:rsidR="0071582B" w:rsidRPr="00700474">
        <w:rPr>
          <w:rFonts w:ascii="Times New Roman" w:hAnsi="Times New Roman" w:cs="Times New Roman"/>
          <w:color w:val="000000" w:themeColor="text1"/>
        </w:rPr>
        <w:t>to bridge</w:t>
      </w:r>
      <w:r w:rsidRPr="00700474">
        <w:rPr>
          <w:rFonts w:ascii="Times New Roman" w:hAnsi="Times New Roman" w:cs="Times New Roman"/>
          <w:color w:val="000000" w:themeColor="text1"/>
        </w:rPr>
        <w:t xml:space="preserve"> this gap. It is aimed at learning about attitudes towards sanctions among Ghanaians. The literature on Ghanaian attitudes toward sanctions is also notably sparse, in Ghana underscoring the need for further research. However, studies of attitudes toward criminalized populations provide insight. This second body of research suggests that the postcolonial criminal justice system fosters post-sentence collateral consequences. In the next section, I review research on the attitudes toward the criminalized population in Ghana. Here, I found more studies to draw on.</w:t>
      </w:r>
    </w:p>
    <w:p w14:paraId="2D289E6F" w14:textId="0FF3F7F3"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Ghanaians’ Attitudes towards Convicted Offenders</w:t>
      </w:r>
    </w:p>
    <w:p w14:paraId="0A52E550" w14:textId="29DD7409"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To ascertain the effects of criminal records on post-prison employment in Ghana, Baffour et al. (2023) found that formerly incarcerated individuals are stigmatized and discriminated against by employers for (a) fear of losing customers, (b) the need to protect their organization and employees, (c) fear that the ex-convict might be a bad influence on other employees, (d) fear of being a potential risk to organizational success; (e) lack of trust for formerly incarcerated individuals; and (f) the believe that ex-convicts are incorrigible. According to Baffour et al. (2023), employers explained that community members would interpret the decision to hire an ex-convict as condoning lousy </w:t>
      </w:r>
      <w:r w:rsidR="00ED50AC" w:rsidRPr="00700474">
        <w:rPr>
          <w:rFonts w:ascii="Times New Roman" w:hAnsi="Times New Roman" w:cs="Times New Roman"/>
          <w:color w:val="000000" w:themeColor="text1"/>
        </w:rPr>
        <w:t>behavior</w:t>
      </w:r>
      <w:r w:rsidRPr="00700474">
        <w:rPr>
          <w:rFonts w:ascii="Times New Roman" w:hAnsi="Times New Roman" w:cs="Times New Roman"/>
          <w:color w:val="000000" w:themeColor="text1"/>
        </w:rPr>
        <w:t xml:space="preserve"> or entertaining criminals. Employers run background checks on job applicants to exclude ex-convicts from the application pool to avoid being </w:t>
      </w:r>
      <w:r w:rsidRPr="00700474">
        <w:rPr>
          <w:rFonts w:ascii="Times New Roman" w:hAnsi="Times New Roman" w:cs="Times New Roman"/>
          <w:color w:val="000000" w:themeColor="text1"/>
        </w:rPr>
        <w:lastRenderedPageBreak/>
        <w:t xml:space="preserve">associated with criminals and subsequently losing clients. Baffour et al. (2023) further revealed that some employers perceive ex-convicts as dangerous and untrustworthy, hence the need to eschew them. In addition, some employers perceived incarcerated individuals formerly as possessing </w:t>
      </w:r>
      <w:r w:rsidR="00ED50AC" w:rsidRPr="00700474">
        <w:rPr>
          <w:rFonts w:ascii="Times New Roman" w:hAnsi="Times New Roman" w:cs="Times New Roman"/>
          <w:color w:val="000000" w:themeColor="text1"/>
        </w:rPr>
        <w:t>behaviors</w:t>
      </w:r>
      <w:r w:rsidRPr="00700474">
        <w:rPr>
          <w:rFonts w:ascii="Times New Roman" w:hAnsi="Times New Roman" w:cs="Times New Roman"/>
          <w:color w:val="000000" w:themeColor="text1"/>
        </w:rPr>
        <w:t xml:space="preserve"> that are inappropriate for organizational success. As observed by Baffour et al. (2023), other employers have an entrenched perception of the redeemability of formerly incarcerated individuals. Hence, they fear they may steal from them and harm the business. Other employers also consider employing ex-convicts a choice that does not offer peace of mind, as one may spend much time wondering and thinking about the ex-convict's real intentions for getting employed there. </w:t>
      </w:r>
    </w:p>
    <w:p w14:paraId="48C48142" w14:textId="2FB944C1" w:rsidR="008B1030" w:rsidRPr="00700474" w:rsidRDefault="008B1030" w:rsidP="00ED50AC">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To ascertain the willingness of employers to employ ex-convicts among selected SMEs (small and medium enterprises) in the western region of Ghana, Wiafe (2020) discovered a high level of un-willingness of SME businesses to employ ex-convicts. Employers and owners of SMEs have a negative inclination toward hiring ex-convicts. Specifically, the data revealed that eighty-two percent (82%) of employers have never employed ex-convicts, indicating that the employment rate of ex-convicts in the Sekondi-Takoradi metropolis is relatively low. Unwillingness to employ ex-convicts is based on factors such as personal experience, public perception of an ex-convict (stigmatization) and bad publicity for the organization. On the other hand, thirty-four percent (34.7%) of employers are said to employ ex-convicts based on reasons such as level of education, nature of offence and age of ex-convict, while sixty percent (60.0%) are not willing to employ ex-convict. Wiafe (2020) concludes that general attitudes and people's perceptions play a major role in influencing the willingness and unwillingness to employ ex-convicts. Furthermore, incarceration leaves a strong stigma which taints the credibility of the ex-convict, leading to a characterization that is socially unappealing (Link </w:t>
      </w:r>
      <w:r w:rsidR="00256510"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Phelan 2001). For </w:t>
      </w:r>
      <w:r w:rsidRPr="00700474">
        <w:rPr>
          <w:rFonts w:ascii="Times New Roman" w:hAnsi="Times New Roman" w:cs="Times New Roman"/>
          <w:color w:val="000000" w:themeColor="text1"/>
        </w:rPr>
        <w:lastRenderedPageBreak/>
        <w:t xml:space="preserve">many ex-convicts, the mark of being an ex-convict lasts long after they have served their incarceration. </w:t>
      </w:r>
    </w:p>
    <w:p w14:paraId="359F9EF0"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Dako-Gyeke and Baffour (2016) examined stigmatization and discrimination against recidivists in Ghana. The sample consisted of 10 returning offenders (males), three rehabilitation prison officers (2 females and 1 male), two prosecutors (1 male and one female), and 5 members of the Nsawam community (3 females and two males). The community members described prisoners as evil and incorrigible people who cannot be trusted. For instance, in expressing their concerns, some participants remarked: </w:t>
      </w:r>
    </w:p>
    <w:p w14:paraId="47A12E7C"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“No matter how long they are imprisoned, these are people who will never change … even after serving their sentences in prison, they are still criminals, we cannot live with them because nothing good can come out of them … they are always ready to commit more serious crimes after their release” (Dako-Gyeke and Baffour 2016:243).</w:t>
      </w:r>
    </w:p>
    <w:p w14:paraId="2EE6C4D6" w14:textId="718F5E87" w:rsidR="008B1030" w:rsidRPr="00700474" w:rsidRDefault="008B1030" w:rsidP="00ED50AC">
      <w:pPr>
        <w:pStyle w:val="NoSpacing"/>
        <w:spacing w:line="480" w:lineRule="auto"/>
        <w:ind w:left="720" w:firstLine="60"/>
        <w:rPr>
          <w:rFonts w:ascii="Times New Roman" w:hAnsi="Times New Roman" w:cs="Times New Roman"/>
          <w:color w:val="000000" w:themeColor="text1"/>
        </w:rPr>
      </w:pPr>
      <w:r w:rsidRPr="00700474">
        <w:rPr>
          <w:rFonts w:ascii="Times New Roman" w:hAnsi="Times New Roman" w:cs="Times New Roman"/>
          <w:color w:val="000000" w:themeColor="text1"/>
        </w:rPr>
        <w:t>“It is only criminals who are imprisoned … when you commit crime and you are caught, you are sent there to be punished … it is good to imprison offenders because they are supposed to be disciplined while there. Most of the time, this is not the case because these people are inherently bad so it is difficult to change them … the prison officers cannot change them … they come out even worse than before they were imprisoned (Dako-Gyeke and Baffour 2016:243).”</w:t>
      </w:r>
    </w:p>
    <w:p w14:paraId="661A0F9F"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rehabilitation officers and prosecutors (one sample response shared for each) who participated mentioned that prior to taking up their current jobs and the training they received, which led to their close contact with offenders and the prison system, they had expressed negative ideas about re-offenders. The returning prisoners discussed having experienced </w:t>
      </w:r>
      <w:r w:rsidRPr="00700474">
        <w:rPr>
          <w:rFonts w:ascii="Times New Roman" w:hAnsi="Times New Roman" w:cs="Times New Roman"/>
          <w:color w:val="000000" w:themeColor="text1"/>
        </w:rPr>
        <w:lastRenderedPageBreak/>
        <w:t xml:space="preserve">discrimination and stigmatization in areas such as employment, housing, and romantic relationships (Dako-Gyeke and Baffour 2016). </w:t>
      </w:r>
    </w:p>
    <w:p w14:paraId="10D6245A"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In exploring the causes of recidivism among inmates in a prison facility in Ghana, Baffour (2020) found that negative community perceptions and attitudes formed about prisoners and ex-convicts culminated in negative labeling and discrimination against prisoners and ex-convicts. Baffour (2020) further discovered that ex-convicts are only given enough money to take them to where they were arrested after serving their jail term. As most inmates were arrested miles away from home, they had no choice but to remain in the vicinity of the prison from which they had been released. Inmates who remain in the enclaves of the prison experience discrimination from the locals because they are easily identified by community members and labelled "jail men." Because of the label jail man, Baffour (2020) reported that landlords would not want to rent out houses or rooms to ex-convicts upon their return. Parents are unwilling to have their wards married to an ex-convict, with members of the society deliberately refusing to call ex-convicts by their original name; instead, they call them by a new name based on the crime they committed. Thus, Baffour (2020:199) states, "If you stole plantain, upon return to the community, you would be called plantain stealer; if you killed someone, you would be called the murderer, and so on." Those who return to their families are sometimes disowned and dejected because their families see them as a disgrace and thus do not want to be associated with them.</w:t>
      </w:r>
    </w:p>
    <w:p w14:paraId="023D3F28"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literature on attitudes toward criminalized populations underscores one significant difference in the precolonial and postcolonial legal systems. In contrast, the precolonial legal system aims at reintegrating the offender into society; the postcolonial legal system alienates the offender through imprisonment, which in turn subjects offenders to penal harm while in prison and even several years after serving their jail term through social exclusion, housing, marital and </w:t>
      </w:r>
      <w:r w:rsidRPr="00700474">
        <w:rPr>
          <w:rFonts w:ascii="Times New Roman" w:hAnsi="Times New Roman" w:cs="Times New Roman"/>
          <w:color w:val="000000" w:themeColor="text1"/>
        </w:rPr>
        <w:lastRenderedPageBreak/>
        <w:t>employment discrimination. This historical contrast between precolonial reintegration-focused justice systems and postcolonial punitive approaches underscores the necessity of researching attitudes toward sanctions in Ghana, as it provides critical insights into how these shifts have shaped contemporary perceptions and practices.</w:t>
      </w:r>
    </w:p>
    <w:p w14:paraId="02AC8653" w14:textId="77777777" w:rsidR="008B1030" w:rsidRPr="00700474" w:rsidRDefault="008B1030" w:rsidP="00ED50A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Chapter Summary</w:t>
      </w:r>
    </w:p>
    <w:p w14:paraId="2FA9D8C0"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Ghana’s Criminal legal system, which replaced the traditional and informal systems operated in the precolonial Gold Coast, is primarily based on the Common Law tradition of England. The British, upon their arrival, introduced their legal and administrative structures, significantly influencing the evolution of Ghana’s legal system. Precolonial Gold Coast operated an informal system where laws and sanctions were undocumented. A tribal leader and advisors tried all those charged with committing these offences. Sanctions did not socially alienate the offender from the community. Under colonial rule, a formal legal system was implemented, and laws and sanctions were codified. The role of the chiefs was limited. Laws and sanctions were aimed at separating and controlling indigenes (imprisonment). Even though laws and sanctions are central to Ghana’s history, there is limited research on the subject. There exist just five (5) research on attitudes toward sanctions in Ghana. Ofori-Duah et al.’s (2015) study focused solely on attitudes toward using non-custodial sentences as an alternative to imprisonment. Even so, the study only focused on one form of non-custodial sentencing: community service. Similarly, Halm’s (2020) work focused on attitudes towards imprisonment and the use of non-custodial sentences as an alternative but explores other issues relating to non-custodial sentencing, such as (a) the awareness of the existence of non-custodial sentencing; (b) the prospects of non-custodial sentencing; and (c) the challenges associated with non-custodial sentencing in Ghana. Also, Parimah et al. (2016) evaluated attitudes concerning the use of non-custodial sentences as an </w:t>
      </w:r>
      <w:r w:rsidRPr="00700474">
        <w:rPr>
          <w:rFonts w:ascii="Times New Roman" w:hAnsi="Times New Roman" w:cs="Times New Roman"/>
          <w:color w:val="000000" w:themeColor="text1"/>
        </w:rPr>
        <w:lastRenderedPageBreak/>
        <w:t xml:space="preserve">alternative to imprisonment. On the other hand, Tankebe et al. (2015) and Awudjah et al. (2021) examined public opinion on the death penalty in Ghana. However, it is important to note that these studies provide no insight into Ghanaians’ general attitudes toward sanctions. </w:t>
      </w:r>
    </w:p>
    <w:p w14:paraId="21ED09E0" w14:textId="04E50D79"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My research aims </w:t>
      </w:r>
      <w:r w:rsidR="00ED50AC" w:rsidRPr="00700474">
        <w:rPr>
          <w:rFonts w:ascii="Times New Roman" w:hAnsi="Times New Roman" w:cs="Times New Roman"/>
          <w:color w:val="000000" w:themeColor="text1"/>
        </w:rPr>
        <w:t>to fill</w:t>
      </w:r>
      <w:r w:rsidRPr="00700474">
        <w:rPr>
          <w:rFonts w:ascii="Times New Roman" w:hAnsi="Times New Roman" w:cs="Times New Roman"/>
          <w:color w:val="000000" w:themeColor="text1"/>
        </w:rPr>
        <w:t xml:space="preserve"> this gap. It is aimed at learning about attitudes towards sanctions among Ghanaians. While the rationales of sanctioning—deterrence, incapacitation, rehabilitation, retribution and restoration provide explanations of why we punish offenders and what goals we aim to achieve through sanctioning, the narrative criminology and theory of reasoned action offer unique perspectives on how attitudes toward sanctions are developed. Narrative criminology is dedicated to uncovering how stories and storytelling actively shape, influence, and enable actions related to harm-doing and, in this context, sanctions. The theory of reasoned action (TRA) posits that attitudes are shaped by the intentions or expected outcome of acting. The next chapter outlines the specific methods used for participant selection, data collection, and analysis.</w:t>
      </w:r>
    </w:p>
    <w:p w14:paraId="1DA09731" w14:textId="77777777" w:rsidR="008B1030" w:rsidRPr="00700474" w:rsidRDefault="008B1030" w:rsidP="008B1030">
      <w:pPr>
        <w:pStyle w:val="NoSpacing"/>
        <w:spacing w:line="480" w:lineRule="auto"/>
        <w:rPr>
          <w:rFonts w:ascii="Times New Roman" w:eastAsia="Times New Roman" w:hAnsi="Times New Roman" w:cs="Times New Roman"/>
          <w:color w:val="000000" w:themeColor="text1"/>
          <w:kern w:val="0"/>
          <w14:ligatures w14:val="none"/>
        </w:rPr>
      </w:pPr>
    </w:p>
    <w:p w14:paraId="2F524286" w14:textId="71A8E80E" w:rsidR="00815753" w:rsidRPr="00700474" w:rsidRDefault="008B1030" w:rsidP="00E65B1F">
      <w:r w:rsidRPr="00700474">
        <w:br w:type="page"/>
      </w:r>
    </w:p>
    <w:p w14:paraId="4C8D6112" w14:textId="77777777" w:rsidR="00D36AB4" w:rsidRPr="00700474" w:rsidRDefault="005A68CE" w:rsidP="00E65B1F">
      <w:pPr>
        <w:rPr>
          <w:b/>
          <w:bCs/>
        </w:rPr>
      </w:pPr>
      <w:r w:rsidRPr="00700474">
        <w:rPr>
          <w:b/>
          <w:bCs/>
        </w:rPr>
        <w:lastRenderedPageBreak/>
        <w:t>CHAPTER THREE</w:t>
      </w:r>
    </w:p>
    <w:p w14:paraId="768AACB7" w14:textId="5A2EB2C7" w:rsidR="00815753" w:rsidRPr="00700474" w:rsidRDefault="005A68CE" w:rsidP="00E65B1F">
      <w:pPr>
        <w:rPr>
          <w:rFonts w:eastAsiaTheme="majorEastAsia"/>
          <w:b/>
          <w:bCs/>
          <w:spacing w:val="-10"/>
          <w:kern w:val="28"/>
        </w:rPr>
      </w:pPr>
      <w:r w:rsidRPr="00700474">
        <w:rPr>
          <w:b/>
          <w:bCs/>
        </w:rPr>
        <w:t>RESEARCH METHODS</w:t>
      </w:r>
    </w:p>
    <w:p w14:paraId="2FC09B7A" w14:textId="77777777" w:rsidR="008B1030" w:rsidRPr="00700474" w:rsidRDefault="008B1030" w:rsidP="00E65B1F">
      <w:pPr>
        <w:jc w:val="left"/>
      </w:pPr>
      <w:r w:rsidRPr="00700474">
        <w:t xml:space="preserve">In chapter two, I reviewed the existing literature on sanctions in Ghana and the various theories on sanctions and attitudes towards sanctions.  The review provided an overview of current knowledge, allowing for the identification of relevant theories, methods, and gaps in the existing research, hence my research: Exploring attitudes towards sanctions in Ghana. This chapter details the methodological approach employed to learn attitudes toward sanctions. I aim to provide a comprehensive understanding of the research design, data collection, and analysis procedures underpinning this study. Using qualitative interviews was crucial in addressing the research's objectives. The interviews invited research participants to share their perceptions and experiences, which provided a nuanced understanding of local beliefs. </w:t>
      </w:r>
    </w:p>
    <w:p w14:paraId="0B196480" w14:textId="77777777" w:rsidR="008B1030" w:rsidRPr="00700474" w:rsidRDefault="008B1030" w:rsidP="00E65B1F">
      <w:pPr>
        <w:rPr>
          <w:b/>
          <w:bCs/>
        </w:rPr>
      </w:pPr>
      <w:r w:rsidRPr="00700474">
        <w:rPr>
          <w:b/>
          <w:bCs/>
        </w:rPr>
        <w:t xml:space="preserve">Research Methodology </w:t>
      </w:r>
    </w:p>
    <w:p w14:paraId="6831396C" w14:textId="77777777" w:rsidR="008B1030" w:rsidRPr="00700474" w:rsidRDefault="008B1030" w:rsidP="00E65B1F">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At the design stage, two factors guided my decision to opt for qualitative interviews over surveys for this research. First, reflecting on my own upbringing in Ghana, I anticipated that most of my research participants would have had at least one unpleasant experience with sanctions as a child (99 participants confirmed being subjected to sanctions they considered unpleasant). This could trigger negative emotions during the interview process. Unlike surveys, where the researcher remains passive and detached, qualitative interviews would allow me to actively engage participants and demonstrate empathy in real-time. This demonstration of empathy is crucial as it can make participants feel heard, respected, and valued, fostering a deeper connection and encouraging more open sharing of their experiences. This, in turn, may lead to the collection of in-depth information and detailed insights into participants’ thoughts, feelings, context, experiences, and other nuances.</w:t>
      </w:r>
    </w:p>
    <w:p w14:paraId="4374C38B" w14:textId="77777777" w:rsidR="008B1030" w:rsidRPr="00700474" w:rsidRDefault="008B1030" w:rsidP="00D36AB4">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lastRenderedPageBreak/>
        <w:t>Second, it's crucial to recognize that conversations about sanctions may trigger emotions, and these emotions play a significant role in how research participants construct their attitudes toward sanctions. Therefore, I preferred qualitative interviews as they offer the avenue to build rapport with participants to facilitate objective reflections and constructions of attitudes toward sanctions. For instance, in our conversation, Nana described the entire legal system as corrupt and thus vowed never to turn in a thief to the police because he had found out the police on duty had accepted bribes and freed a thief who stole from him. So I probed if he had had a similar experience with other police officers or stations aside from this one incident, and he replied no. I then asked if he had had to deal with any other aspect of the legal system, like the judiciary. Nana smiled after I posed the second question, then he answered no and added, “Perhaps I am being unfair to the system.” I asked how, and he answered, “I guess just one incident should not be the basis to run down a whole institution.” Thus, qualitative interviews offered an avenue for me to contribute to the recreation of knowledge. While on the field, the following experience I had using qualitative interviews justified my preference for them over surveys for this research.</w:t>
      </w:r>
    </w:p>
    <w:p w14:paraId="717E8721" w14:textId="77777777" w:rsidR="008B1030" w:rsidRPr="00700474" w:rsidRDefault="008B1030" w:rsidP="00D36AB4">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Qualitative Interviews Versus Surveys</w:t>
      </w:r>
    </w:p>
    <w:p w14:paraId="1E1302D0" w14:textId="77777777" w:rsidR="008B1030" w:rsidRPr="00700474" w:rsidRDefault="008B1030" w:rsidP="00CE4BFC">
      <w:pPr>
        <w:jc w:val="left"/>
      </w:pPr>
      <w:r w:rsidRPr="00700474">
        <w:t xml:space="preserve">Qualitative interviews allowed me to observe participants' nonverbal cues, which provided context to the verbal responses, helping me understand the true meaning behind a participant's words. Respondents' facial expressions, gestures, and posture revealed emotions or attitudes that might not be explicitly stated, which I couldn't have captured if I were using surveys. For instance, after I posed the question, what do you think of citizens imposing punishments themselves after posing it? And what has influenced this thinking? Maanaa took a deep breath and looked straight into my eyes. Then she turned her left cheek to rest in her palm while her elbow was firmly placed on the table for a few seconds. Immediately, I got the sense that the </w:t>
      </w:r>
      <w:r w:rsidRPr="00700474">
        <w:lastRenderedPageBreak/>
        <w:t>topic or the question may have triggered an intense emotional experience or loss, which she would later confirm in her response, citing how some armed men raped her daughter because the police lacked the logistics and resources needed to respond to her distress call to the police station for help when some armed robbers besieged her home.</w:t>
      </w:r>
    </w:p>
    <w:p w14:paraId="5A5FA8EC" w14:textId="77777777" w:rsidR="008B1030" w:rsidRPr="00700474" w:rsidRDefault="008B1030" w:rsidP="00CE4BFC">
      <w:pPr>
        <w:ind w:firstLine="720"/>
        <w:jc w:val="left"/>
      </w:pPr>
      <w:r w:rsidRPr="00700474">
        <w:t>Observing non-verbal behaviors in qualitative interviews allowed me to highlight inconsistencies between what participants say and how they truly feel or think. After I asked about the 5-year jail term for the 2 Pizzaman workers, the participant’s non-verbal cues, such as a pause, a glance at the ceiling, and a smirk, initially seemed to indicate potential condemnation. However, they actually led to a surprising response. He made a case for legal punishment, describing it as legitimate, not guided by emotions or arbitrariness, and “backed by law.” Although the participant verbally agreed that the legal system was legitimate, his non-verbal cues displayed discomfort and mistrust towards the legal system, underscoring the importance of non-verbal behaviors in understanding participants’ true feelings and thoughts. It also highlights the need for further investigation through clarifying questions, which are integral to qualitative interviews but lacking in surveys.</w:t>
      </w:r>
    </w:p>
    <w:p w14:paraId="22E04AE4" w14:textId="36986B2C" w:rsidR="008B1030" w:rsidRPr="00700474" w:rsidRDefault="008B1030" w:rsidP="00CE4BFC">
      <w:pPr>
        <w:ind w:firstLine="720"/>
        <w:jc w:val="left"/>
      </w:pPr>
      <w:r w:rsidRPr="00700474">
        <w:t>Also, using face-to-face interviews minimized misinterpretation risks primarily associated with surveys, with a particular emphasis on the importance of the local dialect. Surveys do not allow respondents to seek clarification on confusing questions. Most of the clarifying questions came from respondents who opted to speak the local dialect, mostly using the expression “ s</w:t>
      </w:r>
      <w:r w:rsidR="00584F63" w:rsidRPr="00700474">
        <w:t>e</w:t>
      </w:r>
      <w:r w:rsidRPr="00700474">
        <w:t xml:space="preserve"> me te wasie aaa………” to wit, “ If I understand you correctly…….” If their interpretation of the question was wrong, I explained it, and if it was correct, I confirmed it, and then the conversation continued. Thus, for qualitative interviews, misinterpretation risks are minimized if not eradicated</w:t>
      </w:r>
      <w:r w:rsidRPr="00700474">
        <w:rPr>
          <w:b/>
          <w:bCs/>
        </w:rPr>
        <w:t>.</w:t>
      </w:r>
      <w:r w:rsidRPr="00700474">
        <w:t xml:space="preserve"> My deduction on why most of the clarifying questions came from </w:t>
      </w:r>
      <w:r w:rsidRPr="00700474">
        <w:lastRenderedPageBreak/>
        <w:t>respondents who participated using the local language was that some participants are not natives of the language they spoke, so they wanted to be sure if they were right; hence, the need to clarify to ensure they are providing the correct answer; and not because the questions were not clearly worded as the interview guide was tested ahead of the study, a procedure which aided the data collection process. Research participants ability to clarify questions when in doubt made them extremely expressive in their responses, they did not only share their thoughts but also provided narratives to give context and also justify their attitudes. To this end, I was inspired to explore how narratives were a means with which participants constructed their attitudes; how narratives evidently influence attitudes towards sanctions.</w:t>
      </w:r>
    </w:p>
    <w:p w14:paraId="11A5C88D" w14:textId="77777777" w:rsidR="008B1030" w:rsidRPr="00700474" w:rsidRDefault="008B1030" w:rsidP="008B1030">
      <w:pPr>
        <w:rPr>
          <w:b/>
          <w:bCs/>
        </w:rPr>
      </w:pPr>
      <w:r w:rsidRPr="00700474">
        <w:rPr>
          <w:b/>
          <w:bCs/>
        </w:rPr>
        <w:t>Narratives and Narrative Criminology</w:t>
      </w:r>
    </w:p>
    <w:p w14:paraId="200B73C9" w14:textId="77777777" w:rsidR="008B1030" w:rsidRPr="00700474" w:rsidRDefault="008B1030" w:rsidP="00CE4BFC">
      <w:pPr>
        <w:jc w:val="left"/>
      </w:pPr>
      <w:r w:rsidRPr="00700474">
        <w:t>Narratives represent an event or a series of events; they give us the shape of time. Narratives are universal tools for knowing and telling, absorbing and expressing knowledge, provoking active thinking, and delivering information. Therefore, many connections exist between narratives and meanings, and many narrative templates are built into how we see or understand the world around us. Although narratives are part of how we apprehend the world in time, most people do not see or understand the world in their eyes until it is put in a narrative mode. Thus, narratives are crucial to human interactions and meaning-making (Abbott 2021). Narrative criminology also makes a case for the powerful effect of narratives or stories</w:t>
      </w:r>
    </w:p>
    <w:p w14:paraId="7265A016" w14:textId="77777777" w:rsidR="008B1030" w:rsidRPr="00700474" w:rsidRDefault="008B1030" w:rsidP="00CE4BFC">
      <w:pPr>
        <w:ind w:firstLine="720"/>
        <w:jc w:val="left"/>
      </w:pPr>
      <w:r w:rsidRPr="00700474">
        <w:t xml:space="preserve">Narrative criminology is dedicated to uncovering how stories and storytelling actively shape, influence, and enable actions related to harm-doing and in this context, penal harm. Presser (2013) examines the role of narrative in penal harm. She adopts the latter concept from Todd Clear (1994). Narrative criminology is dedicated to uncovering how stories and storytelling actively shape, influence, and enable actions related to harm-doing and, in this context, penal </w:t>
      </w:r>
      <w:r w:rsidRPr="00700474">
        <w:lastRenderedPageBreak/>
        <w:t xml:space="preserve">harm. Presser (2013) examines the role of narrative in penal harm. She adopts the latter concept from Todd Clear (1994). According to Presser (2013), penal harm prevails because (a) agents of penal harm reduce their targets through stigmatization, (b) rationalize as useful, (c) license to impose penal harm. </w:t>
      </w:r>
    </w:p>
    <w:p w14:paraId="3FBB636E" w14:textId="6152B94F" w:rsidR="008B1030" w:rsidRPr="00700474" w:rsidRDefault="008B1030" w:rsidP="00CE4BFC">
      <w:pPr>
        <w:ind w:firstLine="720"/>
        <w:jc w:val="left"/>
      </w:pPr>
      <w:r w:rsidRPr="00700474">
        <w:t xml:space="preserve">Agents of penal harm reduce their targets through stigmatization, a process that oversimplifies the identity of the target. They characterize the target with few interests, ignoring the complexities of those committing crimes. Offenders are portrayed as having little else going on except crime, thereby ignoring the aggravating factors that make them susceptible to crime. This oversimplified characterization overpowers other characteristics that might run counter to it, and it ignores any good characteristics which would have mitigated their circumstance. Penal harm is rationalized as </w:t>
      </w:r>
      <w:r w:rsidR="00D36AB4" w:rsidRPr="00700474">
        <w:t>useful;</w:t>
      </w:r>
      <w:r w:rsidRPr="00700474">
        <w:t xml:space="preserve"> a necessity aimed at protecting society. By constructing the target as harmful, agents of penal harm can ascribe utility to penal harm. They argue that in the case of penal harm, you are taking the bad part, the bad person, or the harmful individual out in the interest of the larger group or society. This argument maximizes society's safety and its citizens' happiness. The utility of penal harm is further sustained through a cost-and-benefit analysis, where harm is justified if the cost of protecting the penal target is higher than the cost of harming them.</w:t>
      </w:r>
    </w:p>
    <w:p w14:paraId="12E23B1F" w14:textId="3C833FF9" w:rsidR="008B1030" w:rsidRPr="00700474" w:rsidRDefault="008B1030" w:rsidP="00CE4BFC">
      <w:pPr>
        <w:ind w:firstLine="720"/>
        <w:jc w:val="left"/>
      </w:pPr>
      <w:r w:rsidRPr="00700474">
        <w:t>Penal harm is sustained using a license; the license in this case is the power to judge, contain, and kill people.</w:t>
      </w:r>
      <w:r w:rsidR="005E215C" w:rsidRPr="00700474">
        <w:t xml:space="preserve"> T</w:t>
      </w:r>
      <w:r w:rsidRPr="00700474">
        <w:t xml:space="preserve">his license has procedural and moral dimensions, each carrying significant weight. The procedural license for penal harm is vested in the agents of the criminal legal system, who decide the conditions that add up to the license to perpetuate penal harm. In other words, they determine who is culpable or what actions add up to being subject to punishment or harm. On the other hand, ordinary citizens affirm a moral license to harm. This </w:t>
      </w:r>
      <w:r w:rsidRPr="00700474">
        <w:lastRenderedPageBreak/>
        <w:t xml:space="preserve">moral license is primarily built on the retributive principle: offenders deserve to be harmed because of the harm they have caused victims. </w:t>
      </w:r>
    </w:p>
    <w:p w14:paraId="0C02C4AB" w14:textId="77777777" w:rsidR="008B1030" w:rsidRPr="00700474" w:rsidRDefault="008B1030" w:rsidP="00CE4BFC">
      <w:pPr>
        <w:ind w:firstLine="720"/>
        <w:jc w:val="left"/>
      </w:pPr>
      <w:r w:rsidRPr="00700474">
        <w:t>In essence, penal harm is sustained by narratives: narratives that construct the target of penal harm as harmful, narratives that suggest that it is in society's interest for the harm to be inflicted on the target, narratives that determine who is culpable or what actions add up to being subject to punishment or harm. Thus, penal harm underscores the power of narrative in shaping attitudes, perceptions, and understanding.</w:t>
      </w:r>
    </w:p>
    <w:p w14:paraId="613F94A2" w14:textId="77777777" w:rsidR="008B1030" w:rsidRPr="00700474" w:rsidRDefault="008B1030" w:rsidP="008B1030">
      <w:pPr>
        <w:rPr>
          <w:b/>
          <w:bCs/>
        </w:rPr>
      </w:pPr>
      <w:r w:rsidRPr="00700474">
        <w:rPr>
          <w:b/>
          <w:bCs/>
        </w:rPr>
        <w:t>Data Collection</w:t>
      </w:r>
    </w:p>
    <w:p w14:paraId="5F35F3C0" w14:textId="77777777" w:rsidR="008B1030" w:rsidRPr="00700474" w:rsidRDefault="008B1030" w:rsidP="00CE4BFC">
      <w:pPr>
        <w:jc w:val="left"/>
        <w:rPr>
          <w:bCs/>
        </w:rPr>
      </w:pPr>
      <w:r w:rsidRPr="00700474">
        <w:rPr>
          <w:bCs/>
        </w:rPr>
        <w:t>Discussing sanctions can trigger negative emotions, especially if the individual has had an unpleasant experience in the past. As such, my data collection process and for that matter my sampling selection process was structured to recruit participants who may be comfortable sharing their experiences with me, hence the use of convenient and snowball sampling.</w:t>
      </w:r>
    </w:p>
    <w:p w14:paraId="33D4F1FB" w14:textId="77777777" w:rsidR="008B1030" w:rsidRPr="00700474" w:rsidRDefault="008B1030" w:rsidP="00CE4BFC">
      <w:pPr>
        <w:jc w:val="left"/>
        <w:rPr>
          <w:b/>
          <w:i/>
          <w:iCs/>
        </w:rPr>
      </w:pPr>
      <w:r w:rsidRPr="00700474">
        <w:rPr>
          <w:b/>
          <w:i/>
          <w:iCs/>
        </w:rPr>
        <w:t>Sample Selection</w:t>
      </w:r>
    </w:p>
    <w:p w14:paraId="0B53ECE0" w14:textId="1148FB82" w:rsidR="008B1030" w:rsidRPr="00700474" w:rsidRDefault="008B1030" w:rsidP="00CE4BFC">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initial sampling was done using convenience sampling, where </w:t>
      </w:r>
      <w:r w:rsidR="0071582B" w:rsidRPr="00700474">
        <w:rPr>
          <w:rFonts w:ascii="Times New Roman" w:hAnsi="Times New Roman" w:cs="Times New Roman"/>
          <w:color w:val="000000" w:themeColor="text1"/>
        </w:rPr>
        <w:t>people</w:t>
      </w:r>
      <w:r w:rsidRPr="00700474">
        <w:rPr>
          <w:rFonts w:ascii="Times New Roman" w:hAnsi="Times New Roman" w:cs="Times New Roman"/>
          <w:color w:val="000000" w:themeColor="text1"/>
        </w:rPr>
        <w:t xml:space="preserve"> known to the investigator which included but not limited to old </w:t>
      </w:r>
      <w:r w:rsidR="00B217D0" w:rsidRPr="00700474">
        <w:rPr>
          <w:rFonts w:ascii="Times New Roman" w:hAnsi="Times New Roman" w:cs="Times New Roman"/>
          <w:color w:val="000000" w:themeColor="text1"/>
        </w:rPr>
        <w:t>schoolmates</w:t>
      </w:r>
      <w:r w:rsidRPr="00700474">
        <w:rPr>
          <w:rFonts w:ascii="Times New Roman" w:hAnsi="Times New Roman" w:cs="Times New Roman"/>
          <w:color w:val="000000" w:themeColor="text1"/>
        </w:rPr>
        <w:t xml:space="preserve">, former work colleagues neighbors who fit the eligibility criteria were contacted through phone calls and briefed on the research over the phone to ascertain if they would be interested in participating. When a positive response was received over the phone, the participant was provided with a recruitment statement and a consent form (See Appendix A and B) via email. I followed up with a phone call for a final confirmation (of their participation) two days after the documents were emailed to the participants, ensuring a thorough and reliable process. The follow-up call made room for those with second thoughts about participating. When a positive response was received over the phone, participants were asked to confirm their preferred date for a face-to-face interview. At the end of </w:t>
      </w:r>
    </w:p>
    <w:p w14:paraId="74EC9833" w14:textId="3397C6B4" w:rsidR="00E65B1F" w:rsidRPr="00700474" w:rsidRDefault="00E65B1F"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lastRenderedPageBreak/>
        <w:t>each interview, a snowball sampling was deployed. Participants were asked to refer someone within their circle who fit the participation criteria.</w:t>
      </w:r>
    </w:p>
    <w:p w14:paraId="2DB2F3D1" w14:textId="5A3B60A2"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Interview Procedure</w:t>
      </w:r>
    </w:p>
    <w:p w14:paraId="4540535F" w14:textId="77777777" w:rsidR="008B1030" w:rsidRPr="00700474" w:rsidRDefault="008B1030" w:rsidP="00CE4BFC">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Not all respondents were familiar with English, so some interviews were conducted in native languages such as Ga and Twi. Thus, three languages were used —Ga, Twi and English. Conducting interviews in a language the respondent was conversant in was very helpful, as it allowed participants to be expressive in their submission without limitations. Before I started an interview, I read the synopsis of the research and the informed consent to the participants, even though I had emailed copies to them. This is because I understood that it was possible that a respondent may not have had time to read through the scripts thoroughly, or even if they did, they might have forgotten about the focus of the research because they have other things to deal with besides my research. So, essentially, I aimed to refresh their minds on the topic under study and remind them of their rights. Thus, respondents were not cajoled or coerced to participate. Questions were open-ended and loosely structured, inviting participants to expand on their experiences (e.g. Tell me about any experience you have had with punishment or perhaps someone you know?). The interview guide explored attitudes toward sanctions. As such, interview questions were aimed at getting participants to share their (a) views about what the aim of sanctions should be, (b) lived or told stories about sanctions, and (c) opinions and expected outcomes on the use of harsh or innovative forms of sanction (see Appendix A). </w:t>
      </w:r>
    </w:p>
    <w:p w14:paraId="4FCB3110" w14:textId="77777777" w:rsidR="008B1030" w:rsidRPr="00700474" w:rsidRDefault="008B1030" w:rsidP="00CE4BFC">
      <w:pPr>
        <w:ind w:firstLine="720"/>
        <w:jc w:val="left"/>
      </w:pPr>
      <w:r w:rsidRPr="00700474">
        <w:t xml:space="preserve">During the interview sessions, I consciously acknowledged and accepted the participants’ feelings and perspectives without necessarily agreeing or disagreeing. This approach made the participants feel heard and encouraged to share more. For instance, I often responded with phrases like, ‘That sounds challenging; I can understand why you felt that way.’ To further </w:t>
      </w:r>
      <w:r w:rsidRPr="00700474">
        <w:lastRenderedPageBreak/>
        <w:t>demonstrate my respect for their narratives, I would briefly summarize their main points or themes at the end of the interview. However, a crucial part of the process was expressing my gratitude for their willingness to share or participate. This not only acknowledged their bravery, but also made them feel appreciated and valued. I built a stronger connection by saying, ‘Thank you for entrusting me with your story.’</w:t>
      </w:r>
    </w:p>
    <w:p w14:paraId="3C93BA16" w14:textId="30C3CDFE" w:rsidR="00E65B1F" w:rsidRPr="00700474" w:rsidRDefault="008B1030" w:rsidP="00E65B1F">
      <w:pPr>
        <w:ind w:firstLine="720"/>
        <w:jc w:val="left"/>
      </w:pPr>
      <w:r w:rsidRPr="00700474">
        <w:t xml:space="preserve">I projected sympathy to participants whenever they narrated a disturbing experience. For instance, one participant narrated how her father would beat her with belts and rods on suspicion that she was the cause of his misfortunes in life. She noted that she sometimes went days without food. I could sense the hurt and pain as she recounted the story. To this end, I said to her, “I am sorry to hear you had to go through such an experience.” She paused and said, “Thank you for understanding my pain and empathizing with me.” The data collection process, a crucial phase in our qualitative research, involved documenting experiences in the form of memos and field notes. These records, filled with the raw emotions and personal narratives of our participants, are invaluable in our quest to understand their lived experiences. </w:t>
      </w:r>
    </w:p>
    <w:p w14:paraId="6BBD5477" w14:textId="77777777" w:rsidR="008B1030" w:rsidRPr="00700474" w:rsidRDefault="008B1030" w:rsidP="00CE4BFC">
      <w:pPr>
        <w:ind w:firstLine="720"/>
        <w:jc w:val="left"/>
      </w:pPr>
      <w:r w:rsidRPr="00700474">
        <w:t>Memos and field notes are the first reflections of the researcher to be documented during</w:t>
      </w:r>
    </w:p>
    <w:p w14:paraId="595E5D1A" w14:textId="6D7E84BA" w:rsidR="008B1030" w:rsidRDefault="008B1030" w:rsidP="00CE4BFC">
      <w:pPr>
        <w:jc w:val="left"/>
      </w:pPr>
      <w:r w:rsidRPr="00700474">
        <w:t>or after data collection (Birks</w:t>
      </w:r>
      <w:r w:rsidR="00256510" w:rsidRPr="00700474">
        <w:t>,</w:t>
      </w:r>
      <w:r w:rsidRPr="00700474">
        <w:t xml:space="preserve"> Chapman</w:t>
      </w:r>
      <w:r w:rsidR="00256510" w:rsidRPr="00700474">
        <w:t xml:space="preserve"> and </w:t>
      </w:r>
      <w:r w:rsidRPr="00700474">
        <w:t xml:space="preserve">Francis, 2008). These serve as a tool for collecting my' immediate observations, ideas and thoughts in the field or after an interview. The memos and field notes included the date, location, and observations not explicitly recorded in the data collection, ranging from a few words to long texts (Montgomery </w:t>
      </w:r>
      <w:r w:rsidR="00256510" w:rsidRPr="00700474">
        <w:t>and</w:t>
      </w:r>
      <w:r w:rsidRPr="00700474">
        <w:t xml:space="preserve"> Bailey 2007). On completion of the data collection, the memos and field notes were analyzed alongside the transcribed data (</w:t>
      </w:r>
      <w:r w:rsidR="00256510" w:rsidRPr="00700474">
        <w:t>Montgomery and Bailey 2007</w:t>
      </w:r>
      <w:r w:rsidRPr="00700474">
        <w:t>).</w:t>
      </w:r>
    </w:p>
    <w:p w14:paraId="5541AE23" w14:textId="77777777" w:rsidR="00E65B1F" w:rsidRDefault="00E65B1F" w:rsidP="00CE4BFC">
      <w:pPr>
        <w:jc w:val="left"/>
      </w:pPr>
    </w:p>
    <w:p w14:paraId="7EDEE034" w14:textId="77777777" w:rsidR="00E65B1F" w:rsidRPr="00700474" w:rsidRDefault="00E65B1F" w:rsidP="00CE4BFC">
      <w:pPr>
        <w:jc w:val="left"/>
      </w:pPr>
    </w:p>
    <w:p w14:paraId="1426A2A9"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lastRenderedPageBreak/>
        <w:t>Participants</w:t>
      </w:r>
    </w:p>
    <w:p w14:paraId="293AFCAC" w14:textId="2B8C1FAF"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There were 100 respondents for this study; sixty were male, and forty were female. The participants' ages ranged between 18 and 60</w:t>
      </w:r>
      <w:r w:rsidR="00E65B1F">
        <w:rPr>
          <w:rFonts w:ascii="Times New Roman" w:hAnsi="Times New Roman" w:cs="Times New Roman"/>
          <w:color w:val="000000" w:themeColor="text1"/>
        </w:rPr>
        <w:t xml:space="preserve"> (</w:t>
      </w:r>
      <w:r w:rsidR="00E65B1F" w:rsidRPr="00E65B1F">
        <w:rPr>
          <w:rFonts w:ascii="Times New Roman" w:hAnsi="Times New Roman" w:cs="Times New Roman"/>
          <w:b/>
          <w:bCs/>
          <w:color w:val="000000" w:themeColor="text1"/>
        </w:rPr>
        <w:t>Table 1</w:t>
      </w:r>
      <w:r w:rsidR="00E65B1F">
        <w:rPr>
          <w:rFonts w:ascii="Times New Roman" w:hAnsi="Times New Roman" w:cs="Times New Roman"/>
          <w:color w:val="000000" w:themeColor="text1"/>
        </w:rPr>
        <w:t>).</w:t>
      </w:r>
      <w:r w:rsidRPr="00700474">
        <w:rPr>
          <w:rFonts w:ascii="Times New Roman" w:hAnsi="Times New Roman" w:cs="Times New Roman"/>
          <w:color w:val="000000" w:themeColor="text1"/>
        </w:rPr>
        <w:t xml:space="preserve"> Most participants (80 out of 100) have tertiary education, five have secondary education, ten have elementary education, and five are unlettered, providing a diverse and representative sample for the study. Using one hundred research participants allowed for a broad representation and capture of various demographics and diverse perspectives. It also ensured saturation across complex topics like attitudes toward sanctions, which numerous factors can influence. I considered my interviews as a collaborative process, with myself as an active participant and a co-constructor of the research.</w:t>
      </w:r>
    </w:p>
    <w:p w14:paraId="56FC0CB4"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Co-Construction of Research</w:t>
      </w:r>
    </w:p>
    <w:p w14:paraId="1E803467" w14:textId="77777777" w:rsidR="008B1030" w:rsidRPr="00700474" w:rsidRDefault="008B1030" w:rsidP="00B0127F">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Being a co-constructor of research involves actively participating in the research process, contributing to the creation and understanding of knowledge. It means providing insights, perspectives, and interpretations that shape the direction and findings of the study. For instance, </w:t>
      </w:r>
    </w:p>
    <w:p w14:paraId="3767132F" w14:textId="0E530970" w:rsidR="008B1030" w:rsidRPr="00700474" w:rsidRDefault="008B1030" w:rsidP="00B0127F">
      <w:pPr>
        <w:jc w:val="left"/>
      </w:pPr>
      <w:r w:rsidRPr="00700474">
        <w:t xml:space="preserve">Nii Amasa narrated a mob justice he participated in . He showed no remorse at the beginning of his narration. For him, even though illegal, the mob justice was justified because attempts to go through the legal system have been disappointing. He explained that his community had been subjected to armed </w:t>
      </w:r>
      <w:r w:rsidR="000569CB" w:rsidRPr="00700474">
        <w:t>robbery and</w:t>
      </w:r>
      <w:r w:rsidRPr="00700474">
        <w:t xml:space="preserve"> calls to have the police patrol the community yielded no results. When they apprehended the robbers and turned them into the police, they were released without any form of action. So, for him, it is okay for citizens to take the law into their own hands, even if it means killing the suspect. I then asked him if he recalled the incident with Major Mahama. I used this story because it was a case of mob justice that caught public attention. </w:t>
      </w:r>
    </w:p>
    <w:p w14:paraId="51D8B58C" w14:textId="77777777" w:rsidR="00E65B1F" w:rsidRDefault="008B1030" w:rsidP="00B0127F">
      <w:pPr>
        <w:ind w:firstLine="720"/>
        <w:jc w:val="left"/>
      </w:pPr>
      <w:r w:rsidRPr="00700474">
        <w:t xml:space="preserve">Major Mahama was a major of the Ghana Armed Force who was dispatched to the Denkyira community to monitor small-scale mining activities. However, someone raised a false </w:t>
      </w:r>
    </w:p>
    <w:p w14:paraId="29E80453" w14:textId="77777777" w:rsidR="00E65B1F" w:rsidRPr="00700474" w:rsidRDefault="00E65B1F" w:rsidP="00E65B1F">
      <w:pPr>
        <w:pStyle w:val="NoSpacing"/>
        <w:rPr>
          <w:rFonts w:ascii="Times New Roman" w:hAnsi="Times New Roman" w:cs="Times New Roman"/>
          <w:color w:val="000000" w:themeColor="text1"/>
        </w:rPr>
      </w:pPr>
      <w:bookmarkStart w:id="5" w:name="_Hlk203271803"/>
      <w:r w:rsidRPr="00700474">
        <w:rPr>
          <w:rFonts w:ascii="Times New Roman" w:hAnsi="Times New Roman" w:cs="Times New Roman"/>
          <w:b/>
          <w:bCs/>
          <w:color w:val="000000" w:themeColor="text1"/>
        </w:rPr>
        <w:lastRenderedPageBreak/>
        <w:t xml:space="preserve">Table 1: </w:t>
      </w:r>
      <w:r w:rsidRPr="00700474">
        <w:rPr>
          <w:rFonts w:ascii="Times New Roman" w:hAnsi="Times New Roman" w:cs="Times New Roman"/>
          <w:color w:val="000000" w:themeColor="text1"/>
        </w:rPr>
        <w:t>Summary of Research Participant Demographics</w:t>
      </w:r>
    </w:p>
    <w:tbl>
      <w:tblPr>
        <w:tblStyle w:val="TableGrid"/>
        <w:tblW w:w="9535" w:type="dxa"/>
        <w:jc w:val="center"/>
        <w:tblLayout w:type="fixed"/>
        <w:tblLook w:val="04A0" w:firstRow="1" w:lastRow="0" w:firstColumn="1" w:lastColumn="0" w:noHBand="0" w:noVBand="1"/>
      </w:tblPr>
      <w:tblGrid>
        <w:gridCol w:w="2695"/>
        <w:gridCol w:w="2340"/>
        <w:gridCol w:w="2250"/>
        <w:gridCol w:w="2250"/>
      </w:tblGrid>
      <w:tr w:rsidR="00E65B1F" w:rsidRPr="00700474" w14:paraId="5965CCC3" w14:textId="77777777" w:rsidTr="00050A61">
        <w:trPr>
          <w:jc w:val="center"/>
        </w:trPr>
        <w:tc>
          <w:tcPr>
            <w:tcW w:w="2695" w:type="dxa"/>
            <w:vAlign w:val="center"/>
          </w:tcPr>
          <w:p w14:paraId="44FAA830" w14:textId="77777777" w:rsidR="00E65B1F" w:rsidRPr="00700474" w:rsidRDefault="00E65B1F" w:rsidP="00050A61">
            <w:pPr>
              <w:pStyle w:val="NoSpacing"/>
              <w:rPr>
                <w:rFonts w:ascii="Times New Roman" w:hAnsi="Times New Roman" w:cs="Times New Roman"/>
                <w:b/>
                <w:bCs/>
                <w:color w:val="000000" w:themeColor="text1"/>
              </w:rPr>
            </w:pPr>
            <w:r w:rsidRPr="00700474">
              <w:rPr>
                <w:rFonts w:ascii="Times New Roman" w:hAnsi="Times New Roman" w:cs="Times New Roman"/>
                <w:color w:val="000000" w:themeColor="text1"/>
              </w:rPr>
              <w:t>Category</w:t>
            </w:r>
          </w:p>
        </w:tc>
        <w:tc>
          <w:tcPr>
            <w:tcW w:w="2340" w:type="dxa"/>
            <w:vAlign w:val="center"/>
          </w:tcPr>
          <w:p w14:paraId="5F131094"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Subcategory</w:t>
            </w:r>
          </w:p>
        </w:tc>
        <w:tc>
          <w:tcPr>
            <w:tcW w:w="2250" w:type="dxa"/>
            <w:vAlign w:val="center"/>
          </w:tcPr>
          <w:p w14:paraId="796FE11E"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Number of Participants</w:t>
            </w:r>
          </w:p>
        </w:tc>
        <w:tc>
          <w:tcPr>
            <w:tcW w:w="2250" w:type="dxa"/>
            <w:vAlign w:val="center"/>
          </w:tcPr>
          <w:p w14:paraId="541C368E"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Percentage (%)</w:t>
            </w:r>
          </w:p>
        </w:tc>
      </w:tr>
      <w:tr w:rsidR="00E65B1F" w:rsidRPr="00700474" w14:paraId="7952BE42" w14:textId="77777777" w:rsidTr="00050A61">
        <w:trPr>
          <w:jc w:val="center"/>
        </w:trPr>
        <w:tc>
          <w:tcPr>
            <w:tcW w:w="2695" w:type="dxa"/>
            <w:vAlign w:val="center"/>
          </w:tcPr>
          <w:p w14:paraId="316D3340"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Sex</w:t>
            </w:r>
          </w:p>
        </w:tc>
        <w:tc>
          <w:tcPr>
            <w:tcW w:w="2340" w:type="dxa"/>
            <w:vAlign w:val="center"/>
          </w:tcPr>
          <w:p w14:paraId="4553F2FE"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Male</w:t>
            </w:r>
          </w:p>
        </w:tc>
        <w:tc>
          <w:tcPr>
            <w:tcW w:w="2250" w:type="dxa"/>
            <w:vAlign w:val="center"/>
          </w:tcPr>
          <w:p w14:paraId="409DE4D2"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60</w:t>
            </w:r>
          </w:p>
        </w:tc>
        <w:tc>
          <w:tcPr>
            <w:tcW w:w="2250" w:type="dxa"/>
            <w:vAlign w:val="center"/>
          </w:tcPr>
          <w:p w14:paraId="0460315F"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60%</w:t>
            </w:r>
          </w:p>
        </w:tc>
      </w:tr>
      <w:tr w:rsidR="00E65B1F" w:rsidRPr="00700474" w14:paraId="6314C299" w14:textId="77777777" w:rsidTr="00050A61">
        <w:trPr>
          <w:jc w:val="center"/>
        </w:trPr>
        <w:tc>
          <w:tcPr>
            <w:tcW w:w="2695" w:type="dxa"/>
            <w:vAlign w:val="center"/>
          </w:tcPr>
          <w:p w14:paraId="7659E561" w14:textId="77777777" w:rsidR="00E65B1F" w:rsidRPr="00700474" w:rsidRDefault="00E65B1F" w:rsidP="00050A61">
            <w:pPr>
              <w:pStyle w:val="NoSpacing"/>
              <w:rPr>
                <w:rFonts w:ascii="Times New Roman" w:hAnsi="Times New Roman" w:cs="Times New Roman"/>
                <w:b/>
                <w:bCs/>
                <w:i/>
                <w:iCs/>
                <w:color w:val="000000" w:themeColor="text1"/>
              </w:rPr>
            </w:pPr>
          </w:p>
        </w:tc>
        <w:tc>
          <w:tcPr>
            <w:tcW w:w="2340" w:type="dxa"/>
            <w:vAlign w:val="center"/>
          </w:tcPr>
          <w:p w14:paraId="71C1C0BB"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Female</w:t>
            </w:r>
          </w:p>
        </w:tc>
        <w:tc>
          <w:tcPr>
            <w:tcW w:w="2250" w:type="dxa"/>
            <w:vAlign w:val="center"/>
          </w:tcPr>
          <w:p w14:paraId="310BC7EF"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40</w:t>
            </w:r>
          </w:p>
        </w:tc>
        <w:tc>
          <w:tcPr>
            <w:tcW w:w="2250" w:type="dxa"/>
            <w:vAlign w:val="center"/>
          </w:tcPr>
          <w:p w14:paraId="2C01FB5C"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40%</w:t>
            </w:r>
          </w:p>
        </w:tc>
      </w:tr>
      <w:tr w:rsidR="00E65B1F" w:rsidRPr="00700474" w14:paraId="33193196" w14:textId="77777777" w:rsidTr="00050A61">
        <w:trPr>
          <w:jc w:val="center"/>
        </w:trPr>
        <w:tc>
          <w:tcPr>
            <w:tcW w:w="2695" w:type="dxa"/>
            <w:vAlign w:val="center"/>
          </w:tcPr>
          <w:p w14:paraId="2E7A610B"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Age Range</w:t>
            </w:r>
          </w:p>
        </w:tc>
        <w:tc>
          <w:tcPr>
            <w:tcW w:w="2340" w:type="dxa"/>
            <w:vAlign w:val="center"/>
          </w:tcPr>
          <w:p w14:paraId="27E9A755"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18–60 years</w:t>
            </w:r>
          </w:p>
        </w:tc>
        <w:tc>
          <w:tcPr>
            <w:tcW w:w="2250" w:type="dxa"/>
            <w:vAlign w:val="center"/>
          </w:tcPr>
          <w:p w14:paraId="49C53488"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100</w:t>
            </w:r>
          </w:p>
        </w:tc>
        <w:tc>
          <w:tcPr>
            <w:tcW w:w="2250" w:type="dxa"/>
            <w:vAlign w:val="center"/>
          </w:tcPr>
          <w:p w14:paraId="2D7D1847"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100%</w:t>
            </w:r>
          </w:p>
        </w:tc>
      </w:tr>
      <w:tr w:rsidR="00E65B1F" w:rsidRPr="00700474" w14:paraId="7FA536C5" w14:textId="77777777" w:rsidTr="00050A61">
        <w:trPr>
          <w:jc w:val="center"/>
        </w:trPr>
        <w:tc>
          <w:tcPr>
            <w:tcW w:w="2695" w:type="dxa"/>
            <w:vAlign w:val="center"/>
          </w:tcPr>
          <w:p w14:paraId="68902081"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Education Level</w:t>
            </w:r>
          </w:p>
        </w:tc>
        <w:tc>
          <w:tcPr>
            <w:tcW w:w="2340" w:type="dxa"/>
            <w:vAlign w:val="center"/>
          </w:tcPr>
          <w:p w14:paraId="7C3BECF8"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Tertiary</w:t>
            </w:r>
          </w:p>
        </w:tc>
        <w:tc>
          <w:tcPr>
            <w:tcW w:w="2250" w:type="dxa"/>
            <w:vAlign w:val="center"/>
          </w:tcPr>
          <w:p w14:paraId="21FEECD1"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80</w:t>
            </w:r>
          </w:p>
        </w:tc>
        <w:tc>
          <w:tcPr>
            <w:tcW w:w="2250" w:type="dxa"/>
            <w:vAlign w:val="center"/>
          </w:tcPr>
          <w:p w14:paraId="4BCFD82E"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80%</w:t>
            </w:r>
          </w:p>
        </w:tc>
      </w:tr>
      <w:tr w:rsidR="00E65B1F" w:rsidRPr="00700474" w14:paraId="1CDC01A3" w14:textId="77777777" w:rsidTr="00050A61">
        <w:trPr>
          <w:jc w:val="center"/>
        </w:trPr>
        <w:tc>
          <w:tcPr>
            <w:tcW w:w="2695" w:type="dxa"/>
            <w:vAlign w:val="center"/>
          </w:tcPr>
          <w:p w14:paraId="00333083" w14:textId="77777777" w:rsidR="00E65B1F" w:rsidRPr="00700474" w:rsidRDefault="00E65B1F" w:rsidP="00050A61">
            <w:pPr>
              <w:pStyle w:val="NoSpacing"/>
              <w:rPr>
                <w:rFonts w:ascii="Times New Roman" w:hAnsi="Times New Roman" w:cs="Times New Roman"/>
                <w:b/>
                <w:bCs/>
                <w:i/>
                <w:iCs/>
                <w:color w:val="000000" w:themeColor="text1"/>
              </w:rPr>
            </w:pPr>
          </w:p>
        </w:tc>
        <w:tc>
          <w:tcPr>
            <w:tcW w:w="2340" w:type="dxa"/>
            <w:vAlign w:val="center"/>
          </w:tcPr>
          <w:p w14:paraId="46D8B854"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Secondary</w:t>
            </w:r>
          </w:p>
        </w:tc>
        <w:tc>
          <w:tcPr>
            <w:tcW w:w="2250" w:type="dxa"/>
            <w:vAlign w:val="center"/>
          </w:tcPr>
          <w:p w14:paraId="032444D7"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5</w:t>
            </w:r>
          </w:p>
        </w:tc>
        <w:tc>
          <w:tcPr>
            <w:tcW w:w="2250" w:type="dxa"/>
            <w:vAlign w:val="center"/>
          </w:tcPr>
          <w:p w14:paraId="21719132" w14:textId="77777777" w:rsidR="00E65B1F" w:rsidRPr="00700474" w:rsidRDefault="00E65B1F" w:rsidP="00050A61">
            <w:pPr>
              <w:pStyle w:val="NoSpacing"/>
              <w:rPr>
                <w:rFonts w:ascii="Times New Roman" w:hAnsi="Times New Roman" w:cs="Times New Roman"/>
                <w:b/>
                <w:bCs/>
                <w:i/>
                <w:iCs/>
                <w:color w:val="000000" w:themeColor="text1"/>
              </w:rPr>
            </w:pPr>
            <w:r w:rsidRPr="00700474">
              <w:rPr>
                <w:rFonts w:ascii="Times New Roman" w:hAnsi="Times New Roman" w:cs="Times New Roman"/>
                <w:color w:val="000000" w:themeColor="text1"/>
              </w:rPr>
              <w:t>5%</w:t>
            </w:r>
          </w:p>
        </w:tc>
      </w:tr>
      <w:tr w:rsidR="00E65B1F" w:rsidRPr="00700474" w14:paraId="094FD66D" w14:textId="77777777" w:rsidTr="00050A61">
        <w:trPr>
          <w:jc w:val="center"/>
        </w:trPr>
        <w:tc>
          <w:tcPr>
            <w:tcW w:w="2695" w:type="dxa"/>
            <w:vAlign w:val="center"/>
          </w:tcPr>
          <w:p w14:paraId="3F3785DC" w14:textId="77777777" w:rsidR="00E65B1F" w:rsidRPr="00700474" w:rsidRDefault="00E65B1F" w:rsidP="00050A61">
            <w:pPr>
              <w:pStyle w:val="NoSpacing"/>
              <w:rPr>
                <w:rFonts w:ascii="Times New Roman" w:hAnsi="Times New Roman" w:cs="Times New Roman"/>
                <w:b/>
                <w:bCs/>
                <w:i/>
                <w:iCs/>
                <w:color w:val="000000" w:themeColor="text1"/>
              </w:rPr>
            </w:pPr>
          </w:p>
        </w:tc>
        <w:tc>
          <w:tcPr>
            <w:tcW w:w="2340" w:type="dxa"/>
            <w:vAlign w:val="center"/>
          </w:tcPr>
          <w:p w14:paraId="501712E0" w14:textId="77777777" w:rsidR="00E65B1F" w:rsidRPr="00700474" w:rsidRDefault="00E65B1F" w:rsidP="00050A61">
            <w:pPr>
              <w:pStyle w:val="NoSpacing"/>
              <w:rPr>
                <w:rFonts w:ascii="Times New Roman" w:hAnsi="Times New Roman" w:cs="Times New Roman"/>
                <w:color w:val="000000" w:themeColor="text1"/>
              </w:rPr>
            </w:pPr>
            <w:r w:rsidRPr="00700474">
              <w:rPr>
                <w:rFonts w:ascii="Times New Roman" w:hAnsi="Times New Roman" w:cs="Times New Roman"/>
                <w:color w:val="000000" w:themeColor="text1"/>
              </w:rPr>
              <w:t>Elementary</w:t>
            </w:r>
          </w:p>
        </w:tc>
        <w:tc>
          <w:tcPr>
            <w:tcW w:w="2250" w:type="dxa"/>
            <w:vAlign w:val="center"/>
          </w:tcPr>
          <w:p w14:paraId="203BFFEE" w14:textId="77777777" w:rsidR="00E65B1F" w:rsidRPr="00700474" w:rsidRDefault="00E65B1F" w:rsidP="00050A61">
            <w:pPr>
              <w:pStyle w:val="NoSpacing"/>
              <w:rPr>
                <w:rFonts w:ascii="Times New Roman" w:hAnsi="Times New Roman" w:cs="Times New Roman"/>
                <w:color w:val="000000" w:themeColor="text1"/>
              </w:rPr>
            </w:pPr>
            <w:r w:rsidRPr="00700474">
              <w:rPr>
                <w:rFonts w:ascii="Times New Roman" w:hAnsi="Times New Roman" w:cs="Times New Roman"/>
                <w:color w:val="000000" w:themeColor="text1"/>
              </w:rPr>
              <w:t>10</w:t>
            </w:r>
          </w:p>
        </w:tc>
        <w:tc>
          <w:tcPr>
            <w:tcW w:w="2250" w:type="dxa"/>
            <w:vAlign w:val="center"/>
          </w:tcPr>
          <w:p w14:paraId="38D61E29" w14:textId="77777777" w:rsidR="00E65B1F" w:rsidRPr="00700474" w:rsidRDefault="00E65B1F" w:rsidP="00050A61">
            <w:pPr>
              <w:pStyle w:val="NoSpacing"/>
              <w:rPr>
                <w:rFonts w:ascii="Times New Roman" w:hAnsi="Times New Roman" w:cs="Times New Roman"/>
                <w:color w:val="000000" w:themeColor="text1"/>
              </w:rPr>
            </w:pPr>
            <w:r w:rsidRPr="00700474">
              <w:rPr>
                <w:rFonts w:ascii="Times New Roman" w:hAnsi="Times New Roman" w:cs="Times New Roman"/>
                <w:color w:val="000000" w:themeColor="text1"/>
              </w:rPr>
              <w:t>10%</w:t>
            </w:r>
          </w:p>
        </w:tc>
      </w:tr>
      <w:tr w:rsidR="00E65B1F" w:rsidRPr="00700474" w14:paraId="57C8DBEC" w14:textId="77777777" w:rsidTr="00050A61">
        <w:trPr>
          <w:jc w:val="center"/>
        </w:trPr>
        <w:tc>
          <w:tcPr>
            <w:tcW w:w="2695" w:type="dxa"/>
            <w:vAlign w:val="center"/>
          </w:tcPr>
          <w:p w14:paraId="56E1CAAB" w14:textId="77777777" w:rsidR="00E65B1F" w:rsidRPr="00700474" w:rsidRDefault="00E65B1F" w:rsidP="00050A61">
            <w:pPr>
              <w:pStyle w:val="NoSpacing"/>
              <w:rPr>
                <w:rFonts w:ascii="Times New Roman" w:hAnsi="Times New Roman" w:cs="Times New Roman"/>
                <w:b/>
                <w:bCs/>
                <w:i/>
                <w:iCs/>
                <w:color w:val="000000" w:themeColor="text1"/>
              </w:rPr>
            </w:pPr>
          </w:p>
        </w:tc>
        <w:tc>
          <w:tcPr>
            <w:tcW w:w="2340" w:type="dxa"/>
            <w:vAlign w:val="center"/>
          </w:tcPr>
          <w:p w14:paraId="2F28EF5E" w14:textId="77777777" w:rsidR="00E65B1F" w:rsidRPr="00700474" w:rsidRDefault="00E65B1F" w:rsidP="00050A61">
            <w:pPr>
              <w:pStyle w:val="NoSpacing"/>
              <w:rPr>
                <w:rFonts w:ascii="Times New Roman" w:hAnsi="Times New Roman" w:cs="Times New Roman"/>
                <w:color w:val="000000" w:themeColor="text1"/>
              </w:rPr>
            </w:pPr>
            <w:r w:rsidRPr="00700474">
              <w:rPr>
                <w:rFonts w:ascii="Times New Roman" w:hAnsi="Times New Roman" w:cs="Times New Roman"/>
                <w:color w:val="000000" w:themeColor="text1"/>
              </w:rPr>
              <w:t>Unlettered (No formal education)</w:t>
            </w:r>
          </w:p>
        </w:tc>
        <w:tc>
          <w:tcPr>
            <w:tcW w:w="2250" w:type="dxa"/>
            <w:vAlign w:val="center"/>
          </w:tcPr>
          <w:p w14:paraId="5073BC8B" w14:textId="77777777" w:rsidR="00E65B1F" w:rsidRPr="00700474" w:rsidRDefault="00E65B1F" w:rsidP="00050A61">
            <w:pPr>
              <w:pStyle w:val="NoSpacing"/>
              <w:rPr>
                <w:rFonts w:ascii="Times New Roman" w:hAnsi="Times New Roman" w:cs="Times New Roman"/>
                <w:color w:val="000000" w:themeColor="text1"/>
              </w:rPr>
            </w:pPr>
            <w:r w:rsidRPr="00700474">
              <w:rPr>
                <w:rFonts w:ascii="Times New Roman" w:hAnsi="Times New Roman" w:cs="Times New Roman"/>
                <w:color w:val="000000" w:themeColor="text1"/>
              </w:rPr>
              <w:t>5</w:t>
            </w:r>
          </w:p>
        </w:tc>
        <w:tc>
          <w:tcPr>
            <w:tcW w:w="2250" w:type="dxa"/>
            <w:vAlign w:val="center"/>
          </w:tcPr>
          <w:p w14:paraId="031500B5" w14:textId="77777777" w:rsidR="00E65B1F" w:rsidRPr="00700474" w:rsidRDefault="00E65B1F" w:rsidP="00050A61">
            <w:pPr>
              <w:pStyle w:val="NoSpacing"/>
              <w:rPr>
                <w:rFonts w:ascii="Times New Roman" w:hAnsi="Times New Roman" w:cs="Times New Roman"/>
                <w:color w:val="000000" w:themeColor="text1"/>
              </w:rPr>
            </w:pPr>
            <w:r w:rsidRPr="00700474">
              <w:rPr>
                <w:rFonts w:ascii="Times New Roman" w:hAnsi="Times New Roman" w:cs="Times New Roman"/>
                <w:color w:val="000000" w:themeColor="text1"/>
              </w:rPr>
              <w:t>5%</w:t>
            </w:r>
          </w:p>
        </w:tc>
      </w:tr>
      <w:bookmarkEnd w:id="5"/>
    </w:tbl>
    <w:p w14:paraId="4B4B7C2F" w14:textId="77777777" w:rsidR="00E65B1F" w:rsidRDefault="00E65B1F" w:rsidP="00E65B1F">
      <w:pPr>
        <w:jc w:val="left"/>
      </w:pPr>
    </w:p>
    <w:p w14:paraId="0857BBA8" w14:textId="01B9ADC1" w:rsidR="008B1030" w:rsidRPr="00700474" w:rsidRDefault="008B1030" w:rsidP="00E65B1F">
      <w:pPr>
        <w:jc w:val="left"/>
      </w:pPr>
      <w:r w:rsidRPr="00700474">
        <w:t>alarm about him being a criminal because they had seen him with a pistol. The community, having been troubled by the activities of armed robbers, just pounced on him and, beat him to death and afterwards burnt him. Only to later realize he was a military officer. After I posed the question, he paused for a minute, smiled, and responded…</w:t>
      </w:r>
    </w:p>
    <w:p w14:paraId="28C6DDBF" w14:textId="77777777" w:rsidR="008B1030" w:rsidRPr="00700474" w:rsidRDefault="008B1030" w:rsidP="00B0127F">
      <w:pPr>
        <w:ind w:left="720"/>
        <w:jc w:val="left"/>
      </w:pPr>
      <w:r w:rsidRPr="00700474">
        <w:t>”I get it, what you are driving at… hmm… it’s true. ooo that incident was so unfortunate. But it has many lessons to be learnt. You know, we often don’t even verify if the suspect has actually done what he is being accused of. Even in this case, we didn't verify. We all got our stones, sticks, and what have you once we heard….. julo eee julo (thief). Hmm, an innocent soul might have been lost. I'm sure it is not just Major Mahama. A lot of the people who have died through mob justice are likely to be innocent. Perhaps with this story of major Mahama in mind, I would say mob justice is not good".</w:t>
      </w:r>
    </w:p>
    <w:p w14:paraId="7035A753" w14:textId="77777777" w:rsidR="008B1030" w:rsidRPr="00700474" w:rsidRDefault="008B1030" w:rsidP="00B0127F">
      <w:pPr>
        <w:jc w:val="left"/>
      </w:pPr>
      <w:r w:rsidRPr="00700474">
        <w:t>My reference to Major Mahama’s lynching triggered some reflection in Nii Amasa, contributing to the creation of knowledge of the dire effect of mob justice and the subsequent change in his earlier thoughts about mob justice.</w:t>
      </w:r>
    </w:p>
    <w:p w14:paraId="55610B2B" w14:textId="77777777" w:rsidR="008B1030" w:rsidRPr="00700474" w:rsidRDefault="008B1030" w:rsidP="00B0127F">
      <w:pPr>
        <w:ind w:firstLine="720"/>
        <w:jc w:val="left"/>
      </w:pPr>
      <w:r w:rsidRPr="00700474">
        <w:t xml:space="preserve"> Ameley resides in one of the bustling slums in Accra, a community notorious for its severe treatment of wrongdoers. Given this reputation, I anticipated a grim account of the thief’s </w:t>
      </w:r>
      <w:r w:rsidRPr="00700474">
        <w:lastRenderedPageBreak/>
        <w:t>fate. However, Ameley’s narrative took an unexpected turn. She concluded, “Once the alarm was raised, community members came out. It was a collective action that slapped him; others caned him.” And with that, she finished her story. I waited, half-expecting her to elaborate on the punishment, but it seemed she was done. So I probed further to see if that was all she had to say about the punishment. She explained, saying, “Oh no, I know, you know the usuals like head lacing and burning will follow. That is why I did not add that.” If not for my active participation in the narration process, some portions about the punishment would have been omitted, creating the false impression that attitudes towards crime have improved.</w:t>
      </w:r>
    </w:p>
    <w:p w14:paraId="06F65FBE" w14:textId="77777777" w:rsidR="008B1030" w:rsidRPr="00700474" w:rsidRDefault="008B1030" w:rsidP="00B0127F">
      <w:pPr>
        <w:ind w:firstLine="720"/>
        <w:jc w:val="left"/>
      </w:pPr>
      <w:r w:rsidRPr="00700474">
        <w:t>Another instance where my role as a co-constructor and contributor to the research became apparent was a conversation that transpired between me and Mr. Ansah during our interview session. After about two hours of waiting in the lobby, the executive assistant to the director signaled that the director was now ready for the interview. As I entered the office, he had a call. I wanted to excuse him so he could have some privacy, but he asked me to sit down. After the call, he said to me, “That was my boy on the phone; he claims his teacher had caned him for no apparent reason. But I am sure he did something which he is not saying.” Incidentally, his son’s experience resonated with an experience I had in grade 6 where my teacher gave me three lashes on my back, not because I was directly involved in something wrong but because other students in my class were making noise. After I narrated my ordeal, Mr Ansah’s posture towards the situation changed. He called his wife and requested that the teacher be queried. My story shaped Mr. Ansah’s response to the sanction inflicted on his son, arguably shaping his thoughts or attitudes towards sanctions, underscoring the argument that narratives indeed shape attitudes.</w:t>
      </w:r>
    </w:p>
    <w:p w14:paraId="22FDB712" w14:textId="77777777" w:rsidR="00D36AB4" w:rsidRPr="00700474" w:rsidRDefault="00D36AB4">
      <w:pPr>
        <w:spacing w:after="160" w:line="259" w:lineRule="auto"/>
        <w:jc w:val="left"/>
        <w:rPr>
          <w:b/>
          <w:bCs/>
          <w:i/>
          <w:iCs/>
        </w:rPr>
      </w:pPr>
      <w:r w:rsidRPr="00700474">
        <w:rPr>
          <w:b/>
          <w:bCs/>
          <w:i/>
          <w:iCs/>
        </w:rPr>
        <w:br w:type="page"/>
      </w:r>
    </w:p>
    <w:p w14:paraId="34C3BDD0" w14:textId="3D9BF473"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lastRenderedPageBreak/>
        <w:t>Setting</w:t>
      </w:r>
    </w:p>
    <w:p w14:paraId="54559A78" w14:textId="1AE56477" w:rsidR="008B1030" w:rsidRPr="00700474" w:rsidRDefault="000569CB"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Most of</w:t>
      </w:r>
      <w:r w:rsidR="008B1030" w:rsidRPr="00700474">
        <w:rPr>
          <w:rFonts w:ascii="Times New Roman" w:hAnsi="Times New Roman" w:cs="Times New Roman"/>
          <w:color w:val="000000" w:themeColor="text1"/>
        </w:rPr>
        <w:t xml:space="preserve"> the interviews were held in the research participants' offices, with just a few in private spaces of the participants' choosing. The offices were either shared or private, with doors closed. I could not hear the substance of the conversation held in adjacent rooms. I am, therefore, confident that neither of my interviews will be heard.</w:t>
      </w:r>
    </w:p>
    <w:p w14:paraId="7313D97D"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Duration</w:t>
      </w:r>
    </w:p>
    <w:p w14:paraId="5B8B7FD4"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Some of the interviews lasted about seven minutes, with the maximum being 45 minutes to an hour.; really, as long as it needed to.” The interview seemed to reach a natural” conclusion when research participants either became overly redundant or signaled the need to return to post since most of the interviews were conducted in offices.</w:t>
      </w:r>
    </w:p>
    <w:p w14:paraId="11B3C5C1"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Recording</w:t>
      </w:r>
    </w:p>
    <w:p w14:paraId="38B63982"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All participants agreed to be recorded, and the interviews were recorded using phones encrypted with a password to secure the data. I used two different phones to record each interview to ensure I had a backup should one of the phones become faulty in the recording process. </w:t>
      </w:r>
    </w:p>
    <w:p w14:paraId="41C8F323" w14:textId="77777777" w:rsidR="008B1030" w:rsidRPr="00700474" w:rsidRDefault="008B1030" w:rsidP="00D36AB4">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Data Processing</w:t>
      </w:r>
    </w:p>
    <w:p w14:paraId="648306AA" w14:textId="11A3A497" w:rsidR="00206FCD" w:rsidRPr="00700474" w:rsidRDefault="008B1030" w:rsidP="00B0127F">
      <w:pPr>
        <w:jc w:val="left"/>
      </w:pPr>
      <w:r w:rsidRPr="00700474">
        <w:t xml:space="preserve">My recorded interviews were saved on my phone’s internal storage and shared with the transcribers using the versatile WhatsApp platform. </w:t>
      </w:r>
      <w:r w:rsidR="00206FCD" w:rsidRPr="00700474">
        <w:t>WhatsApp, a free and versatile messaging platform owned by Meta, enables users to communicate seamlessly through text messages, voice and video calls, as well as sharing photos, videos, and documents. Its functionality supports both one-on-one and group conversations, making it an essential tool for personal and professional communication. Additionally, WhatsApp prioritizes user privacy with end-to-end encryption, ensuring that only the sender and recipient can access the content of their messages.</w:t>
      </w:r>
    </w:p>
    <w:p w14:paraId="1344D315" w14:textId="77777777" w:rsidR="000569CB" w:rsidRPr="00700474" w:rsidRDefault="000569CB">
      <w:pPr>
        <w:spacing w:after="160" w:line="259" w:lineRule="auto"/>
        <w:jc w:val="left"/>
        <w:rPr>
          <w:b/>
          <w:bCs/>
          <w:i/>
          <w:iCs/>
        </w:rPr>
      </w:pPr>
      <w:r w:rsidRPr="00700474">
        <w:rPr>
          <w:b/>
          <w:bCs/>
          <w:i/>
          <w:iCs/>
        </w:rPr>
        <w:br w:type="page"/>
      </w:r>
    </w:p>
    <w:p w14:paraId="70A06EAD" w14:textId="6D4BE2B3" w:rsidR="008B1030" w:rsidRPr="00700474" w:rsidRDefault="008B1030" w:rsidP="00B0127F">
      <w:pPr>
        <w:jc w:val="left"/>
        <w:rPr>
          <w:b/>
          <w:bCs/>
          <w:i/>
          <w:iCs/>
        </w:rPr>
      </w:pPr>
      <w:r w:rsidRPr="00700474">
        <w:rPr>
          <w:b/>
          <w:bCs/>
          <w:i/>
          <w:iCs/>
        </w:rPr>
        <w:lastRenderedPageBreak/>
        <w:t>Data Cleaning</w:t>
      </w:r>
    </w:p>
    <w:p w14:paraId="55C2D7E2" w14:textId="77777777" w:rsidR="008B1030" w:rsidRPr="00700474" w:rsidRDefault="008B1030" w:rsidP="00B0127F">
      <w:pPr>
        <w:jc w:val="left"/>
      </w:pPr>
      <w:r w:rsidRPr="00700474">
        <w:t xml:space="preserve">A written copy of the interviews was then generated through transcribing. The transcribed data were first saved as a Word document for ‘cleaning,’ organizing, and formatting to prepare it for analysis. The cleaning process involved removing irrelevant sections of the transcript, correcting errors, removing duplicate and incomplete sentences or narration and ensuring that all data is consistent. At this stage, I anonymized the data. This was a crucial step in the process, as it protects the privacy and confidentiality of the participants. The final data set was then imported from Word into NVivo, a software package for qualitative research and data analysis designed to help researchers organize, analyze, and visualize qualitative data from various sources. </w:t>
      </w:r>
    </w:p>
    <w:p w14:paraId="2EE0EED1" w14:textId="77777777" w:rsidR="008B1030" w:rsidRPr="00700474" w:rsidRDefault="008B1030" w:rsidP="00B0127F">
      <w:pPr>
        <w:jc w:val="left"/>
        <w:rPr>
          <w:b/>
          <w:bCs/>
          <w:i/>
          <w:iCs/>
        </w:rPr>
      </w:pPr>
      <w:r w:rsidRPr="00700474">
        <w:rPr>
          <w:b/>
          <w:bCs/>
          <w:i/>
          <w:iCs/>
        </w:rPr>
        <w:t>Organizing Data </w:t>
      </w:r>
    </w:p>
    <w:p w14:paraId="0636891E" w14:textId="77777777" w:rsidR="008B1030" w:rsidRPr="00700474" w:rsidRDefault="008B1030" w:rsidP="00B0127F">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Data, often vast and unorganized, can pose a significant challenge for analysis. To address this, I undertook the task of organizing the raw data (transcribed interviews imported into NVivo) into categories, segments, or themes. One of the most efficient methods I used was creating codes—labels that succinctly represent specific ideas, topics, or concepts found in the data. This process not only made the data more manageable but also significantly streamlined the analysis process by breaking down long pieces of data into smaller, more manageable sections.</w:t>
      </w:r>
    </w:p>
    <w:p w14:paraId="7536F86C" w14:textId="77777777" w:rsidR="008B1030" w:rsidRPr="00700474" w:rsidRDefault="008B1030" w:rsidP="00D36AB4">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Data Analysis</w:t>
      </w:r>
    </w:p>
    <w:p w14:paraId="58E52DBC" w14:textId="77777777" w:rsidR="008B1030" w:rsidRPr="00700474" w:rsidRDefault="008B1030" w:rsidP="00B0127F">
      <w:pPr>
        <w:jc w:val="left"/>
      </w:pPr>
      <w:r w:rsidRPr="00700474">
        <w:t>Coding was done in two parts. The first focused on coding some participants' narratives to buttress or uphold their attitudes toward sanctions. The second focused mainly on coding the responses of all participants to understand their attitudes toward sanctions.</w:t>
      </w:r>
    </w:p>
    <w:p w14:paraId="6B1871B7" w14:textId="77777777" w:rsidR="008B1030" w:rsidRPr="00700474" w:rsidRDefault="008B1030" w:rsidP="00B0127F">
      <w:pPr>
        <w:jc w:val="left"/>
        <w:rPr>
          <w:b/>
          <w:bCs/>
          <w:i/>
          <w:iCs/>
        </w:rPr>
      </w:pPr>
      <w:r w:rsidRPr="00700474">
        <w:rPr>
          <w:b/>
          <w:bCs/>
          <w:i/>
          <w:iCs/>
        </w:rPr>
        <w:t>Identifying the Narratives</w:t>
      </w:r>
    </w:p>
    <w:p w14:paraId="23CF7351" w14:textId="77777777" w:rsidR="008B1030" w:rsidRPr="00700474" w:rsidRDefault="008B1030" w:rsidP="00B0127F">
      <w:pPr>
        <w:jc w:val="left"/>
      </w:pPr>
      <w:r w:rsidRPr="00700474">
        <w:t xml:space="preserve">I classified it as narrative if the information shared by the respondents has one or more of the following: (a) captures one or two events (b) involves human entities; and (c) advances or </w:t>
      </w:r>
      <w:r w:rsidRPr="00700474">
        <w:lastRenderedPageBreak/>
        <w:t>suggests a causal relationship between the events</w:t>
      </w:r>
      <w:r w:rsidRPr="00700474">
        <w:rPr>
          <w:b/>
          <w:bCs/>
        </w:rPr>
        <w:t xml:space="preserve"> </w:t>
      </w:r>
      <w:r w:rsidRPr="00700474">
        <w:t>(Abbott 2021). For instance, when I asked Amanua what the aim of punishment should be, her response signaled a causal relationship between sanctions and deterrence. She buttressed this point by describing an event she observed in high school:</w:t>
      </w:r>
    </w:p>
    <w:p w14:paraId="6887AB63" w14:textId="77777777" w:rsidR="008B1030" w:rsidRPr="00700474" w:rsidRDefault="008B1030" w:rsidP="00B0127F">
      <w:pPr>
        <w:ind w:left="720"/>
        <w:jc w:val="left"/>
      </w:pPr>
      <w:r w:rsidRPr="00700474">
        <w:t>A class was disturbing the whole block because there was no teacher in their class. Each student was subjected to six strokes of canes, after which they were made to weed the compound. Since that day, no class on that block ever disturbed if there was no teacher in the class because we knew we would be punished if we did. The students in the G/A 1 class themselves did not repeat that again.</w:t>
      </w:r>
    </w:p>
    <w:p w14:paraId="37C6E150" w14:textId="77777777" w:rsidR="008B1030" w:rsidRPr="00700474" w:rsidRDefault="008B1030" w:rsidP="00B0127F">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Her narration met at least one of the narrative criteria and thus was included in the analysis.</w:t>
      </w:r>
    </w:p>
    <w:p w14:paraId="63BE8690" w14:textId="77777777" w:rsidR="008B1030" w:rsidRPr="00700474" w:rsidRDefault="008B1030" w:rsidP="00B0127F">
      <w:pPr>
        <w:jc w:val="left"/>
        <w:rPr>
          <w:b/>
          <w:bCs/>
          <w:i/>
          <w:iCs/>
        </w:rPr>
      </w:pPr>
      <w:r w:rsidRPr="00700474">
        <w:rPr>
          <w:b/>
          <w:bCs/>
          <w:i/>
          <w:iCs/>
        </w:rPr>
        <w:t>General Coding</w:t>
      </w:r>
    </w:p>
    <w:p w14:paraId="1F3D2D9D" w14:textId="592E0D24"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coding process was initiated by reading and re-reading the transcribed data, searching for meanings, patterns, and so on, while keeping the research aim and question in mind. On my third reading, through the data, note-taking was done, and my initial impressions were written down to help me understand the data and develop ideas for coding, which was to be done subsequently. The transcribed data were then subjected to thematic analysis (Braun </w:t>
      </w:r>
      <w:r w:rsidR="00256510"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Clarke 2006). Using NVivo, I performed line-by-line coding that allowed patterns or themes to emerge from the data. This process was adaptable, allowing me to search for themes that were directly relevant to and sought to answer the research questions. After coding line by line, different patterns or themes emerged from the data. As a result, I merged the different patterns into broader categories. For example, the majority (80%) of participants perceived criminal legal punishments as legitimate; however, their explanation of what makes criminal legal punishment legitimate varied. Thus, I labelled “criminal legal punishments as legitimate” as a broader category, and the various </w:t>
      </w:r>
      <w:r w:rsidRPr="00700474">
        <w:rPr>
          <w:rFonts w:ascii="Times New Roman" w:hAnsi="Times New Roman" w:cs="Times New Roman"/>
          <w:color w:val="000000" w:themeColor="text1"/>
        </w:rPr>
        <w:lastRenderedPageBreak/>
        <w:t xml:space="preserve">reasoning provided by respondents, such as “due process, pre-determined punishment,” were labelled as sub-categories. </w:t>
      </w:r>
    </w:p>
    <w:p w14:paraId="390072C5" w14:textId="77777777" w:rsidR="000569CB" w:rsidRPr="00700474" w:rsidRDefault="008B1030" w:rsidP="00E65B1F">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Reviewing and merging themes was not a one-time task but rather an iterative process that involved identifying commonalities or relationships between themes and then integrating them into a more comprehensive theme. For instance, while some respondents ascribed the rise in mob justice to the lax attitudes of police, others referenced limited resources, and still others cited incompetent police personnel. These varied views were merged into one theme - Inefficiency. Similarly, responses such as an eye-for-an-eye, satisfaction, and instant justice, which proffered insight into how an intended outcome shapes attitude towards sanction (mob justice), were merged into one theme – Retribution. As major themes and subthemes were developed and rearranged, they were compared to the data several times to guarantee that they were based on the respondents’ insight. This rigorous validation process, conducted with the utmost care and thoroughness, ensures confidence in the research findings, as the final report of a qualitative study should be written to reflect the voice of the participants (Creswell </w:t>
      </w:r>
      <w:r w:rsidR="00256510" w:rsidRPr="00700474">
        <w:rPr>
          <w:rFonts w:ascii="Times New Roman" w:hAnsi="Times New Roman" w:cs="Times New Roman"/>
          <w:color w:val="000000" w:themeColor="text1"/>
        </w:rPr>
        <w:t>and</w:t>
      </w:r>
      <w:r w:rsidRPr="00700474">
        <w:rPr>
          <w:rFonts w:ascii="Times New Roman" w:hAnsi="Times New Roman" w:cs="Times New Roman"/>
          <w:color w:val="000000" w:themeColor="text1"/>
        </w:rPr>
        <w:t xml:space="preserve"> Poth 2017). A comprehensive analysis of themes is reported and discussed in chapters four, five and six.</w:t>
      </w:r>
    </w:p>
    <w:p w14:paraId="1CC7D306" w14:textId="2A23C31A" w:rsidR="008B1030" w:rsidRPr="00700474" w:rsidRDefault="008B1030" w:rsidP="00E65B1F">
      <w:pPr>
        <w:pStyle w:val="NoSpacing"/>
        <w:spacing w:line="480" w:lineRule="auto"/>
        <w:jc w:val="center"/>
        <w:rPr>
          <w:rFonts w:ascii="Times New Roman" w:hAnsi="Times New Roman" w:cs="Times New Roman"/>
          <w:color w:val="000000" w:themeColor="text1"/>
        </w:rPr>
      </w:pPr>
      <w:r w:rsidRPr="00700474">
        <w:rPr>
          <w:rFonts w:ascii="Times New Roman" w:hAnsi="Times New Roman" w:cs="Times New Roman"/>
          <w:b/>
          <w:bCs/>
          <w:color w:val="000000" w:themeColor="text1"/>
        </w:rPr>
        <w:t>Protection of Research Participants</w:t>
      </w:r>
    </w:p>
    <w:p w14:paraId="38F73F9B" w14:textId="1DF80D94"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Several measures were taken to protect research participants. </w:t>
      </w:r>
      <w:r w:rsidR="00AF1BC2" w:rsidRPr="00700474">
        <w:rPr>
          <w:rFonts w:ascii="Times New Roman" w:hAnsi="Times New Roman" w:cs="Times New Roman"/>
          <w:color w:val="000000" w:themeColor="text1"/>
        </w:rPr>
        <w:t>Th</w:t>
      </w:r>
      <w:r w:rsidR="00AF1BC2">
        <w:rPr>
          <w:rFonts w:ascii="Times New Roman" w:hAnsi="Times New Roman" w:cs="Times New Roman"/>
          <w:color w:val="000000" w:themeColor="text1"/>
        </w:rPr>
        <w:t>ese</w:t>
      </w:r>
      <w:r w:rsidRPr="00700474">
        <w:rPr>
          <w:rFonts w:ascii="Times New Roman" w:hAnsi="Times New Roman" w:cs="Times New Roman"/>
          <w:color w:val="000000" w:themeColor="text1"/>
        </w:rPr>
        <w:t xml:space="preserve"> included seeking institutional approval, which required soliciting informed consent and ensuring data confidentiality.</w:t>
      </w:r>
    </w:p>
    <w:p w14:paraId="00500085"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Institutional Approval</w:t>
      </w:r>
    </w:p>
    <w:p w14:paraId="18308E50" w14:textId="356307B8"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One way in which human research participants are protected is through the review and approval of the research plan by the sponsoring institution. On May 7, 2024, I submitted an</w:t>
      </w:r>
      <w:r w:rsidR="0071582B">
        <w:rPr>
          <w:rFonts w:ascii="Times New Roman" w:hAnsi="Times New Roman" w:cs="Times New Roman"/>
          <w:color w:val="000000" w:themeColor="text1"/>
        </w:rPr>
        <w:t>Q</w:t>
      </w:r>
      <w:r w:rsidR="0071582B">
        <w:rPr>
          <w:rFonts w:ascii="Times New Roman" w:hAnsi="Times New Roman" w:cs="Times New Roman"/>
          <w:color w:val="000000" w:themeColor="text1"/>
        </w:rPr>
        <w:tab/>
      </w:r>
      <w:r w:rsidRPr="00700474">
        <w:rPr>
          <w:rFonts w:ascii="Times New Roman" w:hAnsi="Times New Roman" w:cs="Times New Roman"/>
          <w:color w:val="000000" w:themeColor="text1"/>
        </w:rPr>
        <w:t xml:space="preserve"> </w:t>
      </w:r>
      <w:r w:rsidRPr="00700474">
        <w:rPr>
          <w:rFonts w:ascii="Times New Roman" w:hAnsi="Times New Roman" w:cs="Times New Roman"/>
          <w:color w:val="000000" w:themeColor="text1"/>
        </w:rPr>
        <w:lastRenderedPageBreak/>
        <w:t>application to the University of Tennessee (UTK) Institutional Review Board (IRB) for approval; the IRB determined that my research complied with proper consideration for the rights and welfare of human subjects and the regulatory requirements for protecting human subjects. Thus, approval was granted. However, UTK's approval was subject to approval from the Ghana Health Service Ethics Review Committee. To this end, I applied to the Ghana Health Service Ethics Review Committee on May 17, 2024, and approval was granted on July 31, 2024. This collaboration with the Ghana Health Service was crucial in ensuring that the research was conducted with proper consideration for the rights and welfare of human subjects and in compliance with the regulatory requirements for protecting human subjects.</w:t>
      </w:r>
    </w:p>
    <w:p w14:paraId="19D05C0C"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Informed Consent</w:t>
      </w:r>
    </w:p>
    <w:p w14:paraId="6967F70E"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Upon first contact with each potential research participant, I explained the research and the potential risks of their participation (e.g. remembering an unpleasant experience about sanctions). I presented an informed consent form and read it aloud, after which I asked the individual if they had any questions. I stressed verbally that participation is voluntary. One could terminate an interview at any time with no repercussions for doing so. Research participants were verbally required to confirm their participation, and only after the confirmation did interviewing begin. Each participant was offered a copy of the informed consent form to keep.</w:t>
      </w:r>
    </w:p>
    <w:p w14:paraId="547DB70C" w14:textId="77777777" w:rsidR="008B1030" w:rsidRPr="00700474" w:rsidRDefault="008B1030" w:rsidP="008B1030">
      <w:pPr>
        <w:pStyle w:val="NoSpacing"/>
        <w:spacing w:line="480" w:lineRule="auto"/>
        <w:rPr>
          <w:rFonts w:ascii="Times New Roman" w:hAnsi="Times New Roman" w:cs="Times New Roman"/>
          <w:b/>
          <w:bCs/>
          <w:i/>
          <w:iCs/>
          <w:color w:val="000000" w:themeColor="text1"/>
        </w:rPr>
      </w:pPr>
      <w:r w:rsidRPr="00700474">
        <w:rPr>
          <w:rFonts w:ascii="Times New Roman" w:hAnsi="Times New Roman" w:cs="Times New Roman"/>
          <w:b/>
          <w:bCs/>
          <w:i/>
          <w:iCs/>
          <w:color w:val="000000" w:themeColor="text1"/>
        </w:rPr>
        <w:t>Confidentiality</w:t>
      </w:r>
    </w:p>
    <w:p w14:paraId="75E4270A" w14:textId="77777777" w:rsidR="008B1030" w:rsidRPr="00700474" w:rsidRDefault="008B1030" w:rsidP="008B103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Despite the challenges, I remained committed to ensuring the confidentiality of all research participants during the interview sessions. As previously discussed, some research participants preferred that their friends sit through the interview. One reason cited for this preference was that their friends would hear their answers to the questions I would pose so they could have a witness </w:t>
      </w:r>
      <w:r w:rsidRPr="00700474">
        <w:rPr>
          <w:rFonts w:ascii="Times New Roman" w:hAnsi="Times New Roman" w:cs="Times New Roman"/>
          <w:color w:val="000000" w:themeColor="text1"/>
        </w:rPr>
        <w:lastRenderedPageBreak/>
        <w:t>to testify if their responses were doctored. Except for a few instances, I ensured the interview space was private.</w:t>
      </w:r>
    </w:p>
    <w:p w14:paraId="4CBAA91C" w14:textId="77777777" w:rsidR="008B1030" w:rsidRPr="00700474" w:rsidRDefault="008B1030" w:rsidP="008B1030">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As it is imperative to protect the information gathered from respondents, I used pseudonyms for research participants and in all interview documentation. This ensures that responses cannot be traced back to the respondents. I, however, have a single, secure document linking participants' actual names to their pseudonyms. This document is kept in a locked file located in my office.  Interviews were saved on the phone with an encrypted password to ensure data privacy. Importantly, only I have access to the data and have never discussed the content of other people's interviews with research participants. I recruited two experienced transcribers to transcribe the recordings. Before any recording was shared with the transcribers, they signed a transcriber's pledge of confidentiality form to protect participants' information and prohibit unauthorized sharing of content dissertation and other publications based on the research using pseudonyms only.</w:t>
      </w:r>
    </w:p>
    <w:p w14:paraId="2FF68864" w14:textId="77777777" w:rsidR="008B1030" w:rsidRPr="00700474" w:rsidRDefault="008B1030" w:rsidP="00D36AB4">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Field Challenges</w:t>
      </w:r>
    </w:p>
    <w:p w14:paraId="1FDB296A" w14:textId="77777777" w:rsidR="008B1030" w:rsidRPr="00700474" w:rsidRDefault="008B1030" w:rsidP="00B0127F">
      <w:pPr>
        <w:jc w:val="left"/>
      </w:pPr>
      <w:r w:rsidRPr="00700474">
        <w:t xml:space="preserve">On May 7, 2024 the University of Tennessee (UTK) Institutional Review Board determined that my research complied with proper consideration for the rights and welfare of human subjects and the regulatory requirements for protecting human subjects. Thus, approval was granted. However, UTK's approval was subject to approval from the Ghana Health Service Ethics Review Committee. To this end, I applied to the Ghana Health Service Ethics Review Committee on May 17, 2024, and approval was granted on July 31, 2024. UTK's IRB approval was subject to approval from the Ghana Health Service Ethics Review Committee. To this end, I applied to the Ghana Health Service Ethics Review Committee on May 17, 2024, and approval was granted on July 31, 2024, after more than two months. The delay in securing approval from the Ghana </w:t>
      </w:r>
      <w:r w:rsidRPr="00700474">
        <w:lastRenderedPageBreak/>
        <w:t xml:space="preserve">Health Service Ethics Review Committee significantly altered my research schedule. I originally planned to start data collection in June and conduct my analysis in July, with two months allocated for these tasks. However, due to the delayed approval, I only had nine days to return to the USA, and I had to use this time to recruit participants and conduct interviews. As a result, my research timeline was compressed, and I had to conduct all 100 interviews within a short period in summer 2024 (from July 31 through August 8). </w:t>
      </w:r>
    </w:p>
    <w:p w14:paraId="35D08D1E" w14:textId="77777777" w:rsidR="008B1030" w:rsidRPr="00700474" w:rsidRDefault="008B1030" w:rsidP="00B0127F">
      <w:pPr>
        <w:jc w:val="left"/>
      </w:pPr>
      <w:r w:rsidRPr="00700474">
        <w:tab/>
        <w:t xml:space="preserve">In order to create a safe and supportive space for participants to share their stories, I planned to have the interviews in private spaces (such as the participants' homes) or a private space of the participants' own choosing. Interestingly, all participants wanted the interview conducted in public spaces or offices. Some of these offices were shared spaces, and others were private. Some participants sometimes preferred that friends sit through the interview. One of the reasons cited for this preference was for their friends to hear their answers to the questions I would pose so they could have a witness to testify if their responses were doctored. Since most of the interviews were conducted in offices, time was a problem as participants were available for specific periods. Some participants would let me know beforehand how much time they can devote to the interview, which is usually very limited. Per their response and body language during the interview, other participants signaled the need to return to their work post. Again, to address this challenge, I offered to conduct the interview later or on weekends so participants would feel comfortable, but they declined. To this end, some of the interviews lasted about seven minutes, with the maximum being 45 minutes to an hour. </w:t>
      </w:r>
    </w:p>
    <w:p w14:paraId="1CC287ED" w14:textId="019CC187" w:rsidR="008B1030" w:rsidRPr="00700474" w:rsidRDefault="008B1030" w:rsidP="00B0127F">
      <w:pPr>
        <w:jc w:val="left"/>
      </w:pPr>
      <w:r w:rsidRPr="00700474">
        <w:tab/>
        <w:t xml:space="preserve">Before going to the field to collect data, I planned to repeat the recruitment process, which involved calling the referred participants over the phone and emailing them the documents for confirmation before confirming </w:t>
      </w:r>
      <w:r w:rsidR="004029BB" w:rsidRPr="00700474">
        <w:t>the date</w:t>
      </w:r>
      <w:r w:rsidRPr="00700474">
        <w:t xml:space="preserve"> and place for the interview. However, I had to amend </w:t>
      </w:r>
      <w:r w:rsidRPr="00700474">
        <w:lastRenderedPageBreak/>
        <w:t xml:space="preserve">this process because the </w:t>
      </w:r>
      <w:r w:rsidR="00AF1BC2" w:rsidRPr="00700474">
        <w:t>people</w:t>
      </w:r>
      <w:r w:rsidRPr="00700474">
        <w:t xml:space="preserve"> recommended preferred doing the interviews on the same day. Even though I offered to conduct the interview on a different date and in a private space, all participants declined this offer. They preferred to do the interview on the same day and in a public space, their office, or workplace. Meaning, I had limited time to work with each participant, but more hours to spend in the field. The number of people to be interviewed or the amount of work to be done on a given day could not be predetermined, which in most cases altered my schedule for the next day and arrangements with other respondents. This unpredictability in the recruitment process was a significant challenge I faced during the research.</w:t>
      </w:r>
    </w:p>
    <w:p w14:paraId="6DE54245" w14:textId="77777777" w:rsidR="008B1030" w:rsidRPr="00700474" w:rsidRDefault="008B1030" w:rsidP="00B0127F">
      <w:pPr>
        <w:jc w:val="left"/>
      </w:pPr>
      <w:r w:rsidRPr="00700474">
        <w:tab/>
        <w:t>It was not easy getting transcribers. First, I searched the internet to see if any formal organization offers transcription services, but I found none. I then reached out to other colleagues who have used the transcriber services in Ghana. They shared contact information for the transcribers, but that yielded no results, as some of the numbers did not go through, or if they picked up, the response was that they were no longer in the transcribing business. I was, however, able to recruit two experienced transcribers through recommendations from friends. Finding transcribers was time-consuming and required much effort, highlighting the resourcefulness and adaptability required in field research.</w:t>
      </w:r>
    </w:p>
    <w:p w14:paraId="0F2C5398" w14:textId="77777777" w:rsidR="008B1030" w:rsidRPr="00700474" w:rsidRDefault="008B1030" w:rsidP="00B0127F">
      <w:pPr>
        <w:ind w:firstLine="720"/>
        <w:jc w:val="left"/>
      </w:pPr>
      <w:r w:rsidRPr="00700474">
        <w:t xml:space="preserve">Qualitative interviews have been described as resource-intensive because they are time-consuming and expensive. Indeed, my experience in the field affirmed this position. In most cases, I had to wait for not less than two hours before the interview session commenced, even though I had a prior agreement with participants on the time for the meeting. This meant that my interview schedule was usually thrown out of its timelines. Thus, I spent longer in the field than I had planned or anticipated for each day. Also, in all instances, I met respondents at their </w:t>
      </w:r>
      <w:r w:rsidRPr="00700474">
        <w:lastRenderedPageBreak/>
        <w:t xml:space="preserve">preferred locations. There were times when the locations were far apart, requiring that I travel through dense vehicular traffic. It also meant more extended hours in traffic and more money to spend on fuel. </w:t>
      </w:r>
    </w:p>
    <w:p w14:paraId="0CC2B503" w14:textId="7A64F877" w:rsidR="000E6B86" w:rsidRPr="00700474" w:rsidRDefault="008B1030" w:rsidP="00D36AB4">
      <w:pPr>
        <w:ind w:firstLine="720"/>
        <w:jc w:val="left"/>
      </w:pPr>
      <w:r w:rsidRPr="00700474">
        <w:t xml:space="preserve">I had to deal with the issue of social </w:t>
      </w:r>
      <w:r w:rsidR="005E215C" w:rsidRPr="00700474">
        <w:t>desirability</w:t>
      </w:r>
      <w:r w:rsidRPr="00700474">
        <w:t>, which is not peculiar to qualitative research. Qualitative interviews have been criticized as susceptible to social desirability bias, where participants may present themselves in a way that aligns with what they perceive as socially acceptable rather than revealing their genuine opinions. I was faced with this situation as my presence influenced the response and the choice of language for participation. As I did with other respondents during one of the interview sessions, I explained</w:t>
      </w:r>
      <w:r w:rsidR="00F4570A" w:rsidRPr="00700474">
        <w:t xml:space="preserve"> to</w:t>
      </w:r>
      <w:r w:rsidRPr="00700474">
        <w:t xml:space="preserve"> the participant that they could participate in English, Twi or Ga. However, they responded in Twi, saying, "Ei, me na menb</w:t>
      </w:r>
      <w:r w:rsidR="00584F63" w:rsidRPr="00700474">
        <w:t>e</w:t>
      </w:r>
      <w:r w:rsidRPr="00700474">
        <w:t xml:space="preserve"> ka Twi na y</w:t>
      </w:r>
      <w:r w:rsidR="00584F63" w:rsidRPr="00700474">
        <w:t>e</w:t>
      </w:r>
      <w:r w:rsidRPr="00700474">
        <w:t>n kas</w:t>
      </w:r>
      <w:r w:rsidR="00584F63" w:rsidRPr="00700474">
        <w:t>e</w:t>
      </w:r>
      <w:r w:rsidRPr="00700474">
        <w:t xml:space="preserve"> mi ti ewu; m</w:t>
      </w:r>
      <w:r w:rsidR="00584F63" w:rsidRPr="00700474">
        <w:t>e</w:t>
      </w:r>
      <w:r w:rsidRPr="00700474">
        <w:t>ka brofo."  To wit, I should speak Twi so someone would think of me as unintelligent; I will speak English. This respondent considered the ability to speak English as a marker of intelligence. Again, I explained to her that that was not the case and certainly not a reflection of her intelligence should she opt to participate in speaking in the local language. However, it appeared to be an entrenched position that could not be demystified with a few seconds of explanation. The respondent's inability to express themselves in English became apparent once the interview started. The whole session was rigid, with each question followed by a deafening minute of silence.</w:t>
      </w:r>
    </w:p>
    <w:p w14:paraId="4DA7DF67" w14:textId="1AFD917A" w:rsidR="008B1030" w:rsidRPr="00700474" w:rsidRDefault="008B1030" w:rsidP="00D36AB4">
      <w:pPr>
        <w:rPr>
          <w:b/>
          <w:bCs/>
        </w:rPr>
      </w:pPr>
      <w:r w:rsidRPr="00700474">
        <w:rPr>
          <w:b/>
          <w:bCs/>
        </w:rPr>
        <w:t>Chapter Summary</w:t>
      </w:r>
    </w:p>
    <w:p w14:paraId="119C7801" w14:textId="64A0C1DD" w:rsidR="00815753" w:rsidRPr="00700474" w:rsidRDefault="008B1030" w:rsidP="00825D8A">
      <w:pPr>
        <w:jc w:val="left"/>
      </w:pPr>
      <w:r w:rsidRPr="00700474">
        <w:t xml:space="preserve">In this chapter, I have outlined the methodological framework guiding my qualitative investigation into attitudes toward sanctions in Ghana. The study was designed to capture the nuanced perspectives of participants through in-depth interviews, allowing for a comprehensive exploration of their experiences and beliefs. The data collection process involved semi-structured </w:t>
      </w:r>
      <w:r w:rsidRPr="00700474">
        <w:lastRenderedPageBreak/>
        <w:t xml:space="preserve">interviews, providing flexibility to probe deeper into emerging themes while maintaining consistency in questioning. The semi-structured interviews were a platform for an open dialogue, where participants could express themselves freely, contributing to the co-construction of knowledge central to qualitative research. One hundred (100) research participants participated, allowing for a broad representation of various demographics and ensuring diverse perspectives were captured. It also ensured saturation across complex topics like attitudes toward sanctions, which numerous factors can influence. The study also draws from narrative criminology to understand how individuals construct and interpret sanctions-related experiences. The narrative approach is chosen for its strength in capturing the complex, contextualized stories that participants use to make sense of their actions and the broader social implications. By integrating narrative criminology into this study’s methodological framework, the research captures what narratives are shared and how these narratives shape attitudes toward sanctions. Data analysis followed thematic coding, identifying key patterns and insights that surfaced during interviews. I ensured that interpretations were grounded in participants’ perceptions and narratives and reflective of their authentic experiences. Thus, using qualitative interviews aligned with my research </w:t>
      </w:r>
      <w:r w:rsidR="00E822C8" w:rsidRPr="00700474">
        <w:t>objectives</w:t>
      </w:r>
      <w:r w:rsidRPr="00700474">
        <w:t xml:space="preserve"> </w:t>
      </w:r>
      <w:r w:rsidR="00E822C8" w:rsidRPr="00700474">
        <w:t xml:space="preserve">and it </w:t>
      </w:r>
      <w:r w:rsidRPr="00700474">
        <w:t>honored participants’ voices as essential contributors to understanding this multifaceted issue of attitudes toward sanction. Future chapters will delve into these findings and discuss their implications within broader societal contexts.</w:t>
      </w:r>
    </w:p>
    <w:p w14:paraId="56543419" w14:textId="77777777" w:rsidR="00204463" w:rsidRPr="00700474" w:rsidRDefault="00204463" w:rsidP="00B0127F">
      <w:pPr>
        <w:spacing w:after="160" w:line="259" w:lineRule="auto"/>
        <w:rPr>
          <w:b/>
          <w:bCs/>
        </w:rPr>
      </w:pPr>
    </w:p>
    <w:p w14:paraId="26DAA94D" w14:textId="77777777" w:rsidR="00204463" w:rsidRPr="00700474" w:rsidRDefault="00204463" w:rsidP="00B0127F">
      <w:pPr>
        <w:spacing w:after="160" w:line="259" w:lineRule="auto"/>
        <w:rPr>
          <w:b/>
          <w:bCs/>
        </w:rPr>
      </w:pPr>
    </w:p>
    <w:p w14:paraId="18E8A857" w14:textId="77777777" w:rsidR="00204463" w:rsidRPr="00700474" w:rsidRDefault="00204463" w:rsidP="00B0127F">
      <w:pPr>
        <w:spacing w:after="160" w:line="259" w:lineRule="auto"/>
        <w:rPr>
          <w:b/>
          <w:bCs/>
        </w:rPr>
      </w:pPr>
    </w:p>
    <w:p w14:paraId="736D22CB" w14:textId="77777777" w:rsidR="00204463" w:rsidRPr="00700474" w:rsidRDefault="00204463" w:rsidP="00B0127F">
      <w:pPr>
        <w:spacing w:after="160" w:line="259" w:lineRule="auto"/>
        <w:rPr>
          <w:b/>
          <w:bCs/>
        </w:rPr>
      </w:pPr>
    </w:p>
    <w:p w14:paraId="4BF3415B" w14:textId="77777777" w:rsidR="00D36AB4" w:rsidRPr="00700474" w:rsidRDefault="00D36AB4">
      <w:pPr>
        <w:spacing w:after="160" w:line="259" w:lineRule="auto"/>
        <w:jc w:val="left"/>
        <w:rPr>
          <w:b/>
          <w:bCs/>
        </w:rPr>
      </w:pPr>
      <w:r w:rsidRPr="00700474">
        <w:rPr>
          <w:b/>
          <w:bCs/>
        </w:rPr>
        <w:br w:type="page"/>
      </w:r>
    </w:p>
    <w:p w14:paraId="40208DB4" w14:textId="77777777" w:rsidR="00D36AB4" w:rsidRPr="00700474" w:rsidRDefault="00D543EE" w:rsidP="00E65B1F">
      <w:pPr>
        <w:rPr>
          <w:b/>
          <w:bCs/>
        </w:rPr>
      </w:pPr>
      <w:r w:rsidRPr="00700474">
        <w:rPr>
          <w:b/>
          <w:bCs/>
        </w:rPr>
        <w:lastRenderedPageBreak/>
        <w:t xml:space="preserve">CHAPTER </w:t>
      </w:r>
      <w:r w:rsidR="005A68CE" w:rsidRPr="00700474">
        <w:rPr>
          <w:b/>
          <w:bCs/>
        </w:rPr>
        <w:t>FOUR</w:t>
      </w:r>
    </w:p>
    <w:p w14:paraId="2C43B964" w14:textId="037F27A5" w:rsidR="005A68CE" w:rsidRPr="00700474" w:rsidRDefault="005A68CE" w:rsidP="00E65B1F">
      <w:pPr>
        <w:rPr>
          <w:rFonts w:eastAsiaTheme="majorEastAsia"/>
          <w:b/>
          <w:bCs/>
          <w:spacing w:val="-10"/>
          <w:kern w:val="28"/>
        </w:rPr>
      </w:pPr>
      <w:r w:rsidRPr="00700474">
        <w:rPr>
          <w:b/>
          <w:bCs/>
        </w:rPr>
        <w:t>FINDINGS: CRIMINAL LEGAL PUNISHMENT</w:t>
      </w:r>
    </w:p>
    <w:p w14:paraId="70175C33" w14:textId="0D6F9F19" w:rsidR="00384DC5" w:rsidRDefault="00B0127F" w:rsidP="00E65B1F">
      <w:pPr>
        <w:jc w:val="left"/>
      </w:pPr>
      <w:r w:rsidRPr="00700474">
        <w:t>In the last chapter, I discussed the methodology for this research, which captured my research design, data collection, sampling techniques, data analysis techniques, ethical considerations and approval, and limitations of the research.</w:t>
      </w:r>
      <w:r w:rsidRPr="00700474">
        <w:rPr>
          <w:b/>
          <w:bCs/>
        </w:rPr>
        <w:t xml:space="preserve"> </w:t>
      </w:r>
      <w:r w:rsidRPr="00700474">
        <w:t xml:space="preserve">In this chapter, I discuss the findings of the participants’ perceptions of criminal legal </w:t>
      </w:r>
      <w:r w:rsidR="00CE4BFC" w:rsidRPr="00700474">
        <w:t>sanctions</w:t>
      </w:r>
      <w:r w:rsidRPr="00700474">
        <w:t xml:space="preserve"> in Ghana</w:t>
      </w:r>
      <w:r w:rsidR="00E65B1F">
        <w:t xml:space="preserve"> (</w:t>
      </w:r>
      <w:r w:rsidR="00E65B1F" w:rsidRPr="00E65B1F">
        <w:rPr>
          <w:b/>
          <w:bCs/>
        </w:rPr>
        <w:t>Table 2</w:t>
      </w:r>
      <w:r w:rsidR="00E65B1F">
        <w:t>)</w:t>
      </w:r>
      <w:r w:rsidRPr="00700474">
        <w:t xml:space="preserve">. Participants expressed varying perceptions about Ghana’s legal </w:t>
      </w:r>
      <w:r w:rsidRPr="00700474">
        <w:rPr>
          <w:rFonts w:eastAsia="Arial"/>
        </w:rPr>
        <w:t>sanctions</w:t>
      </w:r>
      <w:r w:rsidRPr="00700474">
        <w:t xml:space="preserve">. Eighty percent (80%) of participants perceived criminal legal </w:t>
      </w:r>
      <w:r w:rsidRPr="00700474">
        <w:rPr>
          <w:rFonts w:eastAsia="Arial"/>
        </w:rPr>
        <w:t>sanctions</w:t>
      </w:r>
      <w:r w:rsidRPr="00700474">
        <w:t xml:space="preserve"> as legitimate for varying reasons. Sixty percent (65%) of participants expressed satisfaction with the legal </w:t>
      </w:r>
      <w:r w:rsidRPr="00700474">
        <w:rPr>
          <w:rFonts w:eastAsia="Arial"/>
        </w:rPr>
        <w:t>sanctions</w:t>
      </w:r>
      <w:r w:rsidRPr="00700474">
        <w:t xml:space="preserve">, describing them as useful. Three percent (3%) of the participants asserted that alternative measures such as counselling are more effective. However, the most striking finding was that all (100%) participants expressed </w:t>
      </w:r>
      <w:r w:rsidR="00017835" w:rsidRPr="00700474">
        <w:t xml:space="preserve">distrust towards the legal system and criminal legal </w:t>
      </w:r>
      <w:r w:rsidR="00017835" w:rsidRPr="00700474">
        <w:rPr>
          <w:rFonts w:eastAsia="Arial"/>
        </w:rPr>
        <w:t>sanction</w:t>
      </w:r>
      <w:r w:rsidRPr="00700474">
        <w:rPr>
          <w:rFonts w:eastAsia="Arial"/>
        </w:rPr>
        <w:t>s</w:t>
      </w:r>
      <w:r w:rsidRPr="00700474">
        <w:t xml:space="preserve">, which should raise concern and motivate change in Ghana’s legal </w:t>
      </w:r>
      <w:r w:rsidRPr="00700474">
        <w:rPr>
          <w:rFonts w:eastAsia="Arial"/>
        </w:rPr>
        <w:t>sanctioning</w:t>
      </w:r>
      <w:r w:rsidRPr="00700474">
        <w:t xml:space="preserve"> system.</w:t>
      </w:r>
    </w:p>
    <w:p w14:paraId="03960A62" w14:textId="77777777" w:rsidR="00E65B1F" w:rsidRPr="00700474" w:rsidRDefault="00E65B1F" w:rsidP="00E65B1F">
      <w:pPr>
        <w:rPr>
          <w:b/>
          <w:bCs/>
        </w:rPr>
      </w:pPr>
      <w:r w:rsidRPr="00700474">
        <w:rPr>
          <w:b/>
          <w:bCs/>
        </w:rPr>
        <w:t>Legal Penalties in Ghana</w:t>
      </w:r>
    </w:p>
    <w:p w14:paraId="33826DCE" w14:textId="0F665324" w:rsidR="00E65B1F" w:rsidRPr="00700474" w:rsidRDefault="00E65B1F" w:rsidP="00E65B1F">
      <w:pPr>
        <w:jc w:val="left"/>
      </w:pPr>
      <w:r w:rsidRPr="00700474">
        <w:t>In Ghana, as in most modern countries, legal punishment forms an integral part of the country’s justice system. It aims to uphold the rule of law, deter criminal behavior, maintain social order, and provide justice for victims. Criminal legal punishment in Ghana is governed by a combination of statutory laws, customary practices, and judicial precedents (Appiahene-Gyamfi 1995). The legal framework for criminal punishment in Ghana is established through various legislative acts and enforced by the judiciary. The Criminal Offences Act (Act 29) and the Criminal Procedure Act (Act 30) are the primary legislative instruments that outline criminal offenses and their corresponding punishments in Ghana. These acts provide a comprehensive list of crimes, ranging from minor offenses to serious felonies, along with prescribed penalties such</w:t>
      </w:r>
    </w:p>
    <w:p w14:paraId="447A619B" w14:textId="242A69D4" w:rsidR="00384DC5" w:rsidRPr="00700474" w:rsidRDefault="00384DC5" w:rsidP="00684B9A">
      <w:pPr>
        <w:spacing w:line="240" w:lineRule="auto"/>
        <w:jc w:val="both"/>
      </w:pPr>
      <w:bookmarkStart w:id="6" w:name="_Hlk203271903"/>
      <w:r w:rsidRPr="00700474">
        <w:rPr>
          <w:b/>
          <w:bCs/>
        </w:rPr>
        <w:lastRenderedPageBreak/>
        <w:t xml:space="preserve">Table 2: </w:t>
      </w:r>
      <w:r w:rsidRPr="00700474">
        <w:t>Participants' Perceptions of Ghana’s Legal Sanctions (N = 100)</w:t>
      </w:r>
    </w:p>
    <w:tbl>
      <w:tblPr>
        <w:tblStyle w:val="TableGrid"/>
        <w:tblW w:w="0" w:type="auto"/>
        <w:tblLook w:val="04A0" w:firstRow="1" w:lastRow="0" w:firstColumn="1" w:lastColumn="0" w:noHBand="0" w:noVBand="1"/>
      </w:tblPr>
      <w:tblGrid>
        <w:gridCol w:w="2879"/>
        <w:gridCol w:w="2716"/>
        <w:gridCol w:w="1470"/>
        <w:gridCol w:w="2285"/>
      </w:tblGrid>
      <w:tr w:rsidR="003A7FB0" w:rsidRPr="00700474" w14:paraId="1049654B" w14:textId="77777777" w:rsidTr="007124C8">
        <w:tc>
          <w:tcPr>
            <w:tcW w:w="2879" w:type="dxa"/>
            <w:vAlign w:val="center"/>
          </w:tcPr>
          <w:p w14:paraId="1B22CA3F" w14:textId="1984DADF" w:rsidR="007124C8" w:rsidRPr="00700474" w:rsidRDefault="007124C8" w:rsidP="00684B9A">
            <w:pPr>
              <w:spacing w:line="240" w:lineRule="auto"/>
              <w:jc w:val="left"/>
            </w:pPr>
            <w:r w:rsidRPr="00700474">
              <w:rPr>
                <w:b/>
                <w:bCs/>
              </w:rPr>
              <w:t>Perception Category</w:t>
            </w:r>
          </w:p>
        </w:tc>
        <w:tc>
          <w:tcPr>
            <w:tcW w:w="2716" w:type="dxa"/>
            <w:vAlign w:val="center"/>
          </w:tcPr>
          <w:p w14:paraId="20B5A5E9" w14:textId="18CD54C3" w:rsidR="007124C8" w:rsidRPr="00700474" w:rsidRDefault="007124C8" w:rsidP="00684B9A">
            <w:pPr>
              <w:spacing w:line="240" w:lineRule="auto"/>
              <w:jc w:val="left"/>
            </w:pPr>
            <w:r w:rsidRPr="00700474">
              <w:rPr>
                <w:b/>
                <w:bCs/>
              </w:rPr>
              <w:t>Response Description</w:t>
            </w:r>
          </w:p>
        </w:tc>
        <w:tc>
          <w:tcPr>
            <w:tcW w:w="1470" w:type="dxa"/>
            <w:vAlign w:val="center"/>
          </w:tcPr>
          <w:p w14:paraId="73AAB003" w14:textId="183975B7" w:rsidR="007124C8" w:rsidRPr="00700474" w:rsidRDefault="007124C8" w:rsidP="00684B9A">
            <w:pPr>
              <w:spacing w:line="240" w:lineRule="auto"/>
              <w:jc w:val="left"/>
            </w:pPr>
            <w:r w:rsidRPr="00700474">
              <w:rPr>
                <w:b/>
                <w:bCs/>
              </w:rPr>
              <w:t>No. of Participants</w:t>
            </w:r>
          </w:p>
        </w:tc>
        <w:tc>
          <w:tcPr>
            <w:tcW w:w="2285" w:type="dxa"/>
            <w:vAlign w:val="center"/>
          </w:tcPr>
          <w:p w14:paraId="762F5128" w14:textId="6F659BC9" w:rsidR="007124C8" w:rsidRPr="00700474" w:rsidRDefault="007124C8" w:rsidP="00684B9A">
            <w:pPr>
              <w:spacing w:line="240" w:lineRule="auto"/>
              <w:jc w:val="left"/>
            </w:pPr>
            <w:r w:rsidRPr="00700474">
              <w:rPr>
                <w:b/>
                <w:bCs/>
              </w:rPr>
              <w:t>Percentage (%)</w:t>
            </w:r>
          </w:p>
        </w:tc>
      </w:tr>
      <w:tr w:rsidR="003A7FB0" w:rsidRPr="00700474" w14:paraId="06811F9F" w14:textId="77777777" w:rsidTr="007124C8">
        <w:tc>
          <w:tcPr>
            <w:tcW w:w="2879" w:type="dxa"/>
          </w:tcPr>
          <w:p w14:paraId="6ABFA82A" w14:textId="5F80B6CA" w:rsidR="007124C8" w:rsidRPr="00700474" w:rsidRDefault="007124C8" w:rsidP="00684B9A">
            <w:pPr>
              <w:spacing w:line="240" w:lineRule="auto"/>
              <w:jc w:val="left"/>
            </w:pPr>
            <w:r w:rsidRPr="00700474">
              <w:t>Perceived Legitimacy of Sanctions</w:t>
            </w:r>
          </w:p>
        </w:tc>
        <w:tc>
          <w:tcPr>
            <w:tcW w:w="2716" w:type="dxa"/>
            <w:vAlign w:val="center"/>
          </w:tcPr>
          <w:p w14:paraId="55A33CC1" w14:textId="39EE6E8B" w:rsidR="007124C8" w:rsidRPr="00700474" w:rsidRDefault="007124C8" w:rsidP="00684B9A">
            <w:pPr>
              <w:spacing w:line="240" w:lineRule="auto"/>
              <w:jc w:val="left"/>
            </w:pPr>
            <w:r w:rsidRPr="00700474">
              <w:t>Legal sanctions are legitimate</w:t>
            </w:r>
          </w:p>
        </w:tc>
        <w:tc>
          <w:tcPr>
            <w:tcW w:w="1470" w:type="dxa"/>
            <w:vAlign w:val="center"/>
          </w:tcPr>
          <w:p w14:paraId="725EAEB9" w14:textId="0B139C06" w:rsidR="007124C8" w:rsidRPr="00700474" w:rsidRDefault="007124C8" w:rsidP="00684B9A">
            <w:pPr>
              <w:spacing w:line="240" w:lineRule="auto"/>
              <w:jc w:val="left"/>
            </w:pPr>
            <w:r w:rsidRPr="00700474">
              <w:t>80</w:t>
            </w:r>
          </w:p>
        </w:tc>
        <w:tc>
          <w:tcPr>
            <w:tcW w:w="2285" w:type="dxa"/>
            <w:vAlign w:val="center"/>
          </w:tcPr>
          <w:p w14:paraId="3561DDA7" w14:textId="0A553746" w:rsidR="007124C8" w:rsidRPr="00700474" w:rsidRDefault="007124C8" w:rsidP="00684B9A">
            <w:pPr>
              <w:spacing w:line="240" w:lineRule="auto"/>
              <w:jc w:val="left"/>
            </w:pPr>
            <w:r w:rsidRPr="00700474">
              <w:t>80%</w:t>
            </w:r>
          </w:p>
        </w:tc>
      </w:tr>
      <w:tr w:rsidR="003A7FB0" w:rsidRPr="00700474" w14:paraId="210C5AC8" w14:textId="77777777" w:rsidTr="00C16327">
        <w:tc>
          <w:tcPr>
            <w:tcW w:w="2879" w:type="dxa"/>
          </w:tcPr>
          <w:p w14:paraId="22A6C2F9" w14:textId="77777777" w:rsidR="007124C8" w:rsidRPr="00700474" w:rsidRDefault="007124C8" w:rsidP="00684B9A">
            <w:pPr>
              <w:spacing w:line="240" w:lineRule="auto"/>
              <w:jc w:val="left"/>
            </w:pPr>
          </w:p>
        </w:tc>
        <w:tc>
          <w:tcPr>
            <w:tcW w:w="2716" w:type="dxa"/>
            <w:vAlign w:val="center"/>
          </w:tcPr>
          <w:p w14:paraId="72928460" w14:textId="33047F56" w:rsidR="007124C8" w:rsidRPr="00700474" w:rsidRDefault="007124C8" w:rsidP="00684B9A">
            <w:pPr>
              <w:spacing w:line="240" w:lineRule="auto"/>
              <w:jc w:val="left"/>
            </w:pPr>
            <w:r w:rsidRPr="00700474">
              <w:t>Legal sanctions are not legitimate</w:t>
            </w:r>
          </w:p>
        </w:tc>
        <w:tc>
          <w:tcPr>
            <w:tcW w:w="1470" w:type="dxa"/>
            <w:vAlign w:val="center"/>
          </w:tcPr>
          <w:p w14:paraId="79ED405F" w14:textId="4E95CE2D" w:rsidR="007124C8" w:rsidRPr="00700474" w:rsidRDefault="007124C8" w:rsidP="00684B9A">
            <w:pPr>
              <w:spacing w:line="240" w:lineRule="auto"/>
              <w:jc w:val="left"/>
            </w:pPr>
            <w:r w:rsidRPr="00700474">
              <w:t>20</w:t>
            </w:r>
          </w:p>
        </w:tc>
        <w:tc>
          <w:tcPr>
            <w:tcW w:w="2285" w:type="dxa"/>
            <w:vAlign w:val="center"/>
          </w:tcPr>
          <w:p w14:paraId="1DCB7320" w14:textId="64136498" w:rsidR="007124C8" w:rsidRPr="00700474" w:rsidRDefault="007124C8" w:rsidP="00684B9A">
            <w:pPr>
              <w:spacing w:line="240" w:lineRule="auto"/>
              <w:jc w:val="left"/>
            </w:pPr>
            <w:r w:rsidRPr="00700474">
              <w:t>20% (inferred)</w:t>
            </w:r>
          </w:p>
        </w:tc>
      </w:tr>
      <w:tr w:rsidR="003A7FB0" w:rsidRPr="00700474" w14:paraId="35667F25" w14:textId="77777777" w:rsidTr="00C16327">
        <w:tc>
          <w:tcPr>
            <w:tcW w:w="2879" w:type="dxa"/>
          </w:tcPr>
          <w:p w14:paraId="7203816C" w14:textId="17CD91D5" w:rsidR="007124C8" w:rsidRPr="00700474" w:rsidRDefault="007124C8" w:rsidP="00684B9A">
            <w:pPr>
              <w:spacing w:line="240" w:lineRule="auto"/>
              <w:jc w:val="left"/>
            </w:pPr>
            <w:r w:rsidRPr="00700474">
              <w:t>Satisfaction with Legal Sanctions</w:t>
            </w:r>
          </w:p>
        </w:tc>
        <w:tc>
          <w:tcPr>
            <w:tcW w:w="2716" w:type="dxa"/>
            <w:vAlign w:val="center"/>
          </w:tcPr>
          <w:p w14:paraId="0B88F31D" w14:textId="54AA4EC7" w:rsidR="007124C8" w:rsidRPr="00700474" w:rsidRDefault="007124C8" w:rsidP="00684B9A">
            <w:pPr>
              <w:spacing w:line="240" w:lineRule="auto"/>
              <w:jc w:val="left"/>
            </w:pPr>
            <w:r w:rsidRPr="00700474">
              <w:t>Satisfied; sanctions seen as useful</w:t>
            </w:r>
          </w:p>
        </w:tc>
        <w:tc>
          <w:tcPr>
            <w:tcW w:w="1470" w:type="dxa"/>
            <w:vAlign w:val="center"/>
          </w:tcPr>
          <w:p w14:paraId="1FE36226" w14:textId="249D14CB" w:rsidR="007124C8" w:rsidRPr="00700474" w:rsidRDefault="007124C8" w:rsidP="00684B9A">
            <w:pPr>
              <w:spacing w:line="240" w:lineRule="auto"/>
              <w:jc w:val="left"/>
            </w:pPr>
            <w:r w:rsidRPr="00700474">
              <w:t>65</w:t>
            </w:r>
          </w:p>
        </w:tc>
        <w:tc>
          <w:tcPr>
            <w:tcW w:w="2285" w:type="dxa"/>
            <w:vAlign w:val="center"/>
          </w:tcPr>
          <w:p w14:paraId="713911A3" w14:textId="393363D2" w:rsidR="007124C8" w:rsidRPr="00700474" w:rsidRDefault="007124C8" w:rsidP="00684B9A">
            <w:pPr>
              <w:spacing w:line="240" w:lineRule="auto"/>
              <w:jc w:val="left"/>
            </w:pPr>
            <w:r w:rsidRPr="00700474">
              <w:t>65%</w:t>
            </w:r>
          </w:p>
        </w:tc>
      </w:tr>
      <w:tr w:rsidR="003A7FB0" w:rsidRPr="00700474" w14:paraId="5BB3337D" w14:textId="77777777" w:rsidTr="00384DC5">
        <w:trPr>
          <w:trHeight w:val="602"/>
        </w:trPr>
        <w:tc>
          <w:tcPr>
            <w:tcW w:w="2879" w:type="dxa"/>
          </w:tcPr>
          <w:p w14:paraId="38287BB1" w14:textId="77777777" w:rsidR="007124C8" w:rsidRPr="00700474" w:rsidRDefault="007124C8" w:rsidP="00684B9A">
            <w:pPr>
              <w:spacing w:line="240" w:lineRule="auto"/>
              <w:jc w:val="left"/>
            </w:pPr>
          </w:p>
        </w:tc>
        <w:tc>
          <w:tcPr>
            <w:tcW w:w="2716" w:type="dxa"/>
            <w:vAlign w:val="center"/>
          </w:tcPr>
          <w:p w14:paraId="041E198F" w14:textId="2D275464" w:rsidR="007124C8" w:rsidRPr="00700474" w:rsidRDefault="007124C8" w:rsidP="00684B9A">
            <w:pPr>
              <w:spacing w:line="240" w:lineRule="auto"/>
              <w:jc w:val="left"/>
            </w:pPr>
            <w:r w:rsidRPr="00700474">
              <w:t>Not satisfied</w:t>
            </w:r>
          </w:p>
        </w:tc>
        <w:tc>
          <w:tcPr>
            <w:tcW w:w="1470" w:type="dxa"/>
            <w:vAlign w:val="center"/>
          </w:tcPr>
          <w:p w14:paraId="11C737C7" w14:textId="58DD3B85" w:rsidR="007124C8" w:rsidRPr="00700474" w:rsidRDefault="007124C8" w:rsidP="00684B9A">
            <w:pPr>
              <w:spacing w:line="240" w:lineRule="auto"/>
              <w:jc w:val="left"/>
            </w:pPr>
            <w:r w:rsidRPr="00700474">
              <w:t>35</w:t>
            </w:r>
          </w:p>
        </w:tc>
        <w:tc>
          <w:tcPr>
            <w:tcW w:w="2285" w:type="dxa"/>
            <w:vAlign w:val="center"/>
          </w:tcPr>
          <w:p w14:paraId="22B382F2" w14:textId="3A414A30" w:rsidR="007124C8" w:rsidRPr="00700474" w:rsidRDefault="007124C8" w:rsidP="00684B9A">
            <w:pPr>
              <w:spacing w:line="240" w:lineRule="auto"/>
              <w:jc w:val="left"/>
            </w:pPr>
            <w:r w:rsidRPr="00700474">
              <w:t>35% (inferred)</w:t>
            </w:r>
          </w:p>
        </w:tc>
      </w:tr>
      <w:tr w:rsidR="003A7FB0" w:rsidRPr="00700474" w14:paraId="3BAD6FF7" w14:textId="77777777" w:rsidTr="00C16327">
        <w:tc>
          <w:tcPr>
            <w:tcW w:w="2879" w:type="dxa"/>
          </w:tcPr>
          <w:p w14:paraId="04CB1762" w14:textId="33F25706" w:rsidR="007C1112" w:rsidRPr="00700474" w:rsidRDefault="007C1112" w:rsidP="00684B9A">
            <w:pPr>
              <w:spacing w:line="240" w:lineRule="auto"/>
              <w:jc w:val="left"/>
            </w:pPr>
            <w:r w:rsidRPr="00700474">
              <w:t>Preference for Alternative Measures</w:t>
            </w:r>
          </w:p>
        </w:tc>
        <w:tc>
          <w:tcPr>
            <w:tcW w:w="2716" w:type="dxa"/>
            <w:vAlign w:val="center"/>
          </w:tcPr>
          <w:p w14:paraId="7E4CBD53" w14:textId="52302645" w:rsidR="007C1112" w:rsidRPr="00700474" w:rsidRDefault="007C1112" w:rsidP="00684B9A">
            <w:pPr>
              <w:spacing w:line="240" w:lineRule="auto"/>
              <w:jc w:val="left"/>
            </w:pPr>
            <w:r w:rsidRPr="00700474">
              <w:t>Prefer counselling or non-punitive alternatives</w:t>
            </w:r>
          </w:p>
        </w:tc>
        <w:tc>
          <w:tcPr>
            <w:tcW w:w="1470" w:type="dxa"/>
            <w:vAlign w:val="center"/>
          </w:tcPr>
          <w:p w14:paraId="6108183B" w14:textId="1C38F937" w:rsidR="007C1112" w:rsidRPr="00700474" w:rsidRDefault="007C1112" w:rsidP="00684B9A">
            <w:pPr>
              <w:spacing w:line="240" w:lineRule="auto"/>
              <w:jc w:val="left"/>
            </w:pPr>
            <w:r w:rsidRPr="00700474">
              <w:t>3</w:t>
            </w:r>
          </w:p>
        </w:tc>
        <w:tc>
          <w:tcPr>
            <w:tcW w:w="2285" w:type="dxa"/>
            <w:vAlign w:val="center"/>
          </w:tcPr>
          <w:p w14:paraId="0E966BAC" w14:textId="50BD65C8" w:rsidR="007C1112" w:rsidRPr="00700474" w:rsidRDefault="007C1112" w:rsidP="00684B9A">
            <w:pPr>
              <w:spacing w:line="240" w:lineRule="auto"/>
              <w:jc w:val="left"/>
            </w:pPr>
            <w:r w:rsidRPr="00700474">
              <w:t>3%</w:t>
            </w:r>
          </w:p>
        </w:tc>
      </w:tr>
      <w:tr w:rsidR="003A7FB0" w:rsidRPr="00700474" w14:paraId="2A023507" w14:textId="77777777" w:rsidTr="00C16327">
        <w:tc>
          <w:tcPr>
            <w:tcW w:w="2879" w:type="dxa"/>
          </w:tcPr>
          <w:p w14:paraId="07AD1F57" w14:textId="77777777" w:rsidR="007C1112" w:rsidRPr="00700474" w:rsidRDefault="007C1112" w:rsidP="00684B9A">
            <w:pPr>
              <w:spacing w:line="240" w:lineRule="auto"/>
              <w:jc w:val="left"/>
            </w:pPr>
          </w:p>
        </w:tc>
        <w:tc>
          <w:tcPr>
            <w:tcW w:w="2716" w:type="dxa"/>
            <w:vAlign w:val="center"/>
          </w:tcPr>
          <w:p w14:paraId="17980075" w14:textId="0CF68958" w:rsidR="007C1112" w:rsidRPr="00700474" w:rsidRDefault="007C1112" w:rsidP="00684B9A">
            <w:pPr>
              <w:spacing w:line="240" w:lineRule="auto"/>
              <w:jc w:val="left"/>
            </w:pPr>
            <w:r w:rsidRPr="00700474">
              <w:t>Did not express preference for alternatives</w:t>
            </w:r>
          </w:p>
        </w:tc>
        <w:tc>
          <w:tcPr>
            <w:tcW w:w="1470" w:type="dxa"/>
            <w:vAlign w:val="center"/>
          </w:tcPr>
          <w:p w14:paraId="3D5656A8" w14:textId="68FFA6B8" w:rsidR="007C1112" w:rsidRPr="00700474" w:rsidRDefault="007C1112" w:rsidP="00684B9A">
            <w:pPr>
              <w:spacing w:line="240" w:lineRule="auto"/>
              <w:jc w:val="left"/>
            </w:pPr>
            <w:r w:rsidRPr="00700474">
              <w:t>97</w:t>
            </w:r>
          </w:p>
        </w:tc>
        <w:tc>
          <w:tcPr>
            <w:tcW w:w="2285" w:type="dxa"/>
            <w:vAlign w:val="center"/>
          </w:tcPr>
          <w:p w14:paraId="34472FD1" w14:textId="32ABD210" w:rsidR="007C1112" w:rsidRPr="00700474" w:rsidRDefault="007C1112" w:rsidP="00684B9A">
            <w:pPr>
              <w:spacing w:line="240" w:lineRule="auto"/>
              <w:jc w:val="left"/>
            </w:pPr>
            <w:r w:rsidRPr="00700474">
              <w:t>97% (inferred)</w:t>
            </w:r>
          </w:p>
        </w:tc>
      </w:tr>
      <w:tr w:rsidR="003A7FB0" w:rsidRPr="00700474" w14:paraId="10D206A0" w14:textId="77777777" w:rsidTr="00C16327">
        <w:tc>
          <w:tcPr>
            <w:tcW w:w="2879" w:type="dxa"/>
          </w:tcPr>
          <w:p w14:paraId="31B907B0" w14:textId="1406BF63" w:rsidR="00737DBB" w:rsidRPr="00700474" w:rsidRDefault="00737DBB" w:rsidP="00204463">
            <w:pPr>
              <w:spacing w:line="240" w:lineRule="auto"/>
              <w:jc w:val="left"/>
            </w:pPr>
            <w:r w:rsidRPr="00700474">
              <w:t>Trust in the Criminal Sanctioning System</w:t>
            </w:r>
          </w:p>
        </w:tc>
        <w:tc>
          <w:tcPr>
            <w:tcW w:w="2716" w:type="dxa"/>
            <w:vAlign w:val="center"/>
          </w:tcPr>
          <w:p w14:paraId="2268C2FB" w14:textId="30F7243C" w:rsidR="00737DBB" w:rsidRPr="00700474" w:rsidRDefault="00737DBB" w:rsidP="00204463">
            <w:pPr>
              <w:spacing w:line="240" w:lineRule="auto"/>
              <w:jc w:val="left"/>
            </w:pPr>
            <w:r w:rsidRPr="00700474">
              <w:t>Expressed distrust toward the legal system</w:t>
            </w:r>
          </w:p>
        </w:tc>
        <w:tc>
          <w:tcPr>
            <w:tcW w:w="1470" w:type="dxa"/>
            <w:vAlign w:val="center"/>
          </w:tcPr>
          <w:p w14:paraId="280CDB12" w14:textId="1435E1C0" w:rsidR="00737DBB" w:rsidRPr="00700474" w:rsidRDefault="00737DBB" w:rsidP="00204463">
            <w:pPr>
              <w:spacing w:line="240" w:lineRule="auto"/>
              <w:jc w:val="left"/>
            </w:pPr>
            <w:r w:rsidRPr="00700474">
              <w:t>100</w:t>
            </w:r>
          </w:p>
        </w:tc>
        <w:tc>
          <w:tcPr>
            <w:tcW w:w="2285" w:type="dxa"/>
            <w:vAlign w:val="center"/>
          </w:tcPr>
          <w:p w14:paraId="103D0ABF" w14:textId="72222EF4" w:rsidR="00737DBB" w:rsidRPr="00700474" w:rsidRDefault="00737DBB" w:rsidP="00204463">
            <w:pPr>
              <w:spacing w:line="240" w:lineRule="auto"/>
              <w:jc w:val="left"/>
            </w:pPr>
            <w:r w:rsidRPr="00700474">
              <w:t>100%</w:t>
            </w:r>
          </w:p>
        </w:tc>
      </w:tr>
      <w:bookmarkEnd w:id="6"/>
      <w:tr w:rsidR="003A7FB0" w:rsidRPr="00700474" w14:paraId="316FE26E" w14:textId="77777777" w:rsidTr="00C16327">
        <w:tc>
          <w:tcPr>
            <w:tcW w:w="2879" w:type="dxa"/>
          </w:tcPr>
          <w:p w14:paraId="6454D54E" w14:textId="77777777" w:rsidR="00737DBB" w:rsidRPr="00700474" w:rsidRDefault="00737DBB" w:rsidP="00204463">
            <w:pPr>
              <w:spacing w:line="240" w:lineRule="auto"/>
              <w:jc w:val="left"/>
            </w:pPr>
          </w:p>
        </w:tc>
        <w:tc>
          <w:tcPr>
            <w:tcW w:w="2716" w:type="dxa"/>
            <w:vAlign w:val="center"/>
          </w:tcPr>
          <w:p w14:paraId="2587FF7C" w14:textId="24704D4A" w:rsidR="00737DBB" w:rsidRPr="00700474" w:rsidRDefault="00737DBB" w:rsidP="00204463">
            <w:pPr>
              <w:spacing w:line="240" w:lineRule="auto"/>
              <w:jc w:val="left"/>
            </w:pPr>
            <w:r w:rsidRPr="00700474">
              <w:t>Expressed trust in the legal system</w:t>
            </w:r>
          </w:p>
        </w:tc>
        <w:tc>
          <w:tcPr>
            <w:tcW w:w="1470" w:type="dxa"/>
            <w:vAlign w:val="center"/>
          </w:tcPr>
          <w:p w14:paraId="6D60EBF8" w14:textId="0351D319" w:rsidR="00737DBB" w:rsidRPr="00700474" w:rsidRDefault="00737DBB" w:rsidP="00204463">
            <w:pPr>
              <w:spacing w:line="240" w:lineRule="auto"/>
              <w:jc w:val="left"/>
            </w:pPr>
            <w:r w:rsidRPr="00700474">
              <w:t>0</w:t>
            </w:r>
          </w:p>
        </w:tc>
        <w:tc>
          <w:tcPr>
            <w:tcW w:w="2285" w:type="dxa"/>
            <w:vAlign w:val="center"/>
          </w:tcPr>
          <w:p w14:paraId="3A498494" w14:textId="751C16EF" w:rsidR="00737DBB" w:rsidRPr="00700474" w:rsidRDefault="00737DBB" w:rsidP="00204463">
            <w:pPr>
              <w:spacing w:line="240" w:lineRule="auto"/>
              <w:jc w:val="left"/>
            </w:pPr>
            <w:r w:rsidRPr="00700474">
              <w:t>0%</w:t>
            </w:r>
          </w:p>
        </w:tc>
      </w:tr>
    </w:tbl>
    <w:p w14:paraId="50D3CDFB" w14:textId="77777777" w:rsidR="00737DBB" w:rsidRPr="00700474" w:rsidRDefault="00737DBB" w:rsidP="00B217D0">
      <w:pPr>
        <w:jc w:val="left"/>
        <w:rPr>
          <w:b/>
          <w:bCs/>
        </w:rPr>
      </w:pPr>
    </w:p>
    <w:p w14:paraId="39C50B06" w14:textId="158DFFAB" w:rsidR="00B0127F" w:rsidRPr="00700474" w:rsidRDefault="00B0127F" w:rsidP="00E65B1F">
      <w:pPr>
        <w:jc w:val="left"/>
      </w:pPr>
      <w:r w:rsidRPr="00700474">
        <w:t>as fines, imprisonment, and capital punishment. Ghanaian law prescribes various forms of punishment depending on the severity of the crime. Common punishments include: fines, imprisonment, community service, and capital punishment</w:t>
      </w:r>
      <w:r w:rsidR="004220B9" w:rsidRPr="00700474">
        <w:t xml:space="preserve"> (Appiahene-Gyamfi 2003).</w:t>
      </w:r>
      <w:r w:rsidRPr="00700474">
        <w:t xml:space="preserve"> To gain insight into participants’ perceptions of these legal forms of punishment, they were asked to share their opinions on the aim of legal punishment. Participants were complacent about discussing their views on legal punishments in Ghana.</w:t>
      </w:r>
    </w:p>
    <w:p w14:paraId="5744B4F5" w14:textId="6C8E7B47" w:rsidR="00B0127F" w:rsidRPr="00700474" w:rsidRDefault="00B0127F" w:rsidP="00B0127F">
      <w:pPr>
        <w:rPr>
          <w:b/>
          <w:bCs/>
        </w:rPr>
      </w:pPr>
      <w:r w:rsidRPr="00700474">
        <w:rPr>
          <w:b/>
          <w:bCs/>
        </w:rPr>
        <w:t xml:space="preserve">Perceptions on Legal </w:t>
      </w:r>
      <w:r w:rsidR="00017835" w:rsidRPr="00700474">
        <w:rPr>
          <w:b/>
          <w:bCs/>
        </w:rPr>
        <w:t>Sanctions</w:t>
      </w:r>
    </w:p>
    <w:p w14:paraId="01DF0DE0" w14:textId="226F6259" w:rsidR="00B0127F" w:rsidRPr="00700474" w:rsidRDefault="00B0127F" w:rsidP="00B0127F">
      <w:pPr>
        <w:jc w:val="left"/>
        <w:rPr>
          <w:b/>
          <w:bCs/>
        </w:rPr>
      </w:pPr>
      <w:r w:rsidRPr="00700474">
        <w:t xml:space="preserve">Few stories about legal </w:t>
      </w:r>
      <w:r w:rsidR="00017835" w:rsidRPr="00700474">
        <w:t>sanctions</w:t>
      </w:r>
      <w:r w:rsidRPr="00700474">
        <w:t xml:space="preserve"> were shared until participants were prompted. Even so, the discussion and answers shared by participants were very short, as participants were not interested in discussing the legal system. Although, prior to conducting the interview, I knew that people generally had issues with the legal system, I did not anticipate that it would make them complacent about discussing it. I had rather expected them to be enthused to share since it was an </w:t>
      </w:r>
      <w:r w:rsidRPr="00700474">
        <w:lastRenderedPageBreak/>
        <w:t>avenue for them to express dissatisfaction. My suspicion that people had issues with the legal system would later receive credence in the various interviews, as participants expressed resentment towards the legal system due to perceptions of inefficiency and corruption. To start a conversation on the legal system and punishment, I shared the story of the two pizzaman workers who were given a 5-year jail term for stealing two gallons of oil and five cartons of chicken. This specific story was shared because of the broad public attention it received among the Ghanaian public and advocates for alternative sentencing in Ghana. After sharing the story, participants were specifically asked, what do you think about the 5-year jail term handed to the two pizzaman workers for stealing cooking oil and chicken? Based on the responses from participants, four main themes emerged: legal punishment is (a) legitimate, (b) useful, (c) counter-productive</w:t>
      </w:r>
      <w:r w:rsidRPr="00700474">
        <w:rPr>
          <w:b/>
          <w:bCs/>
        </w:rPr>
        <w:t xml:space="preserve"> </w:t>
      </w:r>
      <w:r w:rsidRPr="00700474">
        <w:t xml:space="preserve">and (c) </w:t>
      </w:r>
      <w:r w:rsidR="00017835" w:rsidRPr="00700474">
        <w:t xml:space="preserve">distrust towards the legal system and criminal legal </w:t>
      </w:r>
      <w:r w:rsidR="00017835" w:rsidRPr="00700474">
        <w:rPr>
          <w:rFonts w:eastAsia="Arial"/>
        </w:rPr>
        <w:t>sanctions.</w:t>
      </w:r>
    </w:p>
    <w:p w14:paraId="6523E8F2" w14:textId="2A82972C" w:rsidR="00B0127F" w:rsidRPr="00700474" w:rsidRDefault="00B0127F" w:rsidP="00B0127F">
      <w:pPr>
        <w:rPr>
          <w:b/>
          <w:bCs/>
        </w:rPr>
      </w:pPr>
      <w:r w:rsidRPr="00700474">
        <w:rPr>
          <w:b/>
          <w:bCs/>
        </w:rPr>
        <w:t xml:space="preserve">Legal </w:t>
      </w:r>
      <w:r w:rsidR="00EC5B1B" w:rsidRPr="00700474">
        <w:rPr>
          <w:b/>
          <w:bCs/>
        </w:rPr>
        <w:t>Sanction</w:t>
      </w:r>
      <w:r w:rsidRPr="00700474">
        <w:rPr>
          <w:b/>
          <w:bCs/>
        </w:rPr>
        <w:t xml:space="preserve"> is Legitimate</w:t>
      </w:r>
    </w:p>
    <w:p w14:paraId="2DAC69F4" w14:textId="04825191" w:rsidR="00B0127F" w:rsidRPr="00700474" w:rsidRDefault="00B0127F" w:rsidP="00B0127F">
      <w:pPr>
        <w:jc w:val="left"/>
      </w:pPr>
      <w:bookmarkStart w:id="7" w:name="_Hlk193165624"/>
      <w:r w:rsidRPr="00700474">
        <w:t xml:space="preserve">Eighty percent (80%) of participants perceived legal </w:t>
      </w:r>
      <w:r w:rsidR="00327AD0" w:rsidRPr="00700474">
        <w:t>sanction</w:t>
      </w:r>
      <w:r w:rsidRPr="00700474">
        <w:t xml:space="preserve"> as</w:t>
      </w:r>
      <w:r w:rsidR="00327AD0" w:rsidRPr="00700474">
        <w:t xml:space="preserve"> </w:t>
      </w:r>
      <w:r w:rsidRPr="00700474">
        <w:t xml:space="preserve">legitimate; their explanation of what is legitimate varied. Twenty percent (20%) out of the 80% of participants considered legal sanction legitimate because it is not based on the emotions of the punisher. Ten percent (10%) expressed that the legitimacy of legal sanction is related to the fact that educated professionals developed legal punishments. Twenty percent (20%) explained that the legitimacy of sanction is linked to the fact that due process, which includes a fair trial, evidence presentation, and legal representation, is followed before sanctions are determined. Thirty percent (30%) averred that the legitimacy of legal sanction rests in the fact that crime and correlated punishment have already been determined and backed by law. </w:t>
      </w:r>
    </w:p>
    <w:bookmarkEnd w:id="7"/>
    <w:p w14:paraId="4A697E8C" w14:textId="77777777" w:rsidR="00B0127F" w:rsidRPr="00700474" w:rsidRDefault="00B0127F" w:rsidP="00B0127F">
      <w:pPr>
        <w:ind w:firstLine="720"/>
        <w:jc w:val="left"/>
      </w:pPr>
      <w:r w:rsidRPr="00700474">
        <w:t xml:space="preserve">Ofoe's reaction to the question about legal sanction was not what I expected; he was complacent about discussing legal punishment. After I asked about the 5-year jail term for the 2 </w:t>
      </w:r>
      <w:r w:rsidRPr="00700474">
        <w:lastRenderedPageBreak/>
        <w:t>Pizzaman workers, he paused, looked up at the ceiling, and then smirked. These gestures, which I initially interpreted as a sign of potential condemnation, actually led to a surprising response</w:t>
      </w:r>
      <w:bookmarkStart w:id="8" w:name="_Hlk201471241"/>
      <w:r w:rsidRPr="00700474">
        <w:t>. He made a case for legal punishment, describing it as legitimate, not guided by emotions or arbitrariness, and “backed by law.”</w:t>
      </w:r>
    </w:p>
    <w:bookmarkEnd w:id="8"/>
    <w:p w14:paraId="4C289095" w14:textId="77777777" w:rsidR="00B0127F" w:rsidRPr="00700474" w:rsidRDefault="00B0127F" w:rsidP="00B0127F">
      <w:pPr>
        <w:ind w:left="720"/>
        <w:jc w:val="left"/>
      </w:pPr>
      <w:r w:rsidRPr="00700474">
        <w:t>I think the judge didn’t just wake up and feel like yea this is how I feel about the case so I will sentence them this much. It was based on and backed by law. Moreover, I think the judge considered some aggravating and mitigating factors and arrived at the sentencing. I will not meddle with court outcomes.</w:t>
      </w:r>
    </w:p>
    <w:p w14:paraId="4B3F8828" w14:textId="77777777" w:rsidR="00B0127F" w:rsidRPr="00700474" w:rsidRDefault="00B0127F" w:rsidP="00B0127F">
      <w:pPr>
        <w:ind w:firstLine="720"/>
        <w:jc w:val="left"/>
      </w:pPr>
      <w:r w:rsidRPr="00700474">
        <w:t xml:space="preserve">Although participants ascribed legitimacy to legal sanctions, they offered rather noncommittal remarks. </w:t>
      </w:r>
      <w:bookmarkStart w:id="9" w:name="_Hlk193167040"/>
      <w:r w:rsidRPr="00700474">
        <w:t xml:space="preserve">In their responses, participants acknowledged the existence of a legal system in Ghana but did not consider it relevant to their context. </w:t>
      </w:r>
      <w:bookmarkStart w:id="10" w:name="_Hlk201471956"/>
      <w:r w:rsidRPr="00700474">
        <w:t>The logic of recognizing the existence of the legal system but not attaching relevance to it</w:t>
      </w:r>
      <w:bookmarkEnd w:id="9"/>
      <w:r w:rsidRPr="00700474">
        <w:t xml:space="preserve"> was popular in the community I grew up in. Often, when a thief is apprehended, and someone suggests that they hand the thief over to the police instead of lynching, the response is, "Do not worry. Let us finish ours, and then we will hand them over to the state to do theirs." </w:t>
      </w:r>
      <w:bookmarkEnd w:id="10"/>
      <w:r w:rsidRPr="00700474">
        <w:t xml:space="preserve">It always felt like an in-group and out-group affair where community members considered themselves an in-group, which they identified as a member of, and the legal system as an out-group, an external group with which they do not identify. </w:t>
      </w:r>
    </w:p>
    <w:p w14:paraId="5F57532D" w14:textId="77777777" w:rsidR="00B0127F" w:rsidRPr="00700474" w:rsidRDefault="00B0127F" w:rsidP="00B0127F">
      <w:pPr>
        <w:ind w:firstLine="720"/>
        <w:jc w:val="left"/>
      </w:pPr>
      <w:r w:rsidRPr="00700474">
        <w:t>Although Ofoe acknowledged the existence of a legal system and considered legal sanctions legitimate, he cast doubt on it by referring to it as ‘so-called.’</w:t>
      </w:r>
    </w:p>
    <w:p w14:paraId="341ECDB9" w14:textId="77777777" w:rsidR="00B0127F" w:rsidRPr="00700474" w:rsidRDefault="00B0127F" w:rsidP="00B0127F">
      <w:pPr>
        <w:ind w:left="720"/>
        <w:jc w:val="left"/>
      </w:pPr>
      <w:r w:rsidRPr="00700474">
        <w:t xml:space="preserve">But you know these so-called legal punishments and systems are just to demonstrate the country's adherence to international legal standards, participation in global legal frameworks, and commitment to upholding global norms. This compliance can enhance a </w:t>
      </w:r>
      <w:r w:rsidRPr="00700474">
        <w:lastRenderedPageBreak/>
        <w:t>country's reputation and influence Ghana's image. We respect the outcomes, but are these colonial legal structures dealing with issues meaningfully? Your guess is as good as mine.</w:t>
      </w:r>
    </w:p>
    <w:p w14:paraId="1CC70D06" w14:textId="77777777" w:rsidR="00B0127F" w:rsidRPr="00700474" w:rsidRDefault="00B0127F" w:rsidP="00B0127F">
      <w:pPr>
        <w:ind w:firstLine="720"/>
        <w:jc w:val="left"/>
      </w:pPr>
      <w:r w:rsidRPr="00700474">
        <w:t>When I asked Amanua what she thought about the 5-year jail term handed to the 2 Pizzaman workers, she slumped her shoulders and made no eye contact with minimal gestures. She considered legal sanctions legitimate because of the education of the decision-makers and the processes they follow. However, she also had some reservations: portraying the legal system as only “trying to tell the world that rules and regulations work in Ghana.”</w:t>
      </w:r>
    </w:p>
    <w:p w14:paraId="1B4B585A" w14:textId="77777777" w:rsidR="00B0127F" w:rsidRPr="00700474" w:rsidRDefault="00B0127F" w:rsidP="00B0127F">
      <w:pPr>
        <w:ind w:left="720"/>
        <w:jc w:val="left"/>
      </w:pPr>
      <w:r w:rsidRPr="00700474">
        <w:t>They (the judges) have gone to school and know about the law and their corresponding punishment. They go through all the processes to arrive at a punishment. Besides, the nature and form of punishment are backed by law.  So, I think if they conclude a punishment is appropriate based on the precedence of the legal codes, so be it. But, more directly related to the question about the two pizzaman boys, it is just the legal system trying to tell the world that rules and regulations work in Ghana by making scapegoats out of people with low incomes, all to enhance the international image and appeal. But what can we as citizens do? Legal systems are a normal component of modern societies. It is what it is.</w:t>
      </w:r>
    </w:p>
    <w:p w14:paraId="34893EE0" w14:textId="77777777" w:rsidR="00B0127F" w:rsidRPr="00700474" w:rsidRDefault="00B0127F" w:rsidP="00B0127F">
      <w:pPr>
        <w:ind w:firstLine="720"/>
        <w:jc w:val="left"/>
      </w:pPr>
      <w:r w:rsidRPr="00700474">
        <w:t xml:space="preserve">Nii, had a calm and composed facial expression. He maintained a steady eye contact and an upright posture when asked - what do you think about the 5-year jail term handed to the two pizzaman workers for stealing cooking oil and chicken? Nii responded ascribing the legitimacy of legal punishment to the fact that sanctions are “not based on emotions but premised on laws and precedence.” </w:t>
      </w:r>
    </w:p>
    <w:p w14:paraId="103DEA79" w14:textId="77777777" w:rsidR="00B0127F" w:rsidRPr="00700474" w:rsidRDefault="00B0127F" w:rsidP="00B0127F">
      <w:pPr>
        <w:ind w:left="720"/>
        <w:jc w:val="left"/>
      </w:pPr>
      <w:r w:rsidRPr="00700474">
        <w:t xml:space="preserve">Well, I think the legal forms of punishment are not based on emotions but premised on laws and precedence. I believe learned people came together and decided this should be </w:t>
      </w:r>
      <w:r w:rsidRPr="00700474">
        <w:lastRenderedPageBreak/>
        <w:t>the punishment, so if that is what the laws say, it is the way to go. It is the law; you cannot change it." You know, we have different and several ethnic organizations, so if everyone is punished based on their culture, it will be chaotic. So that is why we have this legal thing which standardizes the punishment.</w:t>
      </w:r>
    </w:p>
    <w:p w14:paraId="3258E84B" w14:textId="77777777" w:rsidR="00B0127F" w:rsidRPr="00700474" w:rsidRDefault="00B0127F" w:rsidP="00B0127F">
      <w:pPr>
        <w:ind w:firstLine="720"/>
        <w:jc w:val="left"/>
      </w:pPr>
      <w:r w:rsidRPr="00700474">
        <w:t>Nii also cast some doubts about the legal sanction system, questioning whether it was really fair and one not targeted at the poor, “unfairly punishing those on the margins,” for which reason he would not patronize it.</w:t>
      </w:r>
    </w:p>
    <w:p w14:paraId="17D451E7" w14:textId="77777777" w:rsidR="00B0127F" w:rsidRPr="00700474" w:rsidRDefault="00B0127F" w:rsidP="00B0127F">
      <w:pPr>
        <w:ind w:left="720"/>
        <w:jc w:val="left"/>
      </w:pPr>
      <w:r w:rsidRPr="00700474">
        <w:t>But do they deal with issues? If these boys were from affluent homes, would this be the punishment? A restorative approach which predates colonialism would have been best. The system is just inconsistently consistent, unfairly punishing those on the margins. But you know, legal institutions are formal institutions backed by laws, and they are a basic component of civil or modern societies, so there is not much we can do. I respect the existence of courts, but I won't patronize them. If I get a case, I will deal with it myself.</w:t>
      </w:r>
    </w:p>
    <w:p w14:paraId="4756B76D" w14:textId="0F3374F5" w:rsidR="00B0127F" w:rsidRPr="00700474" w:rsidRDefault="00B0127F" w:rsidP="00B0127F">
      <w:pPr>
        <w:ind w:firstLine="720"/>
        <w:jc w:val="left"/>
      </w:pPr>
      <w:r w:rsidRPr="00700474">
        <w:t xml:space="preserve">For Ofoe, the legitimacy of legal sanction is derived from the fact that it is not </w:t>
      </w:r>
      <w:r w:rsidR="00AF1BC2" w:rsidRPr="00700474">
        <w:t>arbitrary,</w:t>
      </w:r>
      <w:r w:rsidRPr="00700474">
        <w:t xml:space="preserve"> and it is backed by law; ironically, he used the term 'so-called' to describe the legal system, and this arguably suggested his skepticism, doubt, lack of acceptance of the legitimacy of the legal system or disassociation with the legal system. Again, his statement, "the legal system is just to show adherence to international legal standards and participation in global legal frameworks and demonstrate a country's commitment to upholding global norms," portrayed the legal system as a charade or façade aimed at achieving a perception of adhering to the standards of the global community. </w:t>
      </w:r>
      <w:bookmarkStart w:id="11" w:name="_Hlk193165801"/>
      <w:r w:rsidRPr="00700474">
        <w:t xml:space="preserve">For Amanua, legal sanction is legitimate because of the education of the decision-makers and the processes they follow. However, she criticized the legal system as aimed at low-income people and enhancing Ghana's international image and appeal. Amanua further suggested </w:t>
      </w:r>
      <w:r w:rsidRPr="00700474">
        <w:lastRenderedPageBreak/>
        <w:t xml:space="preserve">that legal systems are inevitable components of modern society, which one has little control over, even if it proved unprofitable. Nii expressed confidence in the legal system's ability to standardize sanction as Ghana is a multi-ethnic nation with varying political and legal organizations. However, like Amanua and Ofoe, Nii criticized the legal system as one that favours the affluent, and its presence merely represents that Ghana is a modern society. Nii described the current legal system as a deviation from the traditional justice system that prevailed in the precolonial era, which was more restorative, and suggested that a restorative approach would have served a better purpose in the case of the two pizzaman workers sentenced to jail. </w:t>
      </w:r>
      <w:bookmarkEnd w:id="11"/>
    </w:p>
    <w:p w14:paraId="64C7A663" w14:textId="77777777" w:rsidR="00B0127F" w:rsidRPr="00700474" w:rsidRDefault="00B0127F" w:rsidP="00B0127F">
      <w:pPr>
        <w:rPr>
          <w:b/>
          <w:bCs/>
        </w:rPr>
      </w:pPr>
      <w:r w:rsidRPr="00700474">
        <w:rPr>
          <w:b/>
          <w:bCs/>
        </w:rPr>
        <w:t>Legal Sanction is Useful</w:t>
      </w:r>
    </w:p>
    <w:p w14:paraId="5A472357" w14:textId="691A20CC" w:rsidR="00B0127F" w:rsidRPr="00700474" w:rsidRDefault="00B0127F" w:rsidP="00B0127F">
      <w:pPr>
        <w:jc w:val="left"/>
      </w:pPr>
      <w:bookmarkStart w:id="12" w:name="_Hlk193165859"/>
      <w:r w:rsidRPr="00700474">
        <w:t xml:space="preserve">Sixty percent (65%) of participants expressed satisfaction with the legal sanction, describing it as useful. Of the 60 percent, 30 percent of participants averred that the utility of sanction is based on the fact that it deters and thus prevents future offences by the culprit or potential offenders. The other 30 percent perceived legal punishment as useful because it ensures offenders are held accountable for their actions and punished appropriately. </w:t>
      </w:r>
      <w:bookmarkStart w:id="13" w:name="_Hlk193165949"/>
      <w:bookmarkEnd w:id="12"/>
      <w:r w:rsidRPr="00700474">
        <w:rPr>
          <w:rFonts w:eastAsia="Arial"/>
        </w:rPr>
        <w:t xml:space="preserve">Two percent (2%) of the participants considered </w:t>
      </w:r>
      <w:r w:rsidRPr="00700474">
        <w:t>sanctions</w:t>
      </w:r>
      <w:r w:rsidRPr="00700474">
        <w:rPr>
          <w:rFonts w:eastAsia="Arial"/>
        </w:rPr>
        <w:t xml:space="preserve"> useful because </w:t>
      </w:r>
      <w:r w:rsidR="00AF1BC2" w:rsidRPr="00700474">
        <w:rPr>
          <w:rFonts w:eastAsia="Arial"/>
        </w:rPr>
        <w:t>they ensure</w:t>
      </w:r>
      <w:r w:rsidRPr="00700474">
        <w:rPr>
          <w:rFonts w:eastAsia="Arial"/>
        </w:rPr>
        <w:t xml:space="preserve"> safety. Three percent (3%) of the participants expressed that </w:t>
      </w:r>
      <w:r w:rsidRPr="00700474">
        <w:t>sanctions</w:t>
      </w:r>
      <w:r w:rsidRPr="00700474">
        <w:rPr>
          <w:rFonts w:eastAsia="Arial"/>
        </w:rPr>
        <w:t xml:space="preserve"> are useful to the extent that </w:t>
      </w:r>
      <w:r w:rsidR="004029BB" w:rsidRPr="00700474">
        <w:rPr>
          <w:rFonts w:eastAsia="Arial"/>
        </w:rPr>
        <w:t>they ensure</w:t>
      </w:r>
      <w:r w:rsidRPr="00700474">
        <w:rPr>
          <w:rFonts w:eastAsia="Arial"/>
        </w:rPr>
        <w:t xml:space="preserve"> rehabilitation.</w:t>
      </w:r>
      <w:bookmarkEnd w:id="13"/>
    </w:p>
    <w:p w14:paraId="7623B8B6" w14:textId="7C45F059" w:rsidR="00B0127F" w:rsidRPr="00700474" w:rsidRDefault="00B0127F" w:rsidP="00B0127F">
      <w:pPr>
        <w:ind w:firstLine="720"/>
        <w:jc w:val="left"/>
      </w:pPr>
      <w:r w:rsidRPr="00700474">
        <w:t xml:space="preserve">When I asked </w:t>
      </w:r>
      <w:r w:rsidR="00AF1BC2" w:rsidRPr="00700474">
        <w:t>participants for</w:t>
      </w:r>
      <w:r w:rsidRPr="00700474">
        <w:t xml:space="preserve"> their views on the five-year jail sentence handed to the two pizzaman workers, participants who had been affected by employee pilfering activities expressed more satisfaction with the sanctions meted out to the two pizzaman workers. For instance, Nana Ama’s immediate response to the question was, “they deserved it,” endorsing the punishment meted out as appropriate as that would deter future offenders, as seen in the responses below:</w:t>
      </w:r>
    </w:p>
    <w:p w14:paraId="537224D6" w14:textId="4062369A" w:rsidR="00B0127F" w:rsidRPr="00700474" w:rsidRDefault="00B0127F" w:rsidP="00B0127F">
      <w:pPr>
        <w:ind w:left="720"/>
        <w:jc w:val="left"/>
      </w:pPr>
      <w:r w:rsidRPr="00700474">
        <w:t xml:space="preserve">Oh, the punishment is well deserved…If you have opened a business or have a relative who has, you will understand. My brother, after working for years in the US, decided to </w:t>
      </w:r>
      <w:r w:rsidRPr="00700474">
        <w:lastRenderedPageBreak/>
        <w:t xml:space="preserve">open a hotel/restaurant in Ghana. He had to fold up after two years. Do you know why? Workers were stealing food items, bed sheets, everything you can think of. So, the business collapsed. So yes, they should be punished to serve as </w:t>
      </w:r>
      <w:r w:rsidR="004029BB" w:rsidRPr="00700474">
        <w:t>a deterrence</w:t>
      </w:r>
      <w:r w:rsidRPr="00700474">
        <w:t>.</w:t>
      </w:r>
    </w:p>
    <w:p w14:paraId="5CFC165C" w14:textId="77777777" w:rsidR="00B0127F" w:rsidRPr="00700474" w:rsidRDefault="00B0127F" w:rsidP="00B0127F">
      <w:pPr>
        <w:jc w:val="left"/>
      </w:pPr>
      <w:r w:rsidRPr="00700474">
        <w:t>Nana Ama was empathetic towards the owner of the Pizzaman restaurant in her response, noting how much toil and hard work the owner might have invested in getting the company to its current status Thus, the two workers deserved the sanctions.</w:t>
      </w:r>
    </w:p>
    <w:p w14:paraId="4DF2A17C" w14:textId="77777777" w:rsidR="00B0127F" w:rsidRPr="00700474" w:rsidRDefault="00B0127F" w:rsidP="00B0127F">
      <w:pPr>
        <w:ind w:left="720"/>
        <w:jc w:val="left"/>
      </w:pPr>
      <w:r w:rsidRPr="00700474">
        <w:t xml:space="preserve">They deserve it. Ghanaian workers like reaping their employers off their sweat. The guy may have taken years to build the company then you; you want to ruin the company by little pilfering. Imagine each worker steals a carton of chicken and oil every month. What will happen to the company? They should sentence them even harsher. Next time, they and future offenders will learn sense. A friend of mine suffered this. She opened a provision shop, and before she could say jack, the store attendant had squandered all the products in the shop. </w:t>
      </w:r>
    </w:p>
    <w:p w14:paraId="7029F89F" w14:textId="77777777" w:rsidR="00B0127F" w:rsidRPr="00700474" w:rsidRDefault="00B0127F" w:rsidP="00B0127F">
      <w:pPr>
        <w:ind w:firstLine="720"/>
        <w:jc w:val="left"/>
      </w:pPr>
      <w:r w:rsidRPr="00700474">
        <w:t>Naa Shade was unconcerned about whether the sanction was commensurate to the crime. For her, all that matters is “whether the sanction is harsh enough to deter others”:</w:t>
      </w:r>
    </w:p>
    <w:p w14:paraId="1533DF27" w14:textId="77777777" w:rsidR="00B0127F" w:rsidRPr="00700474" w:rsidRDefault="00B0127F" w:rsidP="00B0127F">
      <w:pPr>
        <w:ind w:left="720"/>
        <w:jc w:val="left"/>
      </w:pPr>
      <w:r w:rsidRPr="00700474">
        <w:t>Well, I am interested in whether the sanction is harsh enough to deter others. The punishment should outweigh the crime. You will get the desired result because offenders will get what they deserve.</w:t>
      </w:r>
    </w:p>
    <w:p w14:paraId="0204AA85" w14:textId="77777777" w:rsidR="00B0127F" w:rsidRPr="00700474" w:rsidRDefault="00B0127F" w:rsidP="00B0127F">
      <w:pPr>
        <w:ind w:firstLine="720"/>
        <w:jc w:val="left"/>
      </w:pPr>
      <w:r w:rsidRPr="00700474">
        <w:t>Nii Noi expressed satisfaction with the sanctions; as long as the offenders were apprehended and made to pay “for their wrongs”, the nature of the crime was not too much of a concern.</w:t>
      </w:r>
    </w:p>
    <w:p w14:paraId="2D253CC1" w14:textId="70D6D33A" w:rsidR="00B0127F" w:rsidRPr="00700474" w:rsidRDefault="00B0127F" w:rsidP="000210DC">
      <w:pPr>
        <w:ind w:left="720"/>
        <w:jc w:val="left"/>
      </w:pPr>
      <w:r w:rsidRPr="00700474">
        <w:lastRenderedPageBreak/>
        <w:t xml:space="preserve">What matters is that they were sanctioned for the crime. At least they paid for their wrongs. It is better this way than not punishing them. The owner, too, will have peace of mind because justice has been served. </w:t>
      </w:r>
    </w:p>
    <w:p w14:paraId="08988F40" w14:textId="77777777" w:rsidR="00B0127F" w:rsidRPr="00700474" w:rsidRDefault="00B0127F" w:rsidP="00B0127F">
      <w:pPr>
        <w:ind w:firstLine="720"/>
        <w:jc w:val="left"/>
        <w:rPr>
          <w:rFonts w:eastAsia="Arial"/>
        </w:rPr>
      </w:pPr>
      <w:r w:rsidRPr="00700474">
        <w:rPr>
          <w:rFonts w:eastAsia="Arial"/>
        </w:rPr>
        <w:t xml:space="preserve">Two percent (2%) of the participants considered </w:t>
      </w:r>
      <w:r w:rsidRPr="00700474">
        <w:t>sanctions</w:t>
      </w:r>
      <w:r w:rsidRPr="00700474">
        <w:rPr>
          <w:rFonts w:eastAsia="Arial"/>
        </w:rPr>
        <w:t xml:space="preserve"> useful because they ensure safety. Here, participants argued that removing the offender from society prevents them from committing further crimes, thereby protecting the community. Nii Amasa shared an account of how members of his community lived in fear until armed robbers who routinely harassed members of the community were arrested and incarcerated. The account Nii Amasa shared highlighted two things: that </w:t>
      </w:r>
      <w:r w:rsidRPr="00700474">
        <w:t>sanctions</w:t>
      </w:r>
      <w:r w:rsidRPr="00700474">
        <w:rPr>
          <w:rFonts w:eastAsia="Arial"/>
        </w:rPr>
        <w:t xml:space="preserve"> such as incarceration (a) brings immediate safety to the public, albeit (b) temporal, given the laxity that plagues Ghana’s justice system: “the next minute, they are out on the streets.” As would be seen in the ensuing chapters, participants assert that this laxity is the cause of illegal and violent measures against offenders.</w:t>
      </w:r>
    </w:p>
    <w:p w14:paraId="5FBC37FE" w14:textId="77777777" w:rsidR="00B0127F" w:rsidRPr="00700474" w:rsidRDefault="00B0127F" w:rsidP="00B0127F">
      <w:pPr>
        <w:ind w:left="720"/>
        <w:jc w:val="left"/>
      </w:pPr>
      <w:r w:rsidRPr="00700474">
        <w:t>…. There is robbery almost every day in our community. We all went to bed, wondering who the next victim would be. But one day, the police conducted a raid in our community, and they arrested these criminals….Their incarceration meant that they were physically restricted from inflicting further harm on members of the community, and our security was restored. In fact, it brought some kind of hope to us, although we envisage this relief to be temporary. You know our system; the next minute, they are out on the streets.</w:t>
      </w:r>
    </w:p>
    <w:p w14:paraId="52BCF422" w14:textId="77777777" w:rsidR="00B0127F" w:rsidRPr="00700474" w:rsidRDefault="00B0127F" w:rsidP="00B0127F">
      <w:pPr>
        <w:jc w:val="left"/>
        <w:rPr>
          <w:rFonts w:eastAsia="Arial"/>
        </w:rPr>
      </w:pPr>
      <w:r w:rsidRPr="00700474">
        <w:rPr>
          <w:rFonts w:eastAsia="Arial"/>
        </w:rPr>
        <w:t xml:space="preserve">For some 3 percent of the participants, </w:t>
      </w:r>
      <w:r w:rsidRPr="00700474">
        <w:t>sanctions</w:t>
      </w:r>
      <w:r w:rsidRPr="00700474">
        <w:rPr>
          <w:rFonts w:eastAsia="Arial"/>
        </w:rPr>
        <w:t xml:space="preserve"> are useful to the extent that they ensure rehabilitation. Amina explained this; however, her explanation did not provide a correlation between </w:t>
      </w:r>
      <w:r w:rsidRPr="00700474">
        <w:t>sanctions</w:t>
      </w:r>
      <w:r w:rsidRPr="00700474">
        <w:rPr>
          <w:rFonts w:eastAsia="Arial"/>
        </w:rPr>
        <w:t xml:space="preserve"> and rehabilitation. Rather, it emphasized that sanctions can create an </w:t>
      </w:r>
      <w:r w:rsidRPr="00700474">
        <w:rPr>
          <w:rFonts w:eastAsia="Arial"/>
        </w:rPr>
        <w:lastRenderedPageBreak/>
        <w:t>environment where rehabilitation can occur, projecting the need for rehabilitative programs or options to be integrated into penal options or correctional settings.</w:t>
      </w:r>
    </w:p>
    <w:p w14:paraId="35EEB13E" w14:textId="77777777" w:rsidR="00B0127F" w:rsidRPr="00700474" w:rsidRDefault="00B0127F" w:rsidP="00B0127F">
      <w:pPr>
        <w:ind w:left="720"/>
        <w:jc w:val="left"/>
      </w:pPr>
      <w:r w:rsidRPr="00700474">
        <w:t>A year or two into the marriage, he started acting strangely…..he subjected me to marital rape… I reported it to DOVVSU (Domestic Violence and Victim Support Unit), which offers an alternative dispute resolution. In the process, they realized he had mental problems, so he was sent to rehab…..when my husband was released, we patched things up, and we have been together for more than 7years now. Punishment is good in cases like mine; it helps rehabilitate the individual</w:t>
      </w:r>
    </w:p>
    <w:p w14:paraId="211258CA" w14:textId="77777777" w:rsidR="00B0127F" w:rsidRDefault="00B0127F" w:rsidP="00B0127F">
      <w:pPr>
        <w:jc w:val="left"/>
      </w:pPr>
      <w:r w:rsidRPr="00700474">
        <w:t xml:space="preserve">Naa Shade, Nana Ama and Nii Noi expressed satisfaction with the </w:t>
      </w:r>
      <w:r w:rsidRPr="00700474">
        <w:rPr>
          <w:rFonts w:eastAsia="Arial"/>
        </w:rPr>
        <w:t>sanctions</w:t>
      </w:r>
      <w:r w:rsidRPr="00700474">
        <w:t xml:space="preserve"> meted out to the two young men, describing it as useful because of its deterrent and retributive effect. Nii Noi and Naa Shade’s satisfaction was arguably because the offenders did not escape being sanctioned. Naa Ama expressed stronger satisfaction, perhaps because people close to them have suffered from employee pilfering. Thus, Nana Ama cautioned against trivializing petty crimes, suggesting it may encourage others to engage. Hence, the need to </w:t>
      </w:r>
      <w:r w:rsidRPr="00700474">
        <w:rPr>
          <w:rFonts w:eastAsia="Arial"/>
        </w:rPr>
        <w:t>sanction</w:t>
      </w:r>
      <w:r w:rsidRPr="00700474">
        <w:t xml:space="preserve"> petty offenders and, where possible, make the </w:t>
      </w:r>
      <w:r w:rsidRPr="00700474">
        <w:rPr>
          <w:rFonts w:eastAsia="Arial"/>
        </w:rPr>
        <w:t>sanctions</w:t>
      </w:r>
      <w:r w:rsidRPr="00700474">
        <w:t xml:space="preserve"> harsher to deter others. Amina perceived </w:t>
      </w:r>
      <w:r w:rsidRPr="00700474">
        <w:rPr>
          <w:rFonts w:eastAsia="Arial"/>
        </w:rPr>
        <w:t>sanctions</w:t>
      </w:r>
      <w:r w:rsidRPr="00700474">
        <w:t xml:space="preserve"> as useful because they correct. In her explanation, however, she appeared to mean rehabilitation when she used the word ‘correct.’ Her explanation also did not establish a link between </w:t>
      </w:r>
      <w:r w:rsidRPr="00700474">
        <w:rPr>
          <w:rFonts w:eastAsia="Arial"/>
        </w:rPr>
        <w:t>sanctions</w:t>
      </w:r>
      <w:r w:rsidRPr="00700474">
        <w:t xml:space="preserve"> and rehabilitation; instead, it emphasized that </w:t>
      </w:r>
      <w:r w:rsidRPr="00700474">
        <w:rPr>
          <w:rFonts w:eastAsia="Arial"/>
        </w:rPr>
        <w:t>sanctions</w:t>
      </w:r>
      <w:r w:rsidRPr="00700474">
        <w:t xml:space="preserve"> provide the context for rehabilitation; it is the rehabilitative efforts that lead to meaningful behavioral change. Appealing to the ideals of incapacitation, Nii Amasa expressed that </w:t>
      </w:r>
      <w:r w:rsidRPr="00700474">
        <w:rPr>
          <w:rFonts w:eastAsia="Arial"/>
        </w:rPr>
        <w:t>sanctions</w:t>
      </w:r>
      <w:r w:rsidRPr="00700474">
        <w:t>’ utility lies in removing an offender from society, preventing them from committing further crimes, thereby protecting the community.</w:t>
      </w:r>
    </w:p>
    <w:p w14:paraId="695EE530" w14:textId="77777777" w:rsidR="000A53DE" w:rsidRDefault="000A53DE" w:rsidP="00B0127F">
      <w:pPr>
        <w:jc w:val="left"/>
      </w:pPr>
    </w:p>
    <w:p w14:paraId="11F011D2" w14:textId="77777777" w:rsidR="000A53DE" w:rsidRPr="00700474" w:rsidRDefault="000A53DE" w:rsidP="00B0127F">
      <w:pPr>
        <w:jc w:val="left"/>
      </w:pPr>
    </w:p>
    <w:p w14:paraId="57E4F8E0" w14:textId="77777777" w:rsidR="00B0127F" w:rsidRPr="00700474" w:rsidRDefault="00B0127F" w:rsidP="00B0127F">
      <w:pPr>
        <w:rPr>
          <w:b/>
          <w:bCs/>
        </w:rPr>
      </w:pPr>
      <w:r w:rsidRPr="00700474">
        <w:rPr>
          <w:b/>
          <w:bCs/>
        </w:rPr>
        <w:lastRenderedPageBreak/>
        <w:t xml:space="preserve">Legal </w:t>
      </w:r>
      <w:r w:rsidRPr="00700474">
        <w:rPr>
          <w:rFonts w:eastAsia="Arial"/>
          <w:b/>
          <w:bCs/>
        </w:rPr>
        <w:t>Sanction</w:t>
      </w:r>
      <w:r w:rsidRPr="00700474">
        <w:rPr>
          <w:b/>
          <w:bCs/>
        </w:rPr>
        <w:t xml:space="preserve"> is Counter-Productive</w:t>
      </w:r>
    </w:p>
    <w:p w14:paraId="062C8BC2" w14:textId="77777777" w:rsidR="00B0127F" w:rsidRPr="00700474" w:rsidRDefault="00B0127F" w:rsidP="00B0127F">
      <w:pPr>
        <w:jc w:val="left"/>
      </w:pPr>
      <w:r w:rsidRPr="00700474">
        <w:t xml:space="preserve">Three percent (3%) of the participants asserted that </w:t>
      </w:r>
      <w:r w:rsidRPr="00700474">
        <w:rPr>
          <w:rFonts w:eastAsia="Arial"/>
        </w:rPr>
        <w:t>sanctions</w:t>
      </w:r>
      <w:r w:rsidRPr="00700474">
        <w:t xml:space="preserve"> are both effective and ineffective. The explanation supporting this perception highlighted a preference for alternative measures such as counselling. Naa Norley bemoaned the </w:t>
      </w:r>
      <w:r w:rsidRPr="00700474">
        <w:rPr>
          <w:rFonts w:eastAsia="Arial"/>
        </w:rPr>
        <w:t>sanctions</w:t>
      </w:r>
      <w:r w:rsidRPr="00700474">
        <w:t xml:space="preserve"> inflicted on the two pizzaman workers, arguing that a probe into their socio-economic status would help identify and “deal with the root cause” for a pragmatic solution such as a pay increment instead of throwing them into jail. Beyond proposing counselling, Naa Norley’s submission also appealed to some components of restorative justice. She suggested that the guys should be made to replace the stolen items and sign a good behavior bond, holding them accountable to their employer.</w:t>
      </w:r>
    </w:p>
    <w:p w14:paraId="75FA57E8" w14:textId="77777777" w:rsidR="00B0127F" w:rsidRPr="00700474" w:rsidRDefault="00B0127F" w:rsidP="00B0127F">
      <w:pPr>
        <w:ind w:left="720"/>
        <w:jc w:val="left"/>
      </w:pPr>
      <w:r w:rsidRPr="00700474">
        <w:t>Yes, they have to be punished, but was the punishment appropriate? They should have counselled them, replaced the stolen items, and had them sign a good behaviour bond. Check their financial status and see if they are underpaid. They barely have enough for the home, hence the decision to steal. So, in that situation, authorities could negotiate to raise their pay or conditions of service. That way, you will deal with the root cause, but what will the imprisonment do? It might even corrupt them.</w:t>
      </w:r>
      <w:bookmarkStart w:id="14" w:name="_Hlk193166165"/>
    </w:p>
    <w:p w14:paraId="200B5598" w14:textId="77777777" w:rsidR="00B0127F" w:rsidRPr="00700474" w:rsidRDefault="00B0127F" w:rsidP="00B0127F">
      <w:pPr>
        <w:jc w:val="left"/>
      </w:pPr>
      <w:r w:rsidRPr="00700474">
        <w:t xml:space="preserve">The import of Naa Norley’s explanation of why </w:t>
      </w:r>
      <w:r w:rsidRPr="00700474">
        <w:rPr>
          <w:rFonts w:eastAsia="Arial"/>
        </w:rPr>
        <w:t>sanctions</w:t>
      </w:r>
      <w:r w:rsidRPr="00700474">
        <w:t xml:space="preserve"> are counter-productive is multi-faced. She concurred that </w:t>
      </w:r>
      <w:r w:rsidRPr="00700474">
        <w:rPr>
          <w:rFonts w:eastAsia="Arial"/>
        </w:rPr>
        <w:t>sanctions</w:t>
      </w:r>
      <w:r w:rsidRPr="00700474">
        <w:t xml:space="preserve"> are necessary; however, </w:t>
      </w:r>
      <w:r w:rsidRPr="00700474">
        <w:rPr>
          <w:rFonts w:eastAsia="Arial"/>
        </w:rPr>
        <w:t>sanctions</w:t>
      </w:r>
      <w:r w:rsidRPr="00700474">
        <w:t xml:space="preserve">, she argued, are only effective when they are proportionate or appropriate to the crime. She also underscored the idea that counselling rather than </w:t>
      </w:r>
      <w:r w:rsidRPr="00700474">
        <w:rPr>
          <w:rFonts w:eastAsia="Arial"/>
        </w:rPr>
        <w:t xml:space="preserve">sanctioning </w:t>
      </w:r>
      <w:r w:rsidRPr="00700474">
        <w:t xml:space="preserve">may be preferable in some cases. Thus, called for a case-by-case review of offenses, a process that ensures justice is individualized and fair. For instance, given that the theft by the two pizzaman workers was for economic gains, perhaps a pay raise could help as it would provide a targeted solution to the root cause of the problem. Naa Norley </w:t>
      </w:r>
      <w:r w:rsidRPr="00700474">
        <w:lastRenderedPageBreak/>
        <w:t xml:space="preserve">also appealed to applying restorative measures when she expressed that the two could have been made to replace the stolen items and signed a good behavior bond. </w:t>
      </w:r>
      <w:bookmarkStart w:id="15" w:name="_Hlk193166199"/>
      <w:bookmarkEnd w:id="14"/>
    </w:p>
    <w:p w14:paraId="6DDF7ADD" w14:textId="77777777" w:rsidR="00B0127F" w:rsidRPr="00700474" w:rsidRDefault="00B0127F" w:rsidP="00B0127F">
      <w:pPr>
        <w:rPr>
          <w:b/>
          <w:bCs/>
        </w:rPr>
      </w:pPr>
      <w:r w:rsidRPr="00700474">
        <w:rPr>
          <w:b/>
          <w:bCs/>
        </w:rPr>
        <w:t>Legal System is Untrustworthy</w:t>
      </w:r>
    </w:p>
    <w:p w14:paraId="3179578A" w14:textId="26B4FB77" w:rsidR="00B0127F" w:rsidRPr="00700474" w:rsidRDefault="00B0127F" w:rsidP="00B0127F">
      <w:pPr>
        <w:jc w:val="left"/>
      </w:pPr>
      <w:r w:rsidRPr="00700474">
        <w:t>All (100%) participants expressed distrust towards the</w:t>
      </w:r>
      <w:r w:rsidR="00017835" w:rsidRPr="00700474">
        <w:t xml:space="preserve"> legal</w:t>
      </w:r>
      <w:r w:rsidRPr="00700474">
        <w:t xml:space="preserve"> system </w:t>
      </w:r>
      <w:r w:rsidR="00017835" w:rsidRPr="00700474">
        <w:t>and</w:t>
      </w:r>
      <w:r w:rsidRPr="00700474">
        <w:t xml:space="preserve"> criminal legal </w:t>
      </w:r>
      <w:r w:rsidRPr="00700474">
        <w:rPr>
          <w:rFonts w:eastAsia="Arial"/>
        </w:rPr>
        <w:t>sanctions</w:t>
      </w:r>
      <w:r w:rsidRPr="00700474">
        <w:t xml:space="preserve">. Participants described the legal system as characterized by ineffectiveness, police and judicial corruption, and time consumption. Participants further alleged that the mistrust associated with the legal system is the cause for the rise in citizen vigilantism groups, where citizens impose punishment on offenders or seek justice on their own terms through illegal practices, such as mob justice, without recourse to legal procedure. As participant responses suggested that extra-judicial </w:t>
      </w:r>
      <w:r w:rsidRPr="00700474">
        <w:rPr>
          <w:rFonts w:eastAsia="Arial"/>
        </w:rPr>
        <w:t>sanctions</w:t>
      </w:r>
      <w:r w:rsidRPr="00700474">
        <w:t xml:space="preserve">, such as mob justice, have emerged due to a lack of trust in the legal system, </w:t>
      </w:r>
      <w:bookmarkEnd w:id="15"/>
      <w:r w:rsidRPr="00700474">
        <w:t xml:space="preserve">I sought to understand better the specific factors accounting for the lack of trust in the legal system and the preference for extra-legal </w:t>
      </w:r>
      <w:r w:rsidRPr="00700474">
        <w:rPr>
          <w:rFonts w:eastAsia="Arial"/>
        </w:rPr>
        <w:t>sanctions</w:t>
      </w:r>
      <w:r w:rsidRPr="00700474">
        <w:t>. Thus, I asked each participant what they think of citizens imposing punishments themselves. What has influenced this thinking?</w:t>
      </w:r>
    </w:p>
    <w:p w14:paraId="08EE0965" w14:textId="77777777" w:rsidR="0069079C" w:rsidRPr="00700474" w:rsidRDefault="00B0127F" w:rsidP="0069079C">
      <w:pPr>
        <w:jc w:val="left"/>
        <w:rPr>
          <w:b/>
          <w:bCs/>
          <w:i/>
          <w:iCs/>
        </w:rPr>
      </w:pPr>
      <w:r w:rsidRPr="00700474">
        <w:rPr>
          <w:b/>
          <w:bCs/>
          <w:i/>
          <w:iCs/>
        </w:rPr>
        <w:t>The Ineptness of the Legal System</w:t>
      </w:r>
    </w:p>
    <w:p w14:paraId="42EB2A2B" w14:textId="73045998" w:rsidR="00B0127F" w:rsidRPr="00700474" w:rsidRDefault="00B0127F" w:rsidP="00E65B1F">
      <w:pPr>
        <w:jc w:val="left"/>
        <w:rPr>
          <w:b/>
          <w:bCs/>
          <w:i/>
          <w:iCs/>
        </w:rPr>
      </w:pPr>
      <w:r w:rsidRPr="00700474">
        <w:t xml:space="preserve">After posing the question, what do you think of citizens imposing </w:t>
      </w:r>
      <w:r w:rsidRPr="00700474">
        <w:rPr>
          <w:rFonts w:eastAsia="Arial"/>
        </w:rPr>
        <w:t>sanctions</w:t>
      </w:r>
      <w:r w:rsidRPr="00700474">
        <w:t xml:space="preserve"> themselves? And what has influenced this thinking? Maanaa took a deep breath and looked straight into my eyes. Then she turned her left cheek to rest in her left palm while her elbow was firmly placed on the table for a few seconds. Immediately, I got the sense that the topic or the question may have triggered a strong emotional experience or loss, which she would later confirm in her response, citing how some armed men raped her daughter because the police lacked the logistics and resources needed to respond to her distress call to the police station for help when some armed robbers besieged her home.</w:t>
      </w:r>
    </w:p>
    <w:p w14:paraId="52BD964D" w14:textId="276B3390" w:rsidR="00B0127F" w:rsidRPr="00700474" w:rsidRDefault="00B0127F" w:rsidP="00F52300">
      <w:pPr>
        <w:pStyle w:val="NormalWeb"/>
        <w:spacing w:before="0" w:beforeAutospacing="0" w:after="0" w:afterAutospacing="0"/>
        <w:ind w:left="720"/>
        <w:jc w:val="left"/>
        <w:rPr>
          <w:rFonts w:eastAsiaTheme="minorHAnsi"/>
        </w:rPr>
      </w:pPr>
      <w:r w:rsidRPr="00700474">
        <w:rPr>
          <w:rFonts w:eastAsiaTheme="minorHAnsi"/>
        </w:rPr>
        <w:lastRenderedPageBreak/>
        <w:t xml:space="preserve">I </w:t>
      </w:r>
      <w:r w:rsidR="00E65B1F">
        <w:rPr>
          <w:rFonts w:eastAsiaTheme="minorHAnsi"/>
        </w:rPr>
        <w:t>h</w:t>
      </w:r>
      <w:r w:rsidRPr="00700474">
        <w:rPr>
          <w:rFonts w:eastAsiaTheme="minorHAnsi"/>
        </w:rPr>
        <w:t xml:space="preserve">eard some strange footsteps on my porch, so I peeped and realized there were some masked men with weapons in their hands. I quickly ran up to call the police.... and when the police picked up, he said there was no car to transport him to the place. Besides, he was the only one on duty and could not conduct such an operation alone... The thieves eventually broke the door, took one of my girls to a separate room, and raped her. My little girl’s scream alarmed some </w:t>
      </w:r>
      <w:r w:rsidR="00AF1BC2" w:rsidRPr="00700474">
        <w:rPr>
          <w:rFonts w:eastAsiaTheme="minorHAnsi"/>
        </w:rPr>
        <w:t>neighbors</w:t>
      </w:r>
      <w:r w:rsidRPr="00700474">
        <w:rPr>
          <w:rFonts w:eastAsiaTheme="minorHAnsi"/>
        </w:rPr>
        <w:t xml:space="preserve"> ... </w:t>
      </w:r>
      <w:bookmarkStart w:id="16" w:name="_Hlk201480349"/>
      <w:r w:rsidRPr="00700474">
        <w:rPr>
          <w:rFonts w:eastAsiaTheme="minorHAnsi"/>
        </w:rPr>
        <w:t>They caught the armed men and beat them to a pulp. I was so happy and relieved.</w:t>
      </w:r>
    </w:p>
    <w:bookmarkEnd w:id="16"/>
    <w:p w14:paraId="4E3BEA47" w14:textId="77777777" w:rsidR="00B0127F" w:rsidRPr="00700474" w:rsidRDefault="00B0127F" w:rsidP="00F52300">
      <w:pPr>
        <w:pStyle w:val="NormalWeb"/>
        <w:spacing w:before="0" w:beforeAutospacing="0" w:after="0" w:afterAutospacing="0"/>
        <w:ind w:firstLine="720"/>
        <w:jc w:val="left"/>
        <w:rPr>
          <w:rFonts w:eastAsiaTheme="minorHAnsi"/>
        </w:rPr>
      </w:pPr>
      <w:r w:rsidRPr="00700474">
        <w:rPr>
          <w:rFonts w:eastAsiaTheme="minorHAnsi"/>
        </w:rPr>
        <w:t>Maanaa’s narration highlighted her willingness to use legally approved means to deal with criminals or criminal activities. However, she was open to exploring non-legal or illegal means to resolve the issue once the legally approved means proved futile. Maanaa’s last comment, “I was so happy and relieved,” arguably highlighted a deep sense of satisfaction derived from seeing her daughter’s assailants punished, perhaps instantly.</w:t>
      </w:r>
    </w:p>
    <w:p w14:paraId="6B978B9E" w14:textId="77777777" w:rsidR="00B0127F" w:rsidRPr="00700474" w:rsidRDefault="00B0127F" w:rsidP="00B0127F">
      <w:pPr>
        <w:ind w:firstLine="720"/>
        <w:jc w:val="left"/>
      </w:pPr>
      <w:bookmarkStart w:id="17" w:name="_Hlk193166298"/>
      <w:r w:rsidRPr="00700474">
        <w:t xml:space="preserve">Nana Yaw similarly endorsed the use of extra-legal </w:t>
      </w:r>
      <w:r w:rsidRPr="00700474">
        <w:rPr>
          <w:rFonts w:eastAsia="Arial"/>
        </w:rPr>
        <w:t>sanctions</w:t>
      </w:r>
      <w:r w:rsidRPr="00700474">
        <w:t>. He explained that the legal system is replete with procedural impediments and delays, with defense lawyers deliberately frustrating cases. According to him, defense lawyers adopt tactics, such as ‘unnecessary’ requests for adjournments with flimsy excuses, to delay, distract, and frustrate court processes, which he does not “have the time for.”</w:t>
      </w:r>
    </w:p>
    <w:bookmarkEnd w:id="17"/>
    <w:p w14:paraId="78E28BB9" w14:textId="3C7E7EC2" w:rsidR="00B0127F" w:rsidRPr="00700474" w:rsidRDefault="00B0127F" w:rsidP="000210DC">
      <w:pPr>
        <w:ind w:left="720"/>
        <w:jc w:val="left"/>
        <w:rPr>
          <w:rFonts w:eastAsia="Times New Roman"/>
        </w:rPr>
      </w:pPr>
      <w:r w:rsidRPr="00700474">
        <w:rPr>
          <w:rFonts w:eastAsia="Times New Roman"/>
        </w:rPr>
        <w:t xml:space="preserve">I had a case where a defense lawyer continuously brought medical reports to request adjournments on seven occasions. These adjournments came with financial constraints, which meant more legal fees to be paid to my attorney in my quest to seek justice. Meanwhile, when I calculated the total cost to be incurred with these legal fees and the amount to be retrieved, it just did not make sense to continue the case, so I discontinued the case and decided that moving forward, I would deal with issues my way. We want </w:t>
      </w:r>
      <w:r w:rsidRPr="00700474">
        <w:rPr>
          <w:rFonts w:eastAsia="Times New Roman"/>
        </w:rPr>
        <w:lastRenderedPageBreak/>
        <w:t xml:space="preserve">immediate solutions, but then the law, you </w:t>
      </w:r>
      <w:r w:rsidR="00AF1BC2" w:rsidRPr="00700474">
        <w:rPr>
          <w:rFonts w:eastAsia="Times New Roman"/>
        </w:rPr>
        <w:t>must</w:t>
      </w:r>
      <w:r w:rsidRPr="00700474">
        <w:rPr>
          <w:rFonts w:eastAsia="Times New Roman"/>
        </w:rPr>
        <w:t xml:space="preserve"> wait, maybe weeks, months, years and go to court and come back. I do not have the time for that.</w:t>
      </w:r>
    </w:p>
    <w:p w14:paraId="261729F3" w14:textId="77777777" w:rsidR="00B0127F" w:rsidRPr="00700474" w:rsidRDefault="00B0127F" w:rsidP="00B0127F">
      <w:pPr>
        <w:ind w:firstLine="720"/>
        <w:jc w:val="left"/>
      </w:pPr>
      <w:r w:rsidRPr="00700474">
        <w:t xml:space="preserve">For Adotey, the legal system does not </w:t>
      </w:r>
      <w:bookmarkStart w:id="18" w:name="_Hlk193166315"/>
      <w:r w:rsidRPr="00700474">
        <w:t>achieve sufficient deterrence to offending</w:t>
      </w:r>
      <w:bookmarkEnd w:id="18"/>
      <w:r w:rsidRPr="00700474">
        <w:t>.</w:t>
      </w:r>
      <w:r w:rsidRPr="00700474">
        <w:rPr>
          <w:i/>
          <w:iCs/>
        </w:rPr>
        <w:t xml:space="preserve"> </w:t>
      </w:r>
      <w:r w:rsidRPr="00700474">
        <w:t xml:space="preserve">When I asked Adotey about citizens imposing </w:t>
      </w:r>
      <w:r w:rsidRPr="00700474">
        <w:rPr>
          <w:rFonts w:eastAsia="Arial"/>
        </w:rPr>
        <w:t>sanctions</w:t>
      </w:r>
      <w:r w:rsidRPr="00700474">
        <w:t>, he crossed his arms, furrowed his brow, and leaned back into the chair. After a few minutes, he responded, citing instances where citizens, including himself, have engaged the legal processes to deal with an offender only to be disappointed because the thief “ended up in ‘counter back’ and then released.” He argued that offenders are not deterred from repeating the crime because offenders are not physically punished.</w:t>
      </w:r>
    </w:p>
    <w:p w14:paraId="61B11EED" w14:textId="77777777" w:rsidR="00B0127F" w:rsidRPr="00700474" w:rsidRDefault="00B0127F" w:rsidP="00B0127F">
      <w:pPr>
        <w:ind w:left="720"/>
        <w:jc w:val="left"/>
      </w:pPr>
      <w:r w:rsidRPr="00700474">
        <w:t>Hmm, truthfully, I am not for mob justice. I do not condone it, but I have come to see and understand that certain people must be physically punished so they change. A thief who consistently troubled our community was always handed over to the police. He ends up in 'counter back' and then released. He is not processed to court. Soon, he comes back to the community to steal. But one day, we decided not to take him to the police station but beat him up ourselves. Guess what? He stopped coming to the community. So, mob justice serves as a deterrent to offenders or would-be offenders.</w:t>
      </w:r>
    </w:p>
    <w:p w14:paraId="62FC4728" w14:textId="77777777" w:rsidR="00B0127F" w:rsidRPr="00700474" w:rsidRDefault="00B0127F" w:rsidP="00B0127F">
      <w:pPr>
        <w:ind w:firstLine="720"/>
        <w:jc w:val="left"/>
      </w:pPr>
      <w:r w:rsidRPr="00700474">
        <w:t xml:space="preserve">Adotey’s narrative resonated with me. I recalled a similar situation in my community growing up as a child. My community was relatively safe. People felt secure, and it did not matter what time of the day. Both men and women walked freely without fear of being attacked or mugged. Soon, people started complaining about thieves attacking or raiding their homes. A community watch group was set up. They did a good job of arresting and reporting thieves at the police station. However, they observed that these offenders were released in a matter of weeks. So they decided not to report offenders to the police and instead impose punishment themselves. </w:t>
      </w:r>
      <w:r w:rsidRPr="00700474">
        <w:lastRenderedPageBreak/>
        <w:t>However, some opinion leaders advised against that, and they succumbed to the advice. What broke the camel’s back was learning that one of the thieves they had caught was a police officer. They became enraged and, from thence, dealt with offenders themselves, and the thieves stopped coming back into the community.</w:t>
      </w:r>
    </w:p>
    <w:p w14:paraId="0342BA4D" w14:textId="77777777" w:rsidR="00B0127F" w:rsidRPr="00700474" w:rsidRDefault="00B0127F" w:rsidP="00B0127F">
      <w:pPr>
        <w:jc w:val="left"/>
        <w:rPr>
          <w:b/>
          <w:bCs/>
          <w:i/>
          <w:iCs/>
        </w:rPr>
      </w:pPr>
      <w:r w:rsidRPr="00700474">
        <w:rPr>
          <w:b/>
          <w:bCs/>
          <w:i/>
          <w:iCs/>
        </w:rPr>
        <w:t xml:space="preserve">The Legal System and Systemic Exploitation </w:t>
      </w:r>
    </w:p>
    <w:p w14:paraId="31F1DD9C" w14:textId="77777777" w:rsidR="00B0127F" w:rsidRPr="00700474" w:rsidRDefault="00B0127F" w:rsidP="00B0127F">
      <w:pPr>
        <w:jc w:val="left"/>
      </w:pPr>
      <w:r w:rsidRPr="00700474">
        <w:t xml:space="preserve">Some </w:t>
      </w:r>
      <w:bookmarkStart w:id="19" w:name="_Hlk193166357"/>
      <w:r w:rsidRPr="00700474">
        <w:t xml:space="preserve">participants described the legal system as marked by police and judicial corruption, </w:t>
      </w:r>
      <w:bookmarkEnd w:id="19"/>
      <w:r w:rsidRPr="00700474">
        <w:t xml:space="preserve">leading to the use of illegal punishments such as mob justice. Prempeh shook his head, rolled his eyes, and leaned back into the chair when I asked, "What do you think of citizens imposing </w:t>
      </w:r>
      <w:r w:rsidRPr="00700474">
        <w:rPr>
          <w:rFonts w:eastAsia="Arial"/>
        </w:rPr>
        <w:t>sanctions</w:t>
      </w:r>
      <w:r w:rsidRPr="00700474">
        <w:t xml:space="preserve"> themselves?" Per his reaction, I suspected he had had a bad personal experience. His response would give credence to my suspicion. Prempeh reflected on his ordeal with a police officer who discontinued a theft case he had reported because he refused to allow him to exploit him. </w:t>
      </w:r>
    </w:p>
    <w:p w14:paraId="02A19982" w14:textId="761D62EA" w:rsidR="00B0127F" w:rsidRPr="00700474" w:rsidRDefault="00B0127F" w:rsidP="00C62C55">
      <w:pPr>
        <w:ind w:left="720"/>
        <w:jc w:val="left"/>
      </w:pPr>
      <w:r w:rsidRPr="00700474">
        <w:t xml:space="preserve">Hmmmmm…I caught a thief on my farm and took him to the police station. In the process of lodging a complaint, I was asked to present an ID card; unfortunately, I only had my driver's license, which had expired. Although I had made arrangements to get a new one, it was not ready. I showed receipts of the renewal to the police, but he insisted I had no right to drive if the new one was not yet ready. He then started exploiting the situation. He would ask that I pay a certain amount of money before he processes the case, or else he would file a case against me. I paid the first time, but I regret doing it. The following week, I went to follow up on the case. At this point, I still did not have the new card, and the police were trying to extort money from me again. I did not do it this time, so he refused to process the case. He let the thief go. So next time, do you think I </w:t>
      </w:r>
      <w:r w:rsidRPr="00700474">
        <w:lastRenderedPageBreak/>
        <w:t>will report a case to the police? Forget it. I will handle myself. I will raise alarm for community members to come help me deal with them.</w:t>
      </w:r>
    </w:p>
    <w:p w14:paraId="0C8ACF78" w14:textId="77777777" w:rsidR="00B0127F" w:rsidRPr="00700474" w:rsidRDefault="00B0127F" w:rsidP="00B0127F">
      <w:pPr>
        <w:ind w:firstLine="720"/>
        <w:jc w:val="left"/>
      </w:pPr>
      <w:r w:rsidRPr="00700474">
        <w:t>Prempeh continued by narrating his community members' specific activities in response to the perceived corruption within the legal system.</w:t>
      </w:r>
    </w:p>
    <w:p w14:paraId="4445EDC3" w14:textId="77777777" w:rsidR="00B0127F" w:rsidRPr="00700474" w:rsidRDefault="00B0127F" w:rsidP="00B0127F">
      <w:pPr>
        <w:ind w:left="720"/>
        <w:jc w:val="left"/>
      </w:pPr>
      <w:r w:rsidRPr="00700474">
        <w:t>Back in the day, when someone was caught, they put a car tyre around the person and burned them because we didn't trust the system. When you report to the police, the thief is arrested, the police take a bribe and leave the thief, and then this thief will come back to disturb our peace again or take revenge for exposing him. It is not the best way to go, but most people go in that direction because we believe the justice system is corrupt.</w:t>
      </w:r>
    </w:p>
    <w:p w14:paraId="49BF2108" w14:textId="17DAE45E" w:rsidR="00B0127F" w:rsidRPr="00700474" w:rsidRDefault="00B0127F" w:rsidP="00CA13CF">
      <w:pPr>
        <w:ind w:firstLine="720"/>
        <w:jc w:val="both"/>
      </w:pPr>
      <w:r w:rsidRPr="00700474">
        <w:t xml:space="preserve">When I asked Adjoa, what do you think of citizens imposing </w:t>
      </w:r>
      <w:r w:rsidRPr="00700474">
        <w:rPr>
          <w:rFonts w:eastAsia="Arial"/>
        </w:rPr>
        <w:t>sanctions</w:t>
      </w:r>
      <w:r w:rsidRPr="00700474">
        <w:t xml:space="preserve"> themselves? Her first reaction was to smirk. She then proceeded to cite an exposé by Anas</w:t>
      </w:r>
      <w:r w:rsidR="00CA13CF" w:rsidRPr="00700474">
        <w:t xml:space="preserve"> Aremeyaw Anas</w:t>
      </w:r>
      <w:r w:rsidR="00BC4649" w:rsidRPr="00700474">
        <w:rPr>
          <w:rStyle w:val="EndnoteReference"/>
        </w:rPr>
        <w:endnoteReference w:id="1"/>
      </w:r>
      <w:r w:rsidRPr="00700474">
        <w:t xml:space="preserve">, an investigative journalist, which confirmed that some members of the Bench are corrupt and selling justice. </w:t>
      </w:r>
    </w:p>
    <w:p w14:paraId="4462FA3C" w14:textId="6C26B4A3" w:rsidR="00B0127F" w:rsidRPr="00700474" w:rsidRDefault="00B0127F" w:rsidP="00B0127F">
      <w:pPr>
        <w:ind w:left="720"/>
        <w:jc w:val="left"/>
      </w:pPr>
      <w:r w:rsidRPr="00700474">
        <w:t>We all saw the exposé by Anas Aremeyaw Anas. In the video, some judges went home with bribes in the form of goats, sheep, waakye meal for lunch (a Ghanaian dish of cooked rice and beans), guinea fouls, foodstuffs, and other freebies, while others took as little as GH¢500 (about $</w:t>
      </w:r>
      <w:r w:rsidR="00553A2E" w:rsidRPr="00700474">
        <w:t>48</w:t>
      </w:r>
      <w:r w:rsidRPr="00700474">
        <w:t>) to influence the determination of cases. And you want me to trust these people with my case? Tweakai….</w:t>
      </w:r>
    </w:p>
    <w:p w14:paraId="17B86418" w14:textId="41E85877" w:rsidR="00F52300" w:rsidRPr="00700474" w:rsidRDefault="00B0127F" w:rsidP="00B0127F">
      <w:pPr>
        <w:jc w:val="left"/>
      </w:pPr>
      <w:r w:rsidRPr="00700474">
        <w:t xml:space="preserve">Prempeh and Adjoa’s attitude towards legal </w:t>
      </w:r>
      <w:r w:rsidRPr="00700474">
        <w:rPr>
          <w:rFonts w:eastAsia="Arial"/>
        </w:rPr>
        <w:t>sanctions</w:t>
      </w:r>
      <w:r w:rsidRPr="00700474">
        <w:t xml:space="preserve"> appear to have been significantly shaped by their personal encounters with the police and, importantly, by the data from Anas's investigative findings. Their ascription of corruption to the legal system, particularly the police and judiciary, is not novel. In fact, it re-echoes an existing public perception about Ghana’s justice system that it is one of the most corrupt institutions in Ghana. </w:t>
      </w:r>
    </w:p>
    <w:p w14:paraId="7B5A9778" w14:textId="77777777" w:rsidR="00B0127F" w:rsidRPr="00700474" w:rsidRDefault="00B0127F" w:rsidP="00B0127F">
      <w:pPr>
        <w:rPr>
          <w:b/>
          <w:bCs/>
        </w:rPr>
      </w:pPr>
      <w:r w:rsidRPr="00700474">
        <w:rPr>
          <w:b/>
          <w:bCs/>
        </w:rPr>
        <w:lastRenderedPageBreak/>
        <w:t>Chapter Summary</w:t>
      </w:r>
    </w:p>
    <w:p w14:paraId="5D71CA5B" w14:textId="77777777" w:rsidR="00B0127F" w:rsidRPr="00700474" w:rsidRDefault="00B0127F" w:rsidP="00B0127F">
      <w:pPr>
        <w:jc w:val="left"/>
      </w:pPr>
      <w:r w:rsidRPr="00700474">
        <w:t xml:space="preserve">Although legal </w:t>
      </w:r>
      <w:r w:rsidRPr="00700474">
        <w:rPr>
          <w:rFonts w:eastAsia="Arial"/>
        </w:rPr>
        <w:t>sanctions</w:t>
      </w:r>
      <w:r w:rsidRPr="00700474">
        <w:t xml:space="preserve"> are integral to the country’s justice system, participants were complacent about discussing their views on legal </w:t>
      </w:r>
      <w:r w:rsidRPr="00700474">
        <w:rPr>
          <w:rFonts w:eastAsia="Arial"/>
        </w:rPr>
        <w:t>sanction</w:t>
      </w:r>
      <w:r w:rsidRPr="00700474">
        <w:t xml:space="preserve">s in Ghana. The participants’ responses revealed a range of perceptions about Ghana’s legal </w:t>
      </w:r>
      <w:r w:rsidRPr="00700474">
        <w:rPr>
          <w:rFonts w:eastAsia="Arial"/>
        </w:rPr>
        <w:t>sanctions</w:t>
      </w:r>
      <w:r w:rsidRPr="00700474">
        <w:t xml:space="preserve">, offering a unique and personal insight into the criminal justice system. Eighty percent (80%) of participants perceived criminal legal </w:t>
      </w:r>
      <w:r w:rsidRPr="00700474">
        <w:rPr>
          <w:rFonts w:eastAsia="Arial"/>
        </w:rPr>
        <w:t>sanctions</w:t>
      </w:r>
      <w:r w:rsidRPr="00700474">
        <w:t xml:space="preserve"> as legitimate; their explanation of what makes criminal legal </w:t>
      </w:r>
      <w:r w:rsidRPr="00700474">
        <w:rPr>
          <w:rFonts w:eastAsia="Arial"/>
        </w:rPr>
        <w:t>sanctions</w:t>
      </w:r>
      <w:r w:rsidRPr="00700474">
        <w:t xml:space="preserve"> legitimate varied. Some participants considered criminal legal </w:t>
      </w:r>
      <w:r w:rsidRPr="00700474">
        <w:rPr>
          <w:rFonts w:eastAsia="Arial"/>
        </w:rPr>
        <w:t>sanctions</w:t>
      </w:r>
      <w:r w:rsidRPr="00700474">
        <w:t xml:space="preserve"> legitimate because they are not based on the emotions of the punisher. Others expressed that the legitimacy of criminal legal </w:t>
      </w:r>
      <w:r w:rsidRPr="00700474">
        <w:rPr>
          <w:rFonts w:eastAsia="Arial"/>
        </w:rPr>
        <w:t>sanctions</w:t>
      </w:r>
      <w:r w:rsidRPr="00700474">
        <w:t xml:space="preserve"> are related to educated professionals developing these punishments. Still, others explained that the legitimacy of </w:t>
      </w:r>
      <w:r w:rsidRPr="00700474">
        <w:rPr>
          <w:rFonts w:eastAsia="Arial"/>
        </w:rPr>
        <w:t>sanctions</w:t>
      </w:r>
      <w:r w:rsidRPr="00700474">
        <w:t xml:space="preserve"> are linked to the fact that due process, which includes a fair trial, evidence presentation, and legal representation, is followed before punishment is determined. Some others averred that the legitimacy of criminal legal </w:t>
      </w:r>
      <w:r w:rsidRPr="00700474">
        <w:rPr>
          <w:rFonts w:eastAsia="Arial"/>
        </w:rPr>
        <w:t>sanctions</w:t>
      </w:r>
      <w:r w:rsidRPr="00700474">
        <w:t xml:space="preserve"> rest in the fact that crime and correlated </w:t>
      </w:r>
      <w:r w:rsidRPr="00700474">
        <w:rPr>
          <w:rFonts w:eastAsia="Arial"/>
        </w:rPr>
        <w:t>sanctions</w:t>
      </w:r>
      <w:r w:rsidRPr="00700474">
        <w:t xml:space="preserve"> have already been determined and backed by law. </w:t>
      </w:r>
    </w:p>
    <w:p w14:paraId="716CF752" w14:textId="77777777" w:rsidR="00B0127F" w:rsidRPr="00700474" w:rsidRDefault="00B0127F" w:rsidP="00B0127F">
      <w:pPr>
        <w:ind w:firstLine="720"/>
        <w:jc w:val="left"/>
      </w:pPr>
      <w:r w:rsidRPr="00700474">
        <w:t xml:space="preserve">However, arguably, the legitimacy participants ascribed to criminal legal </w:t>
      </w:r>
      <w:r w:rsidRPr="00700474">
        <w:rPr>
          <w:rFonts w:eastAsia="Arial"/>
        </w:rPr>
        <w:t>sanctions</w:t>
      </w:r>
      <w:r w:rsidRPr="00700474">
        <w:t xml:space="preserve"> may be described as “technical” given that participants’ responses suggested that although they recognized the existence of criminal legal </w:t>
      </w:r>
      <w:r w:rsidRPr="00700474">
        <w:rPr>
          <w:rFonts w:eastAsia="Arial"/>
        </w:rPr>
        <w:t>sanctions</w:t>
      </w:r>
      <w:r w:rsidRPr="00700474">
        <w:t xml:space="preserve">, they may not utilize it because the existence of the legal institution and punishment, they perceive, is only an indication that Ghana is modern and complies to global standards of adjudication and thus irrelevant to their context or needs. This perception of the legal system as an “out-group” By the participants highlights a significant disconnect that needs to be addressed. Thus, the relationship between these participants and the legal system could be described as a “we” (participants) and “them” (legal system) affair. </w:t>
      </w:r>
    </w:p>
    <w:p w14:paraId="7C590510" w14:textId="3A206428" w:rsidR="00B0127F" w:rsidRPr="00700474" w:rsidRDefault="00B0127F" w:rsidP="00B0127F">
      <w:pPr>
        <w:ind w:firstLine="720"/>
        <w:jc w:val="left"/>
      </w:pPr>
      <w:r w:rsidRPr="00700474">
        <w:t xml:space="preserve">Also, although participants considered legal </w:t>
      </w:r>
      <w:r w:rsidRPr="00700474">
        <w:rPr>
          <w:rFonts w:eastAsia="Arial"/>
        </w:rPr>
        <w:t>sanctions</w:t>
      </w:r>
      <w:r w:rsidRPr="00700474">
        <w:t xml:space="preserve"> legitimate, they cast doubt on its operation, highlighting the urgent and necessary need for reform. All (100%) participants </w:t>
      </w:r>
      <w:r w:rsidRPr="00700474">
        <w:lastRenderedPageBreak/>
        <w:t xml:space="preserve">expressed distrust towards the legal system and </w:t>
      </w:r>
      <w:r w:rsidRPr="00700474">
        <w:rPr>
          <w:rFonts w:eastAsia="Arial"/>
        </w:rPr>
        <w:t>sanctions</w:t>
      </w:r>
      <w:r w:rsidRPr="00700474">
        <w:t xml:space="preserve">, citing police and judicial corruption, unnecessary delays and requests for adjournments by defense lawyers, favoring the affluent, lack of the necessary resources to function effectively, procedural impediments, and a “wholesale” approach in the application </w:t>
      </w:r>
      <w:r w:rsidRPr="00700474">
        <w:rPr>
          <w:rFonts w:eastAsia="Arial"/>
        </w:rPr>
        <w:t>sanctions</w:t>
      </w:r>
      <w:r w:rsidRPr="00700474">
        <w:t xml:space="preserve"> that neglect the unique social context of each criminal venture. According to participants, this criticism of the legal system is the cause for the rise in citizen vigilantism groups, where citizens impose </w:t>
      </w:r>
      <w:r w:rsidRPr="00700474">
        <w:rPr>
          <w:rFonts w:eastAsia="Arial"/>
        </w:rPr>
        <w:t>sanctions</w:t>
      </w:r>
      <w:r w:rsidRPr="00700474">
        <w:t xml:space="preserve"> on offenders or seek justice on their terms through illegal practices, such as mob justice, without recourse to legal procedure. Meanwhile, some 65 percent of participants considered Ghana’s criminal legal </w:t>
      </w:r>
      <w:r w:rsidRPr="00700474">
        <w:rPr>
          <w:rFonts w:eastAsia="Arial"/>
        </w:rPr>
        <w:t>sanctions</w:t>
      </w:r>
      <w:r w:rsidRPr="00700474">
        <w:t xml:space="preserve"> to be useful to the extent that it ensures rehabilitation and helps incapacitate offenders. Three percent (3%) of the participants asserted that </w:t>
      </w:r>
      <w:r w:rsidRPr="00700474">
        <w:rPr>
          <w:rFonts w:eastAsia="Arial"/>
        </w:rPr>
        <w:t>sanctions</w:t>
      </w:r>
      <w:r w:rsidRPr="00700474">
        <w:t xml:space="preserve"> are effective and ineffective as it may sometimes be counterproductive. Thus, they </w:t>
      </w:r>
      <w:r w:rsidR="00632973" w:rsidRPr="00700474">
        <w:t>advocated</w:t>
      </w:r>
      <w:r w:rsidRPr="00700474">
        <w:t xml:space="preserve"> alternative measures, such as counselling, in some cases.</w:t>
      </w:r>
    </w:p>
    <w:p w14:paraId="7EF659FF" w14:textId="77777777" w:rsidR="00B0127F" w:rsidRPr="00700474" w:rsidRDefault="00B0127F">
      <w:pPr>
        <w:spacing w:after="160" w:line="259" w:lineRule="auto"/>
        <w:jc w:val="left"/>
        <w:rPr>
          <w:rFonts w:eastAsiaTheme="majorEastAsia"/>
          <w:b/>
          <w:bCs/>
        </w:rPr>
      </w:pPr>
      <w:r w:rsidRPr="00700474">
        <w:rPr>
          <w:b/>
          <w:bCs/>
        </w:rPr>
        <w:br w:type="page"/>
      </w:r>
    </w:p>
    <w:p w14:paraId="71549D19" w14:textId="77777777" w:rsidR="000210DC" w:rsidRPr="00700474" w:rsidRDefault="005A68CE" w:rsidP="00F52300">
      <w:pPr>
        <w:pStyle w:val="Heading1"/>
        <w:spacing w:before="0" w:after="0"/>
        <w:rPr>
          <w:rFonts w:ascii="Times New Roman" w:hAnsi="Times New Roman" w:cs="Times New Roman"/>
          <w:b/>
          <w:bCs/>
          <w:color w:val="000000" w:themeColor="text1"/>
          <w:sz w:val="24"/>
          <w:szCs w:val="24"/>
        </w:rPr>
      </w:pPr>
      <w:bookmarkStart w:id="20" w:name="_Toc204092874"/>
      <w:r w:rsidRPr="00700474">
        <w:rPr>
          <w:rFonts w:ascii="Times New Roman" w:hAnsi="Times New Roman" w:cs="Times New Roman"/>
          <w:b/>
          <w:bCs/>
          <w:color w:val="000000" w:themeColor="text1"/>
          <w:sz w:val="24"/>
          <w:szCs w:val="24"/>
        </w:rPr>
        <w:lastRenderedPageBreak/>
        <w:t>CHAPTER FIVE</w:t>
      </w:r>
      <w:bookmarkEnd w:id="20"/>
      <w:r w:rsidR="000210DC" w:rsidRPr="00700474">
        <w:rPr>
          <w:rFonts w:ascii="Times New Roman" w:hAnsi="Times New Roman" w:cs="Times New Roman"/>
          <w:b/>
          <w:bCs/>
          <w:color w:val="000000" w:themeColor="text1"/>
          <w:sz w:val="24"/>
          <w:szCs w:val="24"/>
        </w:rPr>
        <w:t xml:space="preserve"> </w:t>
      </w:r>
    </w:p>
    <w:p w14:paraId="4A24B206" w14:textId="4104D462" w:rsidR="005A68CE" w:rsidRPr="00700474" w:rsidRDefault="005A68CE" w:rsidP="00F52300">
      <w:pPr>
        <w:pStyle w:val="Heading1"/>
        <w:spacing w:before="0" w:after="0"/>
        <w:rPr>
          <w:rFonts w:ascii="Times New Roman" w:hAnsi="Times New Roman" w:cs="Times New Roman"/>
          <w:b/>
          <w:bCs/>
          <w:color w:val="000000" w:themeColor="text1"/>
          <w:sz w:val="24"/>
          <w:szCs w:val="24"/>
        </w:rPr>
      </w:pPr>
      <w:bookmarkStart w:id="21" w:name="_Toc204092875"/>
      <w:r w:rsidRPr="00700474">
        <w:rPr>
          <w:rFonts w:ascii="Times New Roman" w:hAnsi="Times New Roman" w:cs="Times New Roman"/>
          <w:b/>
          <w:bCs/>
          <w:color w:val="000000" w:themeColor="text1"/>
          <w:sz w:val="24"/>
          <w:szCs w:val="24"/>
        </w:rPr>
        <w:t>FINDINGS: INFORMAL SANCTIONS</w:t>
      </w:r>
      <w:bookmarkEnd w:id="21"/>
    </w:p>
    <w:p w14:paraId="60018455" w14:textId="21C0C5EE" w:rsidR="00B0127F" w:rsidRPr="00700474" w:rsidRDefault="00B0127F" w:rsidP="00F52300">
      <w:pPr>
        <w:jc w:val="left"/>
      </w:pPr>
      <w:r w:rsidRPr="00700474">
        <w:t xml:space="preserve">In chapter four, I explored the participants’ perceptions of Ghana’s legal sanctions. This chapter delves into participants’ attitudes towards informal sanctions in Ghana. According to Claridge (2020:1), sanctions can be enacted by any individual or group and are informal when the sanctioner has no formal enforcement role and does not use formal enforcement systems. Informal sanctions arise from social interactions and community norms rather than formal legal codes. Informal sanctions may be objectionable but not criminalized. Examples include corporal </w:t>
      </w:r>
      <w:r w:rsidR="0084122C" w:rsidRPr="00700474">
        <w:t>punishment</w:t>
      </w:r>
      <w:r w:rsidRPr="00700474">
        <w:t xml:space="preserve">, social ostracism, public shaming, and exclusion from group activities. The importance of informal sanctions stems from the fact that explicit, enforceable contracts do not govern most of our daily interactions but by informal agreements and social norms upheld by informal sanctions (Falk et al., 2000; Claridge, 2020). </w:t>
      </w:r>
    </w:p>
    <w:p w14:paraId="353E8E3E" w14:textId="758BACD5" w:rsidR="00B0127F" w:rsidRPr="00700474" w:rsidRDefault="00B0127F" w:rsidP="00F52300">
      <w:pPr>
        <w:ind w:firstLine="720"/>
        <w:jc w:val="left"/>
      </w:pPr>
      <w:r w:rsidRPr="00700474">
        <w:t xml:space="preserve">In Ghana, informal sanctions have a long history deeply rooted in traditional customs and practices, forming an integral part of the cultural and social fabric of communities. In the pre-colonial era, disputes were </w:t>
      </w:r>
      <w:r w:rsidR="004029BB" w:rsidRPr="00700474">
        <w:t>resolved,</w:t>
      </w:r>
      <w:r w:rsidRPr="00700474">
        <w:t xml:space="preserve"> and sanctions were imposed by traditional leaders such as chiefs and elders, who held significant authority and influence, guided by customary laws. However, the advent of European colonial powers introduced formal legal systems that often conflicted with these traditional practices, resulting in a complex dual system with tensions and inconsistencies. Despite the establishment of formal legal systems, many Ghanaian communities continue to rely on traditional practices and informal sanctions to resolve disputes and maintain order. This historical context is crucial for understanding the participants' perspective, as they viewed informal sanctions as a means of maintaining social order and, importantly, as their ‘own’ </w:t>
      </w:r>
      <w:r w:rsidRPr="00700474">
        <w:lastRenderedPageBreak/>
        <w:t xml:space="preserve">form of punishment before the Europeans introduced sanctions such as imprisonment and flogging (Seidman 1966). </w:t>
      </w:r>
    </w:p>
    <w:p w14:paraId="32924C19" w14:textId="442314BD" w:rsidR="002A7674" w:rsidRDefault="00B0127F" w:rsidP="00B217D0">
      <w:pPr>
        <w:ind w:firstLine="720"/>
        <w:jc w:val="left"/>
      </w:pPr>
      <w:r w:rsidRPr="00700474">
        <w:t xml:space="preserve">Consequently. </w:t>
      </w:r>
      <w:bookmarkStart w:id="22" w:name="_Hlk194205622"/>
      <w:r w:rsidRPr="00700474">
        <w:t xml:space="preserve">most (90%) of the people I interviewed expressed approval for using informal sanctions, with just 10 percent sharing the review that it is </w:t>
      </w:r>
      <w:bookmarkEnd w:id="22"/>
      <w:r w:rsidR="00AF1BC2" w:rsidRPr="00700474">
        <w:t>counterproductive</w:t>
      </w:r>
      <w:r w:rsidR="00F52300">
        <w:t xml:space="preserve"> (</w:t>
      </w:r>
      <w:r w:rsidR="00F52300" w:rsidRPr="00F52300">
        <w:rPr>
          <w:b/>
          <w:bCs/>
        </w:rPr>
        <w:t>Table 3</w:t>
      </w:r>
      <w:r w:rsidR="00F52300">
        <w:t>)</w:t>
      </w:r>
      <w:r w:rsidRPr="00700474">
        <w:t xml:space="preserve">. In the ensuing pages, I discuss the various (a) statements in favor of informal sanctions then (b) statements against, including arguments for why informal sanctions are </w:t>
      </w:r>
      <w:r w:rsidR="00AF1BC2" w:rsidRPr="00700474">
        <w:t>counterproductive</w:t>
      </w:r>
      <w:r w:rsidR="002A7674" w:rsidRPr="00700474">
        <w:t>.</w:t>
      </w:r>
      <w:r w:rsidR="00B217D0" w:rsidRPr="00700474">
        <w:t xml:space="preserve"> </w:t>
      </w:r>
    </w:p>
    <w:p w14:paraId="7DA8260B" w14:textId="77777777" w:rsidR="00F52300" w:rsidRPr="00700474" w:rsidRDefault="00F52300" w:rsidP="00F52300">
      <w:pPr>
        <w:rPr>
          <w:b/>
          <w:bCs/>
        </w:rPr>
      </w:pPr>
      <w:r w:rsidRPr="00700474">
        <w:rPr>
          <w:b/>
          <w:bCs/>
        </w:rPr>
        <w:t>Perceptions: Informal Sanctions</w:t>
      </w:r>
    </w:p>
    <w:p w14:paraId="133252B2" w14:textId="36818633" w:rsidR="00F52300" w:rsidRPr="00700474" w:rsidRDefault="00F52300" w:rsidP="00F52300">
      <w:pPr>
        <w:jc w:val="left"/>
      </w:pPr>
      <w:r w:rsidRPr="00700474">
        <w:t>Before going to the field to collect data, I anticipated many conversations about informal sanctions, especially corporal punishment, in the home, schools and communities. This was because I grew up witnessing and learning that corporal punishment for child discipline were a normal component of child socialization in the home, community schools and, for that matter, Ghana. To the extent that it was permissible for a stranger to subject a child to canes if they witnessed the child break any societal norm without the parent or relatives of the child holding a grudge against the stranger, the idea of ensuring discipline was a communal project. My suspicion that many of the participants would have a lot to share about informal sanctions was confirmed, as 99 percent of my participants have personally been subjected to corporal</w:t>
      </w:r>
      <w:r w:rsidRPr="00F52300">
        <w:t xml:space="preserve"> </w:t>
      </w:r>
      <w:r w:rsidRPr="00700474">
        <w:t>punishment in the home, school or the community, with all participants observing it being inflicted on another child mostly in the school setting. Thus, participants had a lot of personal or observed stories and sentiments to share.</w:t>
      </w:r>
    </w:p>
    <w:p w14:paraId="0559982B" w14:textId="6464E5E6" w:rsidR="00F52300" w:rsidRPr="00700474" w:rsidRDefault="00F52300" w:rsidP="00F52300">
      <w:pPr>
        <w:ind w:firstLine="720"/>
        <w:jc w:val="left"/>
      </w:pPr>
      <w:r w:rsidRPr="00700474">
        <w:t>While I had to volunteer stories or prompt participants to share or discuss narratives about legal sanctions, all participants, at no prompt, shared stories about their diverse personal or observed experiences with informal sanctions (social ostracism, vigilantism, informal</w:t>
      </w:r>
      <w:r>
        <w:t xml:space="preserve"> community</w:t>
      </w:r>
      <w:r w:rsidRPr="00F52300">
        <w:t xml:space="preserve"> </w:t>
      </w:r>
      <w:r w:rsidRPr="00700474">
        <w:t>sanctions and corporal punishment). Before sharing their story,</w:t>
      </w:r>
      <w:r>
        <w:t xml:space="preserve"> most participants</w:t>
      </w:r>
    </w:p>
    <w:p w14:paraId="23674A2E" w14:textId="69952BB4" w:rsidR="001C6464" w:rsidRPr="00700474" w:rsidRDefault="001C6464" w:rsidP="00684B9A">
      <w:pPr>
        <w:spacing w:after="160" w:line="240" w:lineRule="auto"/>
        <w:jc w:val="both"/>
      </w:pPr>
      <w:bookmarkStart w:id="23" w:name="_Hlk203272052"/>
      <w:r w:rsidRPr="00700474">
        <w:rPr>
          <w:b/>
          <w:bCs/>
        </w:rPr>
        <w:lastRenderedPageBreak/>
        <w:t xml:space="preserve">Table 3: </w:t>
      </w:r>
      <w:r w:rsidRPr="00700474">
        <w:t>Participants’ Perceptions and Justifications of Informal Sanctions (N = 100)</w:t>
      </w:r>
    </w:p>
    <w:tbl>
      <w:tblPr>
        <w:tblStyle w:val="TableGrid"/>
        <w:tblW w:w="5000" w:type="pct"/>
        <w:tblLook w:val="04A0" w:firstRow="1" w:lastRow="0" w:firstColumn="1" w:lastColumn="0" w:noHBand="0" w:noVBand="1"/>
      </w:tblPr>
      <w:tblGrid>
        <w:gridCol w:w="2562"/>
        <w:gridCol w:w="3973"/>
        <w:gridCol w:w="1470"/>
        <w:gridCol w:w="1345"/>
      </w:tblGrid>
      <w:tr w:rsidR="003A7FB0" w:rsidRPr="00700474" w14:paraId="7F441B26" w14:textId="77777777" w:rsidTr="00F52300">
        <w:tc>
          <w:tcPr>
            <w:tcW w:w="1395" w:type="pct"/>
            <w:vAlign w:val="center"/>
          </w:tcPr>
          <w:p w14:paraId="503E9615" w14:textId="6BE65E0C" w:rsidR="001C6464" w:rsidRPr="00700474" w:rsidRDefault="001C6464" w:rsidP="00684B9A">
            <w:pPr>
              <w:spacing w:line="240" w:lineRule="auto"/>
              <w:jc w:val="left"/>
              <w:rPr>
                <w:b/>
                <w:bCs/>
              </w:rPr>
            </w:pPr>
            <w:r w:rsidRPr="00700474">
              <w:rPr>
                <w:b/>
                <w:bCs/>
              </w:rPr>
              <w:t>Category</w:t>
            </w:r>
          </w:p>
        </w:tc>
        <w:tc>
          <w:tcPr>
            <w:tcW w:w="2149" w:type="pct"/>
            <w:vAlign w:val="center"/>
          </w:tcPr>
          <w:p w14:paraId="0C108557" w14:textId="7FB2D0B1" w:rsidR="001C6464" w:rsidRPr="00700474" w:rsidRDefault="001C6464" w:rsidP="00684B9A">
            <w:pPr>
              <w:spacing w:line="240" w:lineRule="auto"/>
              <w:jc w:val="left"/>
              <w:rPr>
                <w:b/>
                <w:bCs/>
              </w:rPr>
            </w:pPr>
            <w:r w:rsidRPr="00700474">
              <w:rPr>
                <w:b/>
                <w:bCs/>
              </w:rPr>
              <w:t>Description</w:t>
            </w:r>
          </w:p>
        </w:tc>
        <w:tc>
          <w:tcPr>
            <w:tcW w:w="736" w:type="pct"/>
            <w:vAlign w:val="center"/>
          </w:tcPr>
          <w:p w14:paraId="70D808AF" w14:textId="09FD0A85" w:rsidR="001C6464" w:rsidRPr="00700474" w:rsidRDefault="001C6464" w:rsidP="00684B9A">
            <w:pPr>
              <w:spacing w:line="240" w:lineRule="auto"/>
              <w:jc w:val="left"/>
              <w:rPr>
                <w:b/>
                <w:bCs/>
              </w:rPr>
            </w:pPr>
            <w:r w:rsidRPr="00700474">
              <w:rPr>
                <w:b/>
                <w:bCs/>
              </w:rPr>
              <w:t>No. of Participants</w:t>
            </w:r>
          </w:p>
        </w:tc>
        <w:tc>
          <w:tcPr>
            <w:tcW w:w="721" w:type="pct"/>
            <w:vAlign w:val="center"/>
          </w:tcPr>
          <w:p w14:paraId="2AD2169D" w14:textId="4B89394D" w:rsidR="001C6464" w:rsidRPr="00700474" w:rsidRDefault="001C6464" w:rsidP="00684B9A">
            <w:pPr>
              <w:spacing w:line="240" w:lineRule="auto"/>
              <w:jc w:val="left"/>
              <w:rPr>
                <w:b/>
                <w:bCs/>
              </w:rPr>
            </w:pPr>
            <w:r w:rsidRPr="00700474">
              <w:rPr>
                <w:b/>
                <w:bCs/>
              </w:rPr>
              <w:t>Percentage (%)</w:t>
            </w:r>
          </w:p>
        </w:tc>
      </w:tr>
      <w:tr w:rsidR="003A7FB0" w:rsidRPr="00700474" w14:paraId="71DBAC1E" w14:textId="77777777" w:rsidTr="00F52300">
        <w:trPr>
          <w:trHeight w:val="800"/>
        </w:trPr>
        <w:tc>
          <w:tcPr>
            <w:tcW w:w="1395" w:type="pct"/>
            <w:vAlign w:val="center"/>
          </w:tcPr>
          <w:p w14:paraId="72D2820E" w14:textId="19A973E0" w:rsidR="001C6464" w:rsidRPr="00700474" w:rsidRDefault="001C6464" w:rsidP="00684B9A">
            <w:pPr>
              <w:spacing w:line="240" w:lineRule="auto"/>
              <w:jc w:val="left"/>
              <w:rPr>
                <w:b/>
                <w:bCs/>
              </w:rPr>
            </w:pPr>
            <w:r w:rsidRPr="00700474">
              <w:t>General Endorsement</w:t>
            </w:r>
          </w:p>
        </w:tc>
        <w:tc>
          <w:tcPr>
            <w:tcW w:w="2149" w:type="pct"/>
            <w:vAlign w:val="center"/>
          </w:tcPr>
          <w:p w14:paraId="10D439AA" w14:textId="7BA34213" w:rsidR="001C6464" w:rsidRPr="00700474" w:rsidRDefault="001C6464" w:rsidP="00684B9A">
            <w:pPr>
              <w:spacing w:line="240" w:lineRule="auto"/>
              <w:jc w:val="left"/>
              <w:rPr>
                <w:b/>
                <w:bCs/>
              </w:rPr>
            </w:pPr>
            <w:r w:rsidRPr="00700474">
              <w:t xml:space="preserve">Informal (corporal) </w:t>
            </w:r>
            <w:r w:rsidR="0084122C" w:rsidRPr="00700474">
              <w:t>punishment</w:t>
            </w:r>
            <w:r w:rsidRPr="00700474">
              <w:t xml:space="preserve"> effective</w:t>
            </w:r>
          </w:p>
        </w:tc>
        <w:tc>
          <w:tcPr>
            <w:tcW w:w="736" w:type="pct"/>
            <w:vAlign w:val="center"/>
          </w:tcPr>
          <w:p w14:paraId="38B4FBDC" w14:textId="697BD408" w:rsidR="001C6464" w:rsidRPr="00700474" w:rsidRDefault="001C6464" w:rsidP="00684B9A">
            <w:pPr>
              <w:spacing w:line="240" w:lineRule="auto"/>
              <w:jc w:val="left"/>
              <w:rPr>
                <w:b/>
                <w:bCs/>
              </w:rPr>
            </w:pPr>
            <w:r w:rsidRPr="00700474">
              <w:t>90</w:t>
            </w:r>
          </w:p>
        </w:tc>
        <w:tc>
          <w:tcPr>
            <w:tcW w:w="721" w:type="pct"/>
            <w:vAlign w:val="center"/>
          </w:tcPr>
          <w:p w14:paraId="122EFD3E" w14:textId="4E82335D" w:rsidR="001C6464" w:rsidRPr="00700474" w:rsidRDefault="001C6464" w:rsidP="00684B9A">
            <w:pPr>
              <w:spacing w:line="240" w:lineRule="auto"/>
              <w:jc w:val="left"/>
              <w:rPr>
                <w:b/>
                <w:bCs/>
              </w:rPr>
            </w:pPr>
            <w:r w:rsidRPr="00700474">
              <w:t>90%</w:t>
            </w:r>
          </w:p>
        </w:tc>
      </w:tr>
      <w:tr w:rsidR="003A7FB0" w:rsidRPr="00700474" w14:paraId="75BAE7AB" w14:textId="77777777" w:rsidTr="00F52300">
        <w:trPr>
          <w:trHeight w:val="881"/>
        </w:trPr>
        <w:tc>
          <w:tcPr>
            <w:tcW w:w="1395" w:type="pct"/>
            <w:vAlign w:val="center"/>
          </w:tcPr>
          <w:p w14:paraId="1E789E59" w14:textId="3275B7C6" w:rsidR="001C6464" w:rsidRPr="00700474" w:rsidRDefault="001C6464" w:rsidP="00684B9A">
            <w:pPr>
              <w:spacing w:line="240" w:lineRule="auto"/>
              <w:jc w:val="left"/>
              <w:rPr>
                <w:b/>
                <w:bCs/>
              </w:rPr>
            </w:pPr>
            <w:r w:rsidRPr="00700474">
              <w:t>Perceived Ineffectiveness</w:t>
            </w:r>
          </w:p>
        </w:tc>
        <w:tc>
          <w:tcPr>
            <w:tcW w:w="2149" w:type="pct"/>
            <w:vAlign w:val="center"/>
          </w:tcPr>
          <w:p w14:paraId="145F6CF7" w14:textId="55CDA1F2" w:rsidR="001C6464" w:rsidRPr="00700474" w:rsidRDefault="001C6464" w:rsidP="00684B9A">
            <w:pPr>
              <w:spacing w:line="240" w:lineRule="auto"/>
              <w:jc w:val="left"/>
              <w:rPr>
                <w:b/>
                <w:bCs/>
              </w:rPr>
            </w:pPr>
            <w:r w:rsidRPr="00700474">
              <w:t xml:space="preserve">Corporal </w:t>
            </w:r>
            <w:r w:rsidR="0084122C" w:rsidRPr="00700474">
              <w:t>punishments</w:t>
            </w:r>
            <w:r w:rsidRPr="00700474">
              <w:t xml:space="preserve"> are ineffective</w:t>
            </w:r>
          </w:p>
        </w:tc>
        <w:tc>
          <w:tcPr>
            <w:tcW w:w="736" w:type="pct"/>
            <w:vAlign w:val="center"/>
          </w:tcPr>
          <w:p w14:paraId="2BE3EEC9" w14:textId="58DF775E" w:rsidR="001C6464" w:rsidRPr="00700474" w:rsidRDefault="001C6464" w:rsidP="00684B9A">
            <w:pPr>
              <w:spacing w:line="240" w:lineRule="auto"/>
              <w:jc w:val="left"/>
              <w:rPr>
                <w:b/>
                <w:bCs/>
              </w:rPr>
            </w:pPr>
            <w:r w:rsidRPr="00700474">
              <w:t>10</w:t>
            </w:r>
          </w:p>
        </w:tc>
        <w:tc>
          <w:tcPr>
            <w:tcW w:w="721" w:type="pct"/>
            <w:vAlign w:val="center"/>
          </w:tcPr>
          <w:p w14:paraId="624C718E" w14:textId="0FF32EAA" w:rsidR="001C6464" w:rsidRPr="00700474" w:rsidRDefault="001C6464" w:rsidP="00684B9A">
            <w:pPr>
              <w:spacing w:line="240" w:lineRule="auto"/>
              <w:jc w:val="left"/>
              <w:rPr>
                <w:b/>
                <w:bCs/>
              </w:rPr>
            </w:pPr>
            <w:r w:rsidRPr="00700474">
              <w:t>10%</w:t>
            </w:r>
          </w:p>
        </w:tc>
      </w:tr>
      <w:tr w:rsidR="001C6464" w:rsidRPr="00700474" w14:paraId="35BF414A" w14:textId="77777777" w:rsidTr="00F52300">
        <w:trPr>
          <w:trHeight w:val="809"/>
        </w:trPr>
        <w:tc>
          <w:tcPr>
            <w:tcW w:w="1395" w:type="pct"/>
            <w:vAlign w:val="center"/>
          </w:tcPr>
          <w:p w14:paraId="1E568D33" w14:textId="43F9EA05" w:rsidR="001C6464" w:rsidRPr="00700474" w:rsidRDefault="001C6464" w:rsidP="00684B9A">
            <w:pPr>
              <w:spacing w:line="240" w:lineRule="auto"/>
              <w:jc w:val="left"/>
              <w:rPr>
                <w:b/>
                <w:bCs/>
              </w:rPr>
            </w:pPr>
            <w:r w:rsidRPr="00700474">
              <w:t>Religious Justification</w:t>
            </w:r>
          </w:p>
        </w:tc>
        <w:tc>
          <w:tcPr>
            <w:tcW w:w="2149" w:type="pct"/>
            <w:vAlign w:val="center"/>
          </w:tcPr>
          <w:p w14:paraId="79739D96" w14:textId="3F8CAF0A" w:rsidR="001C6464" w:rsidRPr="00700474" w:rsidRDefault="001C6464" w:rsidP="00684B9A">
            <w:pPr>
              <w:spacing w:line="240" w:lineRule="auto"/>
              <w:jc w:val="left"/>
              <w:rPr>
                <w:b/>
                <w:bCs/>
              </w:rPr>
            </w:pPr>
            <w:r w:rsidRPr="00700474">
              <w:t xml:space="preserve">Corporal </w:t>
            </w:r>
            <w:r w:rsidR="0084122C" w:rsidRPr="00700474">
              <w:t>punishments</w:t>
            </w:r>
            <w:r w:rsidRPr="00700474">
              <w:t xml:space="preserve"> are Biblical </w:t>
            </w:r>
          </w:p>
        </w:tc>
        <w:tc>
          <w:tcPr>
            <w:tcW w:w="736" w:type="pct"/>
            <w:vAlign w:val="center"/>
          </w:tcPr>
          <w:p w14:paraId="63718F4E" w14:textId="69B35A1E" w:rsidR="001C6464" w:rsidRPr="00700474" w:rsidRDefault="001C6464" w:rsidP="00684B9A">
            <w:pPr>
              <w:spacing w:line="240" w:lineRule="auto"/>
              <w:jc w:val="left"/>
              <w:rPr>
                <w:b/>
                <w:bCs/>
              </w:rPr>
            </w:pPr>
            <w:r w:rsidRPr="00700474">
              <w:t>10</w:t>
            </w:r>
          </w:p>
        </w:tc>
        <w:tc>
          <w:tcPr>
            <w:tcW w:w="721" w:type="pct"/>
            <w:vAlign w:val="center"/>
          </w:tcPr>
          <w:p w14:paraId="1693A171" w14:textId="20951647" w:rsidR="001C6464" w:rsidRPr="00700474" w:rsidRDefault="001C6464" w:rsidP="00684B9A">
            <w:pPr>
              <w:spacing w:line="240" w:lineRule="auto"/>
              <w:jc w:val="left"/>
              <w:rPr>
                <w:b/>
                <w:bCs/>
              </w:rPr>
            </w:pPr>
            <w:r w:rsidRPr="00700474">
              <w:t>10%</w:t>
            </w:r>
          </w:p>
        </w:tc>
      </w:tr>
      <w:tr w:rsidR="001C6464" w:rsidRPr="00700474" w14:paraId="19B4CBBF" w14:textId="77777777" w:rsidTr="00F52300">
        <w:trPr>
          <w:trHeight w:val="890"/>
        </w:trPr>
        <w:tc>
          <w:tcPr>
            <w:tcW w:w="1395" w:type="pct"/>
            <w:vAlign w:val="center"/>
          </w:tcPr>
          <w:p w14:paraId="0538779F" w14:textId="0FC45234" w:rsidR="001C6464" w:rsidRPr="00700474" w:rsidRDefault="001C6464" w:rsidP="00684B9A">
            <w:pPr>
              <w:spacing w:line="240" w:lineRule="auto"/>
              <w:jc w:val="left"/>
              <w:rPr>
                <w:b/>
                <w:bCs/>
              </w:rPr>
            </w:pPr>
            <w:r w:rsidRPr="00700474">
              <w:t>Justice and Punishment</w:t>
            </w:r>
          </w:p>
        </w:tc>
        <w:tc>
          <w:tcPr>
            <w:tcW w:w="2149" w:type="pct"/>
            <w:vAlign w:val="center"/>
          </w:tcPr>
          <w:p w14:paraId="6251CA07" w14:textId="3580A776" w:rsidR="001C6464" w:rsidRPr="00700474" w:rsidRDefault="001C6464" w:rsidP="00684B9A">
            <w:pPr>
              <w:spacing w:line="240" w:lineRule="auto"/>
              <w:jc w:val="left"/>
              <w:rPr>
                <w:b/>
                <w:bCs/>
              </w:rPr>
            </w:pPr>
            <w:r w:rsidRPr="00700474">
              <w:t xml:space="preserve">Corporal </w:t>
            </w:r>
            <w:r w:rsidR="0084122C" w:rsidRPr="00700474">
              <w:t>punishment</w:t>
            </w:r>
            <w:r w:rsidRPr="00700474">
              <w:t xml:space="preserve"> guarantee retribution </w:t>
            </w:r>
          </w:p>
        </w:tc>
        <w:tc>
          <w:tcPr>
            <w:tcW w:w="736" w:type="pct"/>
            <w:vAlign w:val="center"/>
          </w:tcPr>
          <w:p w14:paraId="76C06261" w14:textId="7BC6D1A1" w:rsidR="001C6464" w:rsidRPr="00700474" w:rsidRDefault="001C6464" w:rsidP="00684B9A">
            <w:pPr>
              <w:spacing w:line="240" w:lineRule="auto"/>
              <w:jc w:val="left"/>
              <w:rPr>
                <w:b/>
                <w:bCs/>
              </w:rPr>
            </w:pPr>
            <w:r w:rsidRPr="00700474">
              <w:t>20</w:t>
            </w:r>
          </w:p>
        </w:tc>
        <w:tc>
          <w:tcPr>
            <w:tcW w:w="721" w:type="pct"/>
            <w:vAlign w:val="center"/>
          </w:tcPr>
          <w:p w14:paraId="4D8B1C66" w14:textId="1564FA36" w:rsidR="001C6464" w:rsidRPr="00700474" w:rsidRDefault="001C6464" w:rsidP="00684B9A">
            <w:pPr>
              <w:spacing w:line="240" w:lineRule="auto"/>
              <w:jc w:val="left"/>
              <w:rPr>
                <w:b/>
                <w:bCs/>
              </w:rPr>
            </w:pPr>
            <w:r w:rsidRPr="00700474">
              <w:t>20%</w:t>
            </w:r>
          </w:p>
        </w:tc>
      </w:tr>
      <w:tr w:rsidR="001C6464" w:rsidRPr="00700474" w14:paraId="72AFB26A" w14:textId="77777777" w:rsidTr="00F52300">
        <w:tc>
          <w:tcPr>
            <w:tcW w:w="1395" w:type="pct"/>
            <w:vAlign w:val="center"/>
          </w:tcPr>
          <w:p w14:paraId="47F92BA3" w14:textId="5B998CA7" w:rsidR="001C6464" w:rsidRPr="00700474" w:rsidRDefault="001C6464" w:rsidP="00684B9A">
            <w:pPr>
              <w:spacing w:line="240" w:lineRule="auto"/>
              <w:jc w:val="left"/>
              <w:rPr>
                <w:b/>
                <w:bCs/>
              </w:rPr>
            </w:pPr>
            <w:r w:rsidRPr="00700474">
              <w:t>Deterrence and Reform</w:t>
            </w:r>
          </w:p>
        </w:tc>
        <w:tc>
          <w:tcPr>
            <w:tcW w:w="2149" w:type="pct"/>
            <w:vAlign w:val="center"/>
          </w:tcPr>
          <w:p w14:paraId="3D0BF078" w14:textId="05ED23DD" w:rsidR="001C6464" w:rsidRPr="00700474" w:rsidRDefault="001C6464" w:rsidP="00684B9A">
            <w:pPr>
              <w:spacing w:line="240" w:lineRule="auto"/>
              <w:jc w:val="left"/>
              <w:rPr>
                <w:b/>
                <w:bCs/>
              </w:rPr>
            </w:pPr>
            <w:r w:rsidRPr="00700474">
              <w:t xml:space="preserve">Corporal </w:t>
            </w:r>
            <w:r w:rsidR="0084122C" w:rsidRPr="00700474">
              <w:t>punishments</w:t>
            </w:r>
            <w:r w:rsidRPr="00700474">
              <w:t xml:space="preserve"> deter bad behavior, reforms and corrects misconduct</w:t>
            </w:r>
          </w:p>
        </w:tc>
        <w:tc>
          <w:tcPr>
            <w:tcW w:w="736" w:type="pct"/>
            <w:vAlign w:val="center"/>
          </w:tcPr>
          <w:p w14:paraId="0E1506C9" w14:textId="557A7CF7" w:rsidR="001C6464" w:rsidRPr="00700474" w:rsidRDefault="001C6464" w:rsidP="00684B9A">
            <w:pPr>
              <w:spacing w:line="240" w:lineRule="auto"/>
              <w:jc w:val="left"/>
              <w:rPr>
                <w:b/>
                <w:bCs/>
              </w:rPr>
            </w:pPr>
            <w:r w:rsidRPr="00700474">
              <w:t>24</w:t>
            </w:r>
          </w:p>
        </w:tc>
        <w:tc>
          <w:tcPr>
            <w:tcW w:w="721" w:type="pct"/>
            <w:vAlign w:val="center"/>
          </w:tcPr>
          <w:p w14:paraId="57B202AB" w14:textId="5718E154" w:rsidR="001C6464" w:rsidRPr="00700474" w:rsidRDefault="001C6464" w:rsidP="00684B9A">
            <w:pPr>
              <w:spacing w:line="240" w:lineRule="auto"/>
              <w:jc w:val="left"/>
              <w:rPr>
                <w:b/>
                <w:bCs/>
              </w:rPr>
            </w:pPr>
            <w:r w:rsidRPr="00700474">
              <w:t>24%</w:t>
            </w:r>
          </w:p>
        </w:tc>
      </w:tr>
      <w:tr w:rsidR="001C6464" w:rsidRPr="00700474" w14:paraId="1BB61BCE" w14:textId="77777777" w:rsidTr="00F52300">
        <w:tc>
          <w:tcPr>
            <w:tcW w:w="1395" w:type="pct"/>
            <w:vAlign w:val="center"/>
          </w:tcPr>
          <w:p w14:paraId="595C8BF6" w14:textId="079B700F" w:rsidR="001C6464" w:rsidRPr="00700474" w:rsidRDefault="001C6464" w:rsidP="00684B9A">
            <w:pPr>
              <w:spacing w:line="240" w:lineRule="auto"/>
              <w:jc w:val="left"/>
              <w:rPr>
                <w:b/>
                <w:bCs/>
              </w:rPr>
            </w:pPr>
            <w:r w:rsidRPr="00700474">
              <w:t>Contextual Effectiveness with Ambivalence</w:t>
            </w:r>
          </w:p>
        </w:tc>
        <w:tc>
          <w:tcPr>
            <w:tcW w:w="2149" w:type="pct"/>
            <w:vAlign w:val="center"/>
          </w:tcPr>
          <w:p w14:paraId="4E723528" w14:textId="3F2F8A33" w:rsidR="001C6464" w:rsidRPr="00700474" w:rsidRDefault="001C6464" w:rsidP="00684B9A">
            <w:pPr>
              <w:spacing w:line="240" w:lineRule="auto"/>
              <w:jc w:val="left"/>
              <w:rPr>
                <w:b/>
                <w:bCs/>
              </w:rPr>
            </w:pPr>
            <w:r w:rsidRPr="00700474">
              <w:t xml:space="preserve">Corporal </w:t>
            </w:r>
            <w:r w:rsidR="0084122C" w:rsidRPr="00700474">
              <w:t>punishment</w:t>
            </w:r>
            <w:r w:rsidRPr="00700474">
              <w:t>s are effective but hesitant to use due to legal/religious factors</w:t>
            </w:r>
          </w:p>
        </w:tc>
        <w:tc>
          <w:tcPr>
            <w:tcW w:w="736" w:type="pct"/>
            <w:vAlign w:val="center"/>
          </w:tcPr>
          <w:p w14:paraId="0E6E22BD" w14:textId="73A6BFDC" w:rsidR="001C6464" w:rsidRPr="00700474" w:rsidRDefault="001C6464" w:rsidP="00684B9A">
            <w:pPr>
              <w:spacing w:line="240" w:lineRule="auto"/>
              <w:jc w:val="left"/>
              <w:rPr>
                <w:b/>
                <w:bCs/>
              </w:rPr>
            </w:pPr>
            <w:r w:rsidRPr="00700474">
              <w:t>26</w:t>
            </w:r>
          </w:p>
        </w:tc>
        <w:tc>
          <w:tcPr>
            <w:tcW w:w="721" w:type="pct"/>
            <w:vAlign w:val="center"/>
          </w:tcPr>
          <w:p w14:paraId="32377305" w14:textId="5F1B5295" w:rsidR="001C6464" w:rsidRPr="00700474" w:rsidRDefault="001C6464" w:rsidP="00684B9A">
            <w:pPr>
              <w:spacing w:line="240" w:lineRule="auto"/>
              <w:jc w:val="left"/>
              <w:rPr>
                <w:b/>
                <w:bCs/>
              </w:rPr>
            </w:pPr>
            <w:r w:rsidRPr="00700474">
              <w:t>26%</w:t>
            </w:r>
          </w:p>
        </w:tc>
      </w:tr>
      <w:tr w:rsidR="001C6464" w:rsidRPr="00700474" w14:paraId="6098F77D" w14:textId="77777777" w:rsidTr="00F52300">
        <w:tc>
          <w:tcPr>
            <w:tcW w:w="1395" w:type="pct"/>
            <w:vAlign w:val="center"/>
          </w:tcPr>
          <w:p w14:paraId="34556762" w14:textId="7130E68B" w:rsidR="001C6464" w:rsidRPr="00700474" w:rsidRDefault="001C6464" w:rsidP="00684B9A">
            <w:pPr>
              <w:spacing w:line="240" w:lineRule="auto"/>
              <w:jc w:val="left"/>
              <w:rPr>
                <w:b/>
                <w:bCs/>
              </w:rPr>
            </w:pPr>
            <w:r w:rsidRPr="00700474">
              <w:t>Ethical/Alternative Concerns</w:t>
            </w:r>
          </w:p>
        </w:tc>
        <w:tc>
          <w:tcPr>
            <w:tcW w:w="2149" w:type="pct"/>
            <w:vAlign w:val="center"/>
          </w:tcPr>
          <w:p w14:paraId="4B6BE142" w14:textId="68909077" w:rsidR="001C6464" w:rsidRPr="00700474" w:rsidRDefault="001C6464" w:rsidP="00684B9A">
            <w:pPr>
              <w:spacing w:line="240" w:lineRule="auto"/>
              <w:jc w:val="left"/>
              <w:rPr>
                <w:b/>
                <w:bCs/>
              </w:rPr>
            </w:pPr>
            <w:r w:rsidRPr="00700474">
              <w:t xml:space="preserve">Corporal </w:t>
            </w:r>
            <w:r w:rsidR="0084122C" w:rsidRPr="00700474">
              <w:t>punishment</w:t>
            </w:r>
            <w:r w:rsidRPr="00700474">
              <w:t>s are effective but hesitant to use due to due to ethical and psychological concerns</w:t>
            </w:r>
          </w:p>
        </w:tc>
        <w:tc>
          <w:tcPr>
            <w:tcW w:w="736" w:type="pct"/>
            <w:vAlign w:val="center"/>
          </w:tcPr>
          <w:p w14:paraId="04AD85D6" w14:textId="0F55BC31" w:rsidR="001C6464" w:rsidRPr="00700474" w:rsidRDefault="001C6464" w:rsidP="00684B9A">
            <w:pPr>
              <w:spacing w:line="240" w:lineRule="auto"/>
              <w:jc w:val="left"/>
              <w:rPr>
                <w:b/>
                <w:bCs/>
              </w:rPr>
            </w:pPr>
            <w:r w:rsidRPr="00700474">
              <w:t>9</w:t>
            </w:r>
          </w:p>
        </w:tc>
        <w:tc>
          <w:tcPr>
            <w:tcW w:w="721" w:type="pct"/>
            <w:vAlign w:val="center"/>
          </w:tcPr>
          <w:p w14:paraId="0FF40297" w14:textId="6721582C" w:rsidR="001C6464" w:rsidRPr="00700474" w:rsidRDefault="001C6464" w:rsidP="00684B9A">
            <w:pPr>
              <w:spacing w:line="240" w:lineRule="auto"/>
              <w:jc w:val="left"/>
              <w:rPr>
                <w:b/>
                <w:bCs/>
              </w:rPr>
            </w:pPr>
            <w:r w:rsidRPr="00700474">
              <w:t>9%</w:t>
            </w:r>
          </w:p>
        </w:tc>
      </w:tr>
    </w:tbl>
    <w:p w14:paraId="079BFB4C" w14:textId="77777777" w:rsidR="002A7674" w:rsidRPr="00700474" w:rsidRDefault="002A7674" w:rsidP="00684B9A">
      <w:pPr>
        <w:spacing w:line="240" w:lineRule="auto"/>
        <w:ind w:firstLine="720"/>
        <w:jc w:val="left"/>
        <w:rPr>
          <w:b/>
          <w:bCs/>
        </w:rPr>
      </w:pPr>
    </w:p>
    <w:bookmarkEnd w:id="23"/>
    <w:p w14:paraId="62CC9937" w14:textId="77777777" w:rsidR="00F52300" w:rsidRDefault="00F52300" w:rsidP="00F52300">
      <w:pPr>
        <w:jc w:val="left"/>
      </w:pPr>
    </w:p>
    <w:p w14:paraId="5AE13A10" w14:textId="77777777" w:rsidR="00F52300" w:rsidRDefault="00F52300" w:rsidP="00F52300">
      <w:pPr>
        <w:jc w:val="left"/>
      </w:pPr>
    </w:p>
    <w:p w14:paraId="1C4D7E5C" w14:textId="77777777" w:rsidR="00F52300" w:rsidRDefault="00F52300" w:rsidP="00F52300">
      <w:pPr>
        <w:jc w:val="left"/>
      </w:pPr>
    </w:p>
    <w:p w14:paraId="542836CF" w14:textId="77777777" w:rsidR="00F52300" w:rsidRDefault="00F52300" w:rsidP="00F52300">
      <w:pPr>
        <w:jc w:val="left"/>
      </w:pPr>
    </w:p>
    <w:p w14:paraId="0E6B4D90" w14:textId="77777777" w:rsidR="00F52300" w:rsidRDefault="00F52300" w:rsidP="00F52300">
      <w:pPr>
        <w:jc w:val="left"/>
      </w:pPr>
    </w:p>
    <w:p w14:paraId="0938E2F5" w14:textId="77777777" w:rsidR="00F52300" w:rsidRDefault="00F52300" w:rsidP="00F52300">
      <w:pPr>
        <w:jc w:val="left"/>
      </w:pPr>
    </w:p>
    <w:p w14:paraId="2B947CE4" w14:textId="77777777" w:rsidR="00F52300" w:rsidRDefault="00F52300" w:rsidP="00F52300">
      <w:pPr>
        <w:jc w:val="left"/>
      </w:pPr>
    </w:p>
    <w:p w14:paraId="51673C9F" w14:textId="77777777" w:rsidR="00F52300" w:rsidRDefault="00F52300" w:rsidP="00F52300">
      <w:pPr>
        <w:jc w:val="left"/>
      </w:pPr>
    </w:p>
    <w:p w14:paraId="4CBE6ECB" w14:textId="77777777" w:rsidR="00F52300" w:rsidRDefault="00F52300" w:rsidP="00F52300">
      <w:pPr>
        <w:jc w:val="left"/>
      </w:pPr>
    </w:p>
    <w:p w14:paraId="6CBB2142" w14:textId="1E0296EE" w:rsidR="00B0127F" w:rsidRPr="00700474" w:rsidRDefault="00B0127F" w:rsidP="00F52300">
      <w:pPr>
        <w:jc w:val="left"/>
      </w:pPr>
      <w:r w:rsidRPr="00700474">
        <w:lastRenderedPageBreak/>
        <w:t xml:space="preserve">would say, “ I have several personal experiences on corporal </w:t>
      </w:r>
      <w:r w:rsidR="0084122C" w:rsidRPr="00700474">
        <w:t>punishment</w:t>
      </w:r>
      <w:r w:rsidRPr="00700474">
        <w:t xml:space="preserve">, but I will share just a couple.” Analysis of the various responses and stories about informal sanctions showed that 90% of participants considered informal sanctions effective for various reasons. In contrast, 10 percent of the participants perceived it as </w:t>
      </w:r>
      <w:r w:rsidR="00AF1BC2" w:rsidRPr="00700474">
        <w:t>counterproductive</w:t>
      </w:r>
      <w:r w:rsidRPr="00700474">
        <w:t>. Participants who described informal sanctions as effective provided either caveats or justifications.</w:t>
      </w:r>
    </w:p>
    <w:p w14:paraId="61F7C9F3" w14:textId="77777777" w:rsidR="00B0127F" w:rsidRPr="00700474" w:rsidRDefault="00B0127F" w:rsidP="00B0127F">
      <w:pPr>
        <w:rPr>
          <w:b/>
          <w:bCs/>
        </w:rPr>
      </w:pPr>
      <w:r w:rsidRPr="00700474">
        <w:rPr>
          <w:b/>
          <w:bCs/>
        </w:rPr>
        <w:t xml:space="preserve">Caveats Against the Use of Informal Sanctions </w:t>
      </w:r>
    </w:p>
    <w:p w14:paraId="7A0B5B8C" w14:textId="77777777" w:rsidR="00B0127F" w:rsidRPr="00700474" w:rsidRDefault="00B0127F" w:rsidP="00B0127F">
      <w:pPr>
        <w:jc w:val="left"/>
        <w:rPr>
          <w:b/>
          <w:bCs/>
          <w:i/>
          <w:iCs/>
        </w:rPr>
      </w:pPr>
      <w:r w:rsidRPr="00700474">
        <w:rPr>
          <w:b/>
          <w:bCs/>
          <w:i/>
          <w:iCs/>
        </w:rPr>
        <w:t>Inhumane</w:t>
      </w:r>
    </w:p>
    <w:p w14:paraId="20C3F5C2" w14:textId="212670DA" w:rsidR="00B0127F" w:rsidRPr="00700474" w:rsidRDefault="00B0127F" w:rsidP="00B0127F">
      <w:pPr>
        <w:jc w:val="left"/>
      </w:pPr>
      <w:r w:rsidRPr="00700474">
        <w:t xml:space="preserve">Ten percent (10%) out of the 90 percent perceived informal sanctions, such as corporal </w:t>
      </w:r>
      <w:r w:rsidR="0084122C" w:rsidRPr="00700474">
        <w:t>punishment</w:t>
      </w:r>
      <w:r w:rsidRPr="00700474">
        <w:t xml:space="preserve">, as effective. However, these participants explained that although they acknowledge the perceived efficacy of corporal </w:t>
      </w:r>
      <w:r w:rsidR="00157E60" w:rsidRPr="00700474">
        <w:t>punishment</w:t>
      </w:r>
      <w:r w:rsidRPr="00700474">
        <w:t xml:space="preserve"> on children in achieving immediate compliance or discipline, they may not practice it due to ethical considerations, potential psychological harm, and their strong beliefs in alternative disciplinary methods. Kwasi, for instance, firmly believes that inflicting physical pain is inherently wrong and “violates human dignity.” Thus, despite acknowledging the effectiveness of informal sanctions, such as caning, he will not utilize them, holding onto the hope for change through alternative methods. </w:t>
      </w:r>
    </w:p>
    <w:p w14:paraId="18B7DC89" w14:textId="77777777" w:rsidR="00B0127F" w:rsidRPr="00700474" w:rsidRDefault="00B0127F" w:rsidP="00B0127F">
      <w:pPr>
        <w:ind w:left="720"/>
        <w:jc w:val="left"/>
      </w:pPr>
      <w:r w:rsidRPr="00700474">
        <w:t>Our constitution frowns on caning children, and the reason it provides is that it violates human dignity, so why practice? The white man introduced it as a form of sanction and considered it as harsh and barbaric, so why do we want to justify its use? At the time it was introduced, it was largely used on adults, but today, we want to justify its use on kids. It works, though, but it's wrong.</w:t>
      </w:r>
    </w:p>
    <w:p w14:paraId="60942B11" w14:textId="3098CC76" w:rsidR="00B0127F" w:rsidRPr="00700474" w:rsidRDefault="00B0127F" w:rsidP="00B0127F">
      <w:pPr>
        <w:jc w:val="left"/>
      </w:pPr>
      <w:bookmarkStart w:id="24" w:name="_Hlk201451263"/>
      <w:r w:rsidRPr="00700474">
        <w:t xml:space="preserve">For Anima, although informal sanctions are useful, research has shown that corporal </w:t>
      </w:r>
      <w:r w:rsidR="00157E60" w:rsidRPr="00700474">
        <w:t>punishment</w:t>
      </w:r>
      <w:r w:rsidRPr="00700474">
        <w:t xml:space="preserve"> can lead to long-term psychological harm, including increased aggression, anxiety, and depression, hence her reservation in utilizing it.</w:t>
      </w:r>
    </w:p>
    <w:p w14:paraId="2F4506F7" w14:textId="77777777" w:rsidR="00B0127F" w:rsidRPr="00700474" w:rsidRDefault="00B0127F" w:rsidP="00B0127F">
      <w:pPr>
        <w:ind w:left="720"/>
        <w:jc w:val="left"/>
      </w:pPr>
      <w:r w:rsidRPr="00700474">
        <w:lastRenderedPageBreak/>
        <w:t>So a cousin of mine had issues with bed wetting .... eerrmm bed wetting was associated with something bad because you are grown, so why are you still doing that? So, for my aunty, the point was if I lash you, you are going to stop doing that, but that wasn’t happening. Now, the peak of this sanction was they wrapped him in the things that he peed in and walked him down the street, which, for me, was an extreme form of inflicting pain. It is psychologically harmful and depressing. It was very emotional. Did my cousin stop peeing? Yes, but he was left with this stigma and trauma of everybody knowing he is/was an adult who pees on himself while asleep. Because of this experience with my cousin, I cannot practice this sanction.</w:t>
      </w:r>
    </w:p>
    <w:bookmarkEnd w:id="24"/>
    <w:p w14:paraId="0628F8C4" w14:textId="77777777" w:rsidR="00B0127F" w:rsidRPr="00700474" w:rsidRDefault="00B0127F" w:rsidP="00B0127F">
      <w:pPr>
        <w:jc w:val="left"/>
      </w:pPr>
      <w:r w:rsidRPr="00700474">
        <w:t>Odartey noted that informal sanctions are effective but preferred non-violent disciplinary methods focusing on positive reinforcement, communication, and problem-solving.</w:t>
      </w:r>
    </w:p>
    <w:p w14:paraId="6CDC322B" w14:textId="0E9F51CA" w:rsidR="00B0127F" w:rsidRPr="00700474" w:rsidRDefault="00B0127F" w:rsidP="00B0127F">
      <w:pPr>
        <w:ind w:left="720"/>
        <w:jc w:val="left"/>
      </w:pPr>
      <w:r w:rsidRPr="00700474">
        <w:t xml:space="preserve">Growing up, my parents never hit or caned us. My parents adopted parenting philosophies that emphasize nurturing, understanding, and guiding children rather than using physical discipline. When I do something wrong, the </w:t>
      </w:r>
      <w:r w:rsidR="00AF1BC2" w:rsidRPr="00700474">
        <w:t>worst thing</w:t>
      </w:r>
      <w:r w:rsidRPr="00700474">
        <w:t xml:space="preserve"> she does is not mind me when I talk to her there, and then I know something is wrong, so I try to correct it. In school, however, caning was the norm. I have seen students turn a new leave because of the canes. But I will not use it. I prefer to go the way of my parents.</w:t>
      </w:r>
    </w:p>
    <w:p w14:paraId="567D99F3" w14:textId="4FB989BA" w:rsidR="00B0127F" w:rsidRPr="00700474" w:rsidRDefault="00B0127F" w:rsidP="00F52300">
      <w:pPr>
        <w:jc w:val="left"/>
      </w:pPr>
      <w:r w:rsidRPr="00700474">
        <w:t xml:space="preserve">Kwasi's statement went beyond just indicating that inflicting physical pain is inherently wrong and "violates human </w:t>
      </w:r>
      <w:r w:rsidR="004029BB" w:rsidRPr="00700474">
        <w:t>dignity”</w:t>
      </w:r>
      <w:r w:rsidRPr="00700474">
        <w:t xml:space="preserve">, to reveal inherent hypocrisy in the attitudes towards informal sanctions such as corporal </w:t>
      </w:r>
      <w:r w:rsidR="00157E60" w:rsidRPr="00700474">
        <w:t>punishment</w:t>
      </w:r>
      <w:r w:rsidRPr="00700474">
        <w:t xml:space="preserve"> inflicted on children. He criticized the idea that corporal </w:t>
      </w:r>
      <w:r w:rsidR="00157E60" w:rsidRPr="00700474">
        <w:t>punishment</w:t>
      </w:r>
      <w:r w:rsidRPr="00700474">
        <w:t xml:space="preserve"> was considered harsh when introduced during the colonial era for adults who were considered a threat by the colonial masters. However, in present times, it is considered acceptable to be used on children. Anima's submission drew attention to the fact that pain is not </w:t>
      </w:r>
      <w:r w:rsidRPr="00700474">
        <w:lastRenderedPageBreak/>
        <w:t xml:space="preserve">limited to the physical but emotional and psychological as well. Her submission also drew attention to the collateral effect of informal sanctions, such as public shaming, which she explained left her cousin stigmatized and traumatized as everybody would now know and refer to him as 'the' adult who peed on himself while asleep. Odartey pushed for a non-violent disciplinary method focusing on positive reinforcement, communication, and problem-solving. His position resonated with the position of the Ghana Education Service, for which reason they banned corporal </w:t>
      </w:r>
      <w:r w:rsidR="00157E60" w:rsidRPr="00700474">
        <w:t>punishment</w:t>
      </w:r>
      <w:r w:rsidRPr="00700474">
        <w:t xml:space="preserve"> in schools; however, the phenomenon is yet to stop as it has received much resistance from some teachers and even students and parents.</w:t>
      </w:r>
    </w:p>
    <w:p w14:paraId="2B87E2B5" w14:textId="320A6FC5" w:rsidR="00B0127F" w:rsidRPr="00700474" w:rsidRDefault="00B0127F" w:rsidP="00F52300">
      <w:pPr>
        <w:jc w:val="left"/>
        <w:rPr>
          <w:b/>
          <w:bCs/>
          <w:i/>
          <w:iCs/>
        </w:rPr>
      </w:pPr>
      <w:r w:rsidRPr="00700474">
        <w:rPr>
          <w:b/>
          <w:bCs/>
          <w:i/>
          <w:iCs/>
        </w:rPr>
        <w:t>Legal and Religious Contradictions</w:t>
      </w:r>
    </w:p>
    <w:p w14:paraId="17111505" w14:textId="14760206" w:rsidR="00B0127F" w:rsidRPr="00700474" w:rsidRDefault="00B0127F" w:rsidP="00F52300">
      <w:pPr>
        <w:jc w:val="left"/>
      </w:pPr>
      <w:r w:rsidRPr="00700474">
        <w:t xml:space="preserve">Twenty-six percent (26%) of participants recognized informal sanctions as effective in specific contexts but felt </w:t>
      </w:r>
      <w:bookmarkStart w:id="25" w:name="_Hlk193271344"/>
      <w:r w:rsidRPr="00700474">
        <w:t>ambivalent about practicing them due to legal restrictions and religious associations</w:t>
      </w:r>
      <w:bookmarkEnd w:id="25"/>
      <w:r w:rsidRPr="00700474">
        <w:t xml:space="preserve">. Naa Norley pointed out some inconsistencies in the legal restrictions of the use of corporal </w:t>
      </w:r>
      <w:r w:rsidR="00157E60" w:rsidRPr="00700474">
        <w:t>punishment</w:t>
      </w:r>
      <w:r w:rsidRPr="00700474">
        <w:t xml:space="preserve"> on kids, making her unsure about its use. </w:t>
      </w:r>
      <w:r w:rsidR="00157E60" w:rsidRPr="00700474">
        <w:t xml:space="preserve"> </w:t>
      </w:r>
    </w:p>
    <w:p w14:paraId="05601D70" w14:textId="77777777" w:rsidR="00B0127F" w:rsidRPr="00700474" w:rsidRDefault="00B0127F" w:rsidP="00F52300">
      <w:pPr>
        <w:ind w:left="720"/>
        <w:jc w:val="left"/>
      </w:pPr>
      <w:r w:rsidRPr="00700474">
        <w:t>You know, there has been this whole back and forth on corporal punishment. GES has banned it, but it is still in full practice. On one breath, the constitution says it defies human dignity, but on another, it provides some leeway if it is used for disciplinary purposes in the home and school. So yes, it works, but I don't know if I would use it, not with all these legal backs and forth.</w:t>
      </w:r>
    </w:p>
    <w:p w14:paraId="53560324" w14:textId="215E6C2C" w:rsidR="00B0127F" w:rsidRPr="00700474" w:rsidRDefault="00B0127F" w:rsidP="00F52300">
      <w:pPr>
        <w:jc w:val="left"/>
      </w:pPr>
      <w:r w:rsidRPr="00700474">
        <w:t xml:space="preserve">Naa Oyoe reflected on her religious background and was ambivalent about the use of corporal </w:t>
      </w:r>
      <w:r w:rsidR="00157E60" w:rsidRPr="00700474">
        <w:t>punishment</w:t>
      </w:r>
      <w:r w:rsidRPr="00700474">
        <w:t xml:space="preserve"> despite acknowledging its perceived effectiveness. </w:t>
      </w:r>
    </w:p>
    <w:p w14:paraId="25C3516C" w14:textId="77777777" w:rsidR="00B0127F" w:rsidRPr="00700474" w:rsidRDefault="00B0127F" w:rsidP="00F52300">
      <w:pPr>
        <w:ind w:left="720"/>
        <w:jc w:val="left"/>
      </w:pPr>
      <w:r w:rsidRPr="00700474">
        <w:t>I was raised by my grandparents, who are Buddhists. And in the Buddhist tradition, we are entreated to be non-violent and kind, so it makes me feel hesitant about corporal punishment despite acknowledging its perceived efficiency.</w:t>
      </w:r>
    </w:p>
    <w:p w14:paraId="511771CD" w14:textId="79501C07" w:rsidR="00B0127F" w:rsidRPr="00700474" w:rsidRDefault="00B0127F" w:rsidP="00B0127F">
      <w:pPr>
        <w:jc w:val="left"/>
      </w:pPr>
      <w:r w:rsidRPr="00700474">
        <w:lastRenderedPageBreak/>
        <w:t xml:space="preserve">Naa Norley’s reference to inconsistencies in the legal restrictions as the source of her ambivalence towards the use of corporal </w:t>
      </w:r>
      <w:r w:rsidR="00157E60" w:rsidRPr="00700474">
        <w:t xml:space="preserve">punishment </w:t>
      </w:r>
      <w:r w:rsidRPr="00700474">
        <w:t xml:space="preserve">highlighted a more significant structural ambiguity about child sanction in Ghana. While Article 13(1) of the 1998 Children’s Act states that “No person shall subject a child to torture or other cruel, inhuman or degrading treatment or sanction including any cultural practice which </w:t>
      </w:r>
      <w:r w:rsidR="004029BB" w:rsidRPr="00700474">
        <w:t>dehumanizes</w:t>
      </w:r>
      <w:r w:rsidRPr="00700474">
        <w:t xml:space="preserve"> or is injurious to the physical and mental well-being of a child,” the section (2) arguably permits child sanctioning if justifiable; creating a leeway for punishing children insofar as justifiable and for correctional purposes. Naa Oyoe’s comment on how her Buddhist doctrines made her ambivalent about the use of corporal </w:t>
      </w:r>
      <w:r w:rsidR="00157E60" w:rsidRPr="00700474">
        <w:t>punishment</w:t>
      </w:r>
      <w:r w:rsidRPr="00700474">
        <w:t xml:space="preserve"> got me pensive for a while; her words prompted a moment of introspection as I considered my own beliefs and experiences. I reflected on my faith as a Christian. How, on one breadth, the Christian faith teaches the need to be loving, forgiving and non-violent, yet on another breadth would be the reference point or justification in the use of corporal </w:t>
      </w:r>
      <w:r w:rsidR="00157E60" w:rsidRPr="00700474">
        <w:t>punishment</w:t>
      </w:r>
      <w:r w:rsidRPr="00700474">
        <w:t xml:space="preserve"> against children, with most people, even non-Christians in Ghana precede sanction by citing Proverbs 13:4- “those who spare the rod of discipline hate their children. Those who love their children care enough to discipline them.” I wondered whether this biblical text was taken or translated out of context. In any case, Naa Oyoe’s reflection highlighted the influence of religion in shaping attitudes toward sanctions.</w:t>
      </w:r>
    </w:p>
    <w:p w14:paraId="0B75AFF3" w14:textId="77777777" w:rsidR="00B0127F" w:rsidRPr="00700474" w:rsidRDefault="00B0127F" w:rsidP="00B0127F">
      <w:pPr>
        <w:rPr>
          <w:b/>
          <w:bCs/>
        </w:rPr>
      </w:pPr>
      <w:r w:rsidRPr="00700474">
        <w:rPr>
          <w:b/>
          <w:bCs/>
        </w:rPr>
        <w:t>Justifications for Informal Sanctions</w:t>
      </w:r>
    </w:p>
    <w:p w14:paraId="3CEBB506" w14:textId="77777777" w:rsidR="00B0127F" w:rsidRPr="00700474" w:rsidRDefault="00B0127F" w:rsidP="00B0127F">
      <w:pPr>
        <w:jc w:val="left"/>
        <w:rPr>
          <w:b/>
          <w:bCs/>
          <w:i/>
          <w:iCs/>
        </w:rPr>
      </w:pPr>
      <w:r w:rsidRPr="00700474">
        <w:rPr>
          <w:b/>
          <w:bCs/>
          <w:i/>
          <w:iCs/>
        </w:rPr>
        <w:t>Deterrence</w:t>
      </w:r>
    </w:p>
    <w:p w14:paraId="398C866A" w14:textId="4E94FE03" w:rsidR="00B0127F" w:rsidRPr="00700474" w:rsidRDefault="00B0127F" w:rsidP="00B0127F">
      <w:pPr>
        <w:jc w:val="left"/>
      </w:pPr>
      <w:r w:rsidRPr="00700474">
        <w:t xml:space="preserve">Twenty-four percent (24%) of the participants contended </w:t>
      </w:r>
      <w:bookmarkStart w:id="26" w:name="_Hlk193271454"/>
      <w:r w:rsidRPr="00700474">
        <w:t xml:space="preserve">that corporal </w:t>
      </w:r>
      <w:r w:rsidR="00157E60" w:rsidRPr="00700474">
        <w:t>punishment</w:t>
      </w:r>
      <w:r w:rsidRPr="00700474">
        <w:t xml:space="preserve"> deters undesirable behavior, reforms individuals, and corrects misconduct</w:t>
      </w:r>
      <w:bookmarkEnd w:id="26"/>
      <w:r w:rsidRPr="00700474">
        <w:t xml:space="preserve">. </w:t>
      </w:r>
      <w:bookmarkStart w:id="27" w:name="_Hlk201460169"/>
      <w:bookmarkStart w:id="28" w:name="_Hlk201450613"/>
      <w:r w:rsidRPr="00700474">
        <w:t>Abeku told a friend's story emphasizing the deterrent effect of informal sanctions.</w:t>
      </w:r>
    </w:p>
    <w:p w14:paraId="5F0D652D" w14:textId="77777777" w:rsidR="00B0127F" w:rsidRPr="00700474" w:rsidRDefault="00B0127F" w:rsidP="00B0127F">
      <w:pPr>
        <w:ind w:left="720"/>
        <w:jc w:val="left"/>
      </w:pPr>
      <w:bookmarkStart w:id="29" w:name="_Hlk201460143"/>
      <w:bookmarkEnd w:id="27"/>
      <w:r w:rsidRPr="00700474">
        <w:lastRenderedPageBreak/>
        <w:t xml:space="preserve">I can remember ….a friend of mine, Albert. He also got some lashes from his father because he went to steal. Yes, and it was becoming a habit, and his father never canes him like the way my father used to cane me... But when the father realized that after all the talking and everything, he was gradually becoming a thief, one dawn when he was asleep. Yeah, that was when the father caught him and the kind of beatings he got that day. Later, I heard that the father regretted this because he had almost hit his eyeball. Yes. But since then, two things happened. No more stubbornness, no more stealing; he was deterred and reformed. That's all. </w:t>
      </w:r>
      <w:bookmarkStart w:id="30" w:name="_Hlk201460970"/>
      <w:r w:rsidRPr="00700474">
        <w:t>He didn’t die cos of the punishment. Yes it was painful but only painful enough to change him and not harm him. Beside it is standard practice handed over from generations. Punish your kids when they are wrong. That makes you resolute and not weak as a parent.</w:t>
      </w:r>
    </w:p>
    <w:p w14:paraId="1FEF52EE" w14:textId="1C69EAA9" w:rsidR="00B0127F" w:rsidRPr="00700474" w:rsidRDefault="00B0127F" w:rsidP="00B0127F">
      <w:pPr>
        <w:jc w:val="left"/>
      </w:pPr>
      <w:bookmarkStart w:id="31" w:name="_Hlk201450247"/>
      <w:bookmarkEnd w:id="28"/>
      <w:bookmarkEnd w:id="29"/>
      <w:bookmarkEnd w:id="30"/>
      <w:r w:rsidRPr="00700474">
        <w:t xml:space="preserve">Maame Yaa, shared a personal story about corporal </w:t>
      </w:r>
      <w:r w:rsidR="00157E60" w:rsidRPr="00700474">
        <w:t>punishment</w:t>
      </w:r>
      <w:r w:rsidRPr="00700474">
        <w:t xml:space="preserve"> and how it deterred her.</w:t>
      </w:r>
    </w:p>
    <w:p w14:paraId="3B4D374C" w14:textId="77777777" w:rsidR="00B0127F" w:rsidRPr="00700474" w:rsidRDefault="00B0127F" w:rsidP="00B0127F">
      <w:pPr>
        <w:ind w:left="720"/>
        <w:jc w:val="left"/>
      </w:pPr>
      <w:r w:rsidRPr="00700474">
        <w:t>When I was much younger, my mom asked me to purchase some food items for the home, and I got distracted by going to the shop to play with my friends. And guess what?....(laughs)…… I lost the money…Luckily, my auntie lives nearby, so I went to tell her what had happened, hoping that she would protect me. She called my mum, told her what had happened, and even opened her doors for her to come and cane me there. Because of this experience, when I was asked to transact a particular business, I minded my business.</w:t>
      </w:r>
    </w:p>
    <w:bookmarkEnd w:id="31"/>
    <w:p w14:paraId="1C4F395A" w14:textId="77777777" w:rsidR="00B0127F" w:rsidRPr="00700474" w:rsidRDefault="00B0127F" w:rsidP="00B0127F">
      <w:pPr>
        <w:jc w:val="left"/>
      </w:pPr>
      <w:r w:rsidRPr="00700474">
        <w:t xml:space="preserve">Amanua reflected on a sanction she observed in high school. She emphasized that the fear of facing sanctions discourages individuals from engaging in prohibited actions, as fear motivates compliance with rules and laws. She also expressed that sanctions can condition individuals to </w:t>
      </w:r>
      <w:r w:rsidRPr="00700474">
        <w:lastRenderedPageBreak/>
        <w:t>associate certain behaviors with adverse outcomes, which may prevent them from repeating or engaging in prohibited behaviors.</w:t>
      </w:r>
    </w:p>
    <w:p w14:paraId="14CEBCDC" w14:textId="1111626A" w:rsidR="00B0127F" w:rsidRPr="00700474" w:rsidRDefault="00B0127F" w:rsidP="00AF1BC2">
      <w:pPr>
        <w:ind w:left="720"/>
        <w:jc w:val="left"/>
      </w:pPr>
      <w:r w:rsidRPr="00700474">
        <w:t>A class was disturbing the whole block because there was no teacher in their class. Each student was subjected to six strokes of canes, after which they were made to weed the compound. Since that day, no class on that block ever disturbed if there was no teacher in the class because we knew we would be punished if we did. The students in the G/A 1 class themselves did not repeat that again.</w:t>
      </w:r>
    </w:p>
    <w:p w14:paraId="5A2FF047" w14:textId="2FE09D9E" w:rsidR="00B0127F" w:rsidRPr="00700474" w:rsidRDefault="00B0127F" w:rsidP="00B0127F">
      <w:pPr>
        <w:jc w:val="left"/>
      </w:pPr>
      <w:r w:rsidRPr="00700474">
        <w:t xml:space="preserve">All participants who perceived informal sanctions as effective specifically used the word ‘deter’ when asked what the aim of sanction should be before explaining it. For Amanua, the use of deter was, in particular, a reference to how informal sanctions, such as corporal </w:t>
      </w:r>
      <w:r w:rsidR="00157E60" w:rsidRPr="00700474">
        <w:t>punishment</w:t>
      </w:r>
      <w:r w:rsidRPr="00700474">
        <w:t xml:space="preserve">, instilled fear, conditioned individuals to associate certain </w:t>
      </w:r>
      <w:r w:rsidR="00157E60" w:rsidRPr="00700474">
        <w:t>behaviors</w:t>
      </w:r>
      <w:r w:rsidRPr="00700474">
        <w:t xml:space="preserve"> with adverse outcomes and prevented one from engaging in or repeating proscribed actions. Abeku’s narrative underscored that the father was willing to explore other non-violent measures but would turn to cane because they proved futile. A clear case of “ when persuasion fails, force is applied” and a justification of a Ghanaian adage which states that “ efutuo 3nsakyira nnipa ajes3 nsorhw3” to wit, a bad experience transforms better than a piece of advice. Thus, for Abeku, deterrence meant inflicting physical pain to prevent future occurrences. For Maame Yaa, when sanction is certain and swift deterrence is achieved.</w:t>
      </w:r>
    </w:p>
    <w:p w14:paraId="7C21C202" w14:textId="77777777" w:rsidR="00B0127F" w:rsidRPr="00700474" w:rsidRDefault="00B0127F" w:rsidP="00B0127F">
      <w:pPr>
        <w:jc w:val="left"/>
        <w:rPr>
          <w:b/>
          <w:bCs/>
          <w:i/>
          <w:iCs/>
        </w:rPr>
      </w:pPr>
      <w:r w:rsidRPr="00700474">
        <w:rPr>
          <w:b/>
          <w:bCs/>
          <w:i/>
          <w:iCs/>
        </w:rPr>
        <w:t>Retribution</w:t>
      </w:r>
    </w:p>
    <w:p w14:paraId="361CCE59" w14:textId="77777777" w:rsidR="00B0127F" w:rsidRPr="00700474" w:rsidRDefault="00B0127F" w:rsidP="00B0127F">
      <w:pPr>
        <w:jc w:val="left"/>
      </w:pPr>
      <w:r w:rsidRPr="00700474">
        <w:t xml:space="preserve">Twenty percent (20%) considered sanction useful because it </w:t>
      </w:r>
      <w:bookmarkStart w:id="32" w:name="_Hlk193271579"/>
      <w:r w:rsidRPr="00700474">
        <w:t>ensures the offender gets punished</w:t>
      </w:r>
      <w:bookmarkEnd w:id="32"/>
      <w:r w:rsidRPr="00700474">
        <w:t xml:space="preserve">. According to Deidei, sanction avenges the wrong done, igniting "a feeling of satisfaction" in the victim. Sanction ensures fairness by holding individuals accountable for their actions and reassuring the audience about the justice system's effectiveness. Thus, her narration underscored </w:t>
      </w:r>
      <w:r w:rsidRPr="00700474">
        <w:lastRenderedPageBreak/>
        <w:t xml:space="preserve">making offenders answerable for their wrongdoings and giving individuals what they deserve based on their behaviour. </w:t>
      </w:r>
    </w:p>
    <w:p w14:paraId="0A24FD7C" w14:textId="77777777" w:rsidR="00B0127F" w:rsidRPr="00700474" w:rsidRDefault="00B0127F" w:rsidP="00B0127F">
      <w:pPr>
        <w:ind w:left="720"/>
        <w:jc w:val="left"/>
        <w:rPr>
          <w:rFonts w:eastAsia="Times New Roman"/>
        </w:rPr>
      </w:pPr>
      <w:r w:rsidRPr="00700474">
        <w:t xml:space="preserve">……. </w:t>
      </w:r>
      <w:r w:rsidRPr="00700474">
        <w:rPr>
          <w:rFonts w:eastAsia="Times New Roman"/>
        </w:rPr>
        <w:t>So, one day, in an attempt to steal someone’s TV set, he was caught, and this time, the community decided to cane him and publicly shame him because those who have had their items stolen in the past complained about him not being punished…. You could tell a feeling of satisfaction, a sense of justice and closure for those who had suffered from his activities in the past.</w:t>
      </w:r>
    </w:p>
    <w:p w14:paraId="481D26A8" w14:textId="77777777" w:rsidR="00B0127F" w:rsidRPr="00700474" w:rsidRDefault="00B0127F" w:rsidP="00B0127F">
      <w:pPr>
        <w:jc w:val="left"/>
        <w:rPr>
          <w:rFonts w:eastAsia="Times New Roman"/>
        </w:rPr>
      </w:pPr>
      <w:r w:rsidRPr="00700474">
        <w:rPr>
          <w:rFonts w:eastAsia="Times New Roman"/>
        </w:rPr>
        <w:t xml:space="preserve">Nii Noi had this to say: </w:t>
      </w:r>
    </w:p>
    <w:p w14:paraId="1D6862F1" w14:textId="032C78D8" w:rsidR="00B0127F" w:rsidRPr="00700474" w:rsidRDefault="00B0127F" w:rsidP="00C16327">
      <w:pPr>
        <w:ind w:left="720"/>
        <w:jc w:val="left"/>
      </w:pPr>
      <w:r w:rsidRPr="00700474">
        <w:rPr>
          <w:rFonts w:eastAsia="Times New Roman"/>
        </w:rPr>
        <w:t xml:space="preserve">When someone does something wrong they deserve to be punished for their wrongdoings in a manner that is proportionate to the severity of their crimes. That way they have it in mind that when they do A, B will happen. This way people are held accountable for their actions. And this should be across board. Be it a child or adult. It is even more crucial when raising a child. That way they grow up knowing and doing the right thing. So yes, caning, public ridicule, shaming are all good. They help. </w:t>
      </w:r>
    </w:p>
    <w:p w14:paraId="48A875D1" w14:textId="77777777" w:rsidR="00B0127F" w:rsidRPr="00700474" w:rsidRDefault="00B0127F" w:rsidP="00B0127F">
      <w:pPr>
        <w:ind w:firstLine="720"/>
        <w:jc w:val="left"/>
        <w:rPr>
          <w:b/>
          <w:bCs/>
          <w:i/>
          <w:iCs/>
        </w:rPr>
      </w:pPr>
      <w:r w:rsidRPr="00700474">
        <w:t>Deidei and Nii Noi’s accounts appealed to the retributive effect of sanction, where the offender gets what they deserve. Deidei’s narrative underscored four primary benefits of retribution to the victim: emotional relief, a profound sense of justice, closure, and satisfaction. Nii Noi justified the informal sanctions, arguing that they ensured fairness when offenders are held accountable and social order when applied to children, as that will nurture them to conform to society.</w:t>
      </w:r>
    </w:p>
    <w:p w14:paraId="01BCAA99" w14:textId="77777777" w:rsidR="00B0127F" w:rsidRPr="00700474" w:rsidRDefault="00B0127F" w:rsidP="00B0127F">
      <w:pPr>
        <w:jc w:val="left"/>
        <w:rPr>
          <w:b/>
          <w:bCs/>
          <w:i/>
          <w:iCs/>
        </w:rPr>
      </w:pPr>
      <w:r w:rsidRPr="00700474">
        <w:rPr>
          <w:b/>
          <w:bCs/>
          <w:i/>
          <w:iCs/>
        </w:rPr>
        <w:t>Informal Sanctions are Biblical</w:t>
      </w:r>
    </w:p>
    <w:p w14:paraId="3DE950A0" w14:textId="3A6FB0D3" w:rsidR="00B0127F" w:rsidRPr="00700474" w:rsidRDefault="00B0127F" w:rsidP="00B0127F">
      <w:pPr>
        <w:jc w:val="left"/>
      </w:pPr>
      <w:r w:rsidRPr="00700474">
        <w:t xml:space="preserve">Ten percent (10%) of the participants explained that informal sanctions, such as </w:t>
      </w:r>
      <w:bookmarkStart w:id="33" w:name="_Hlk193271681"/>
      <w:r w:rsidRPr="00700474">
        <w:t xml:space="preserve">corporal </w:t>
      </w:r>
      <w:r w:rsidR="009A53D0" w:rsidRPr="00700474">
        <w:t>punishment</w:t>
      </w:r>
      <w:r w:rsidRPr="00700474">
        <w:t xml:space="preserve"> inflicted on children,</w:t>
      </w:r>
      <w:bookmarkEnd w:id="33"/>
      <w:r w:rsidRPr="00700474">
        <w:t xml:space="preserve"> are sanctioned by the Bible. Participants noted that most adults, </w:t>
      </w:r>
      <w:r w:rsidRPr="00700474">
        <w:lastRenderedPageBreak/>
        <w:t>including their parents, quoted certain portions of the Bible to justify and reinforce the idea that strict discipline is essential for maintaining order and instilling moral values in children or young adults.</w:t>
      </w:r>
    </w:p>
    <w:p w14:paraId="3AC6E7F0" w14:textId="77777777" w:rsidR="00B0127F" w:rsidRPr="00700474" w:rsidRDefault="00B0127F" w:rsidP="00B0127F">
      <w:pPr>
        <w:jc w:val="left"/>
      </w:pPr>
      <w:bookmarkStart w:id="34" w:name="_Hlk201484271"/>
      <w:r w:rsidRPr="00700474">
        <w:t xml:space="preserve">Afia justified caning a child as a disciplinary measure rooted in the Bible. </w:t>
      </w:r>
    </w:p>
    <w:p w14:paraId="7BBCBC8C" w14:textId="77777777" w:rsidR="00B0127F" w:rsidRPr="00700474" w:rsidRDefault="00B0127F" w:rsidP="00B0127F">
      <w:pPr>
        <w:ind w:left="720"/>
        <w:jc w:val="left"/>
      </w:pPr>
      <w:r w:rsidRPr="00700474">
        <w:t>To cane a child is good the Bible even says that if you spare the rod, you will spoil the child, so the fact that a teacher will beat or cane a student doesn't mean the person is killing the child; the person is rather helping the child.</w:t>
      </w:r>
    </w:p>
    <w:bookmarkEnd w:id="34"/>
    <w:p w14:paraId="129A4950" w14:textId="77777777" w:rsidR="00B0127F" w:rsidRPr="00700474" w:rsidRDefault="00B0127F" w:rsidP="00B0127F">
      <w:pPr>
        <w:jc w:val="left"/>
      </w:pPr>
      <w:r w:rsidRPr="00700474">
        <w:t>Odooley reflected on her personal experience as a child. She told a personal story of how her father caned her mercilessly, leaving cane wounds on her neck because she disobeyed the orders of her mother. She proceeded to explain her dad's intentions.</w:t>
      </w:r>
    </w:p>
    <w:p w14:paraId="43FB3EAE" w14:textId="77777777" w:rsidR="00B0127F" w:rsidRPr="00700474" w:rsidRDefault="00B0127F" w:rsidP="00B0127F">
      <w:pPr>
        <w:ind w:left="720"/>
        <w:jc w:val="left"/>
      </w:pPr>
      <w:r w:rsidRPr="00700474">
        <w:t>My father hates it when you try to go against your parents. He will cane you and justify it with the Bible…saying children obey your parents in the Lord for this is right. Honor your father and mother that your days may be prolonged (Ephesians 6:1). Sometimes he will quote Proverbs 22:15 “folly is bound up in the heart of a child, but the rod of discipline will drive it far away.”</w:t>
      </w:r>
    </w:p>
    <w:p w14:paraId="18A07108" w14:textId="77777777" w:rsidR="00B0127F" w:rsidRDefault="00B0127F" w:rsidP="00B0127F">
      <w:pPr>
        <w:ind w:firstLine="720"/>
        <w:jc w:val="left"/>
      </w:pPr>
      <w:r w:rsidRPr="00700474">
        <w:t>While Afia and Odooley shared their view and provided biblical justifications for caning or spanking children for disciplinary reasons, I wondered about the historical and cultural context within which the Bible was written. It may well be the case that in ancient times, physical discipline was a common practice for maintaining order and teaching obedience. However, modern interpretations often emphasize non-violent methods of discipline, aligning with contemporary understandings of child development and psychology. This emphasis on modern interpretations should instill confidence in our current approach to discipline.</w:t>
      </w:r>
    </w:p>
    <w:p w14:paraId="4192D787" w14:textId="77777777" w:rsidR="00F52300" w:rsidRPr="00700474" w:rsidRDefault="00F52300" w:rsidP="00B0127F">
      <w:pPr>
        <w:ind w:firstLine="720"/>
        <w:jc w:val="left"/>
      </w:pPr>
    </w:p>
    <w:p w14:paraId="5E1CEEE3" w14:textId="77777777" w:rsidR="00B0127F" w:rsidRPr="00700474" w:rsidRDefault="00B0127F" w:rsidP="00B0127F">
      <w:pPr>
        <w:rPr>
          <w:b/>
          <w:bCs/>
        </w:rPr>
      </w:pPr>
      <w:r w:rsidRPr="00700474">
        <w:rPr>
          <w:b/>
          <w:bCs/>
        </w:rPr>
        <w:lastRenderedPageBreak/>
        <w:t>Informal Sanctions are Counter-Productive</w:t>
      </w:r>
      <w:r w:rsidRPr="00700474">
        <w:rPr>
          <w:b/>
          <w:bCs/>
        </w:rPr>
        <w:tab/>
      </w:r>
    </w:p>
    <w:p w14:paraId="17055009" w14:textId="77777777" w:rsidR="00B0127F" w:rsidRPr="00700474" w:rsidRDefault="00B0127F" w:rsidP="00B0127F">
      <w:pPr>
        <w:jc w:val="left"/>
      </w:pPr>
      <w:r w:rsidRPr="00700474">
        <w:t xml:space="preserve">Ten percent (10%) of the participants perceived sanctions as ineffective. They argued that sanctions </w:t>
      </w:r>
      <w:bookmarkStart w:id="35" w:name="_Hlk193271803"/>
      <w:r w:rsidRPr="00700474">
        <w:t>can lead to resentment and defiance rather than remorse</w:t>
      </w:r>
      <w:bookmarkEnd w:id="35"/>
      <w:r w:rsidRPr="00700474">
        <w:t xml:space="preserve">. Offenders may become more rebellious and less likely to change their behaviour, which leads to re-offending in some cases. </w:t>
      </w:r>
      <w:bookmarkStart w:id="36" w:name="_Hlk201451088"/>
      <w:r w:rsidRPr="00700474">
        <w:t>Nii Nortei recounts how his cousin became incorrigible due to sanction: how his uncle “created the monster himself.”</w:t>
      </w:r>
    </w:p>
    <w:bookmarkEnd w:id="36"/>
    <w:p w14:paraId="41DC2D61" w14:textId="77777777" w:rsidR="00B0127F" w:rsidRPr="00700474" w:rsidRDefault="00B0127F" w:rsidP="00B0127F">
      <w:pPr>
        <w:ind w:left="720"/>
        <w:jc w:val="left"/>
      </w:pPr>
      <w:r w:rsidRPr="00700474">
        <w:t>I had a cousin who engaged in petty stealing in the home, and the father would apply all forms of punishment...He did not change. Rather, it got to a point where when the father used the wire on him, he would laugh. He was not feeling the pain and continued the bad behavior. One day, the father was about to beat him for something he had done. He overpowered the father, took the wire from him and beat the father mercilessly……………(laughs). Sorry, it is not as if I am excited about my uncle's pain, but he created the monster himself.</w:t>
      </w:r>
    </w:p>
    <w:p w14:paraId="36C5C059" w14:textId="77777777" w:rsidR="00B0127F" w:rsidRPr="00700474" w:rsidRDefault="00B0127F" w:rsidP="00B0127F">
      <w:pPr>
        <w:jc w:val="left"/>
      </w:pPr>
      <w:r w:rsidRPr="00700474">
        <w:t xml:space="preserve">Nii Nortey, another participant, pointed out that his decision to avoid the company of a particular group of friends was not because his dad consistently punished him but because he “decided not to hang out with them,” which was a personal decision. </w:t>
      </w:r>
    </w:p>
    <w:p w14:paraId="5B70F591" w14:textId="77777777" w:rsidR="00B0127F" w:rsidRPr="00700474" w:rsidRDefault="00B0127F" w:rsidP="00B0127F">
      <w:pPr>
        <w:ind w:left="720"/>
        <w:jc w:val="left"/>
      </w:pPr>
      <w:r w:rsidRPr="00700474">
        <w:t>From my experience, like I said, I didn’t change because my parents were punishing me. I only changed because I decided to. Like at a point I had problems with my circle of friends so I decided not to hang-out with them so that made me stay at home and not because I was afraid my parents would beat me no.</w:t>
      </w:r>
    </w:p>
    <w:p w14:paraId="17899059" w14:textId="77777777" w:rsidR="00B0127F" w:rsidRPr="00700474" w:rsidRDefault="00B0127F" w:rsidP="00B0127F">
      <w:pPr>
        <w:jc w:val="left"/>
      </w:pPr>
      <w:r w:rsidRPr="00700474">
        <w:t>Naa Oyoe also recounts how her younger brother devised more secured and “ innovative ways” of continuing an act prohibited by her mum.</w:t>
      </w:r>
    </w:p>
    <w:p w14:paraId="1373638D" w14:textId="77777777" w:rsidR="00B0127F" w:rsidRPr="00700474" w:rsidRDefault="00B0127F" w:rsidP="00B0127F">
      <w:pPr>
        <w:ind w:left="720"/>
        <w:jc w:val="left"/>
      </w:pPr>
      <w:r w:rsidRPr="00700474">
        <w:lastRenderedPageBreak/>
        <w:t>I have a brother. When he was little, I do not know; when my mom gave him food to school, he did not eat. However, he would come back saying he was OK, but they did not give him money too because he was in grade one ei, grade two so my mom was always complaining, and we spoke to one of his teachers that he should keep an eye on him and the feedback was that he had been begging people for food. So, when he came back from school, my mom asked him, and he was like it's not like that, but my mum lashed him severely. The next day, he came home with an empty bowl. But I would later find that he had been pouring out the food. So you see, the caning did not change him. He rather found innovative ways around the issue.</w:t>
      </w:r>
    </w:p>
    <w:p w14:paraId="4CBEDB0F" w14:textId="6FB5AF91" w:rsidR="00B0127F" w:rsidRPr="00700474" w:rsidRDefault="00B0127F" w:rsidP="00B0127F">
      <w:pPr>
        <w:ind w:firstLine="720"/>
        <w:jc w:val="left"/>
      </w:pPr>
      <w:r w:rsidRPr="00700474">
        <w:t xml:space="preserve">Nii Nortei’s account made a strong case for how sanction can make one incorrigible; in this instance, his uncle’s punitive measures to reform his cousin only worsened him. As Nii Nortei aptly said, “he created the monster </w:t>
      </w:r>
      <w:r w:rsidR="00AF1BC2" w:rsidRPr="00700474">
        <w:t>himself...</w:t>
      </w:r>
      <w:r w:rsidRPr="00700474">
        <w:t xml:space="preserve">” Nii Nortey’s discussion further reinforces the argument that sanction is ineffective and does not change the offender. His argument is based on the fact that it was his resolve, not the sanction from his parents, that led him to distance himself from his friends. Naa Oyo’s narrative re-echoed Nii Nortei’s argument when she discussed that the sanction did not change her brother; instead, her brother devised “innovative ways” to keep doing what the mother had proscribed. In other words, a different measure, perhaps counselling or a probe into why her brother would prefer eating other people’s food, would have provided the mother with a targeted solution to the problem instead of caning him. </w:t>
      </w:r>
    </w:p>
    <w:p w14:paraId="50E6A930" w14:textId="77777777" w:rsidR="00B0127F" w:rsidRPr="00700474" w:rsidRDefault="00B0127F" w:rsidP="00B0127F">
      <w:pPr>
        <w:rPr>
          <w:b/>
          <w:bCs/>
        </w:rPr>
      </w:pPr>
      <w:r w:rsidRPr="00700474">
        <w:rPr>
          <w:b/>
          <w:bCs/>
        </w:rPr>
        <w:t>Chapter Summary</w:t>
      </w:r>
    </w:p>
    <w:p w14:paraId="3BF56F01" w14:textId="7E149D26" w:rsidR="00B0127F" w:rsidRPr="00700474" w:rsidRDefault="00B0127F" w:rsidP="00B0127F">
      <w:pPr>
        <w:jc w:val="left"/>
      </w:pPr>
      <w:r w:rsidRPr="00700474">
        <w:t xml:space="preserve">Informal sanctions are prevalent in most Ghanaian communities to maintain social cohesion and uphold moral values. As such, participants had a lot of personal or observed stories and sentiments to share. Of the 100 participants interviewed, 90% endorsed informal sanctions, </w:t>
      </w:r>
      <w:r w:rsidR="00022967" w:rsidRPr="00700474">
        <w:lastRenderedPageBreak/>
        <w:t>though</w:t>
      </w:r>
      <w:r w:rsidRPr="00700474">
        <w:t xml:space="preserve"> with </w:t>
      </w:r>
      <w:r w:rsidR="00022967" w:rsidRPr="00700474">
        <w:t>various</w:t>
      </w:r>
      <w:r w:rsidRPr="00700474">
        <w:t xml:space="preserve"> caveats </w:t>
      </w:r>
      <w:r w:rsidR="00022967" w:rsidRPr="00700474">
        <w:t>and/</w:t>
      </w:r>
      <w:r w:rsidRPr="00700474">
        <w:t xml:space="preserve">or justifications. Those who offered caveats against the use of informal sanctions such as corporal </w:t>
      </w:r>
      <w:r w:rsidR="00022967" w:rsidRPr="00700474">
        <w:t>punishment</w:t>
      </w:r>
      <w:r w:rsidRPr="00700474">
        <w:t xml:space="preserve"> explained that although they acknowledge the perceived efficacy of corporal </w:t>
      </w:r>
      <w:r w:rsidR="00022967" w:rsidRPr="00700474">
        <w:t>punishment</w:t>
      </w:r>
      <w:r w:rsidRPr="00700474">
        <w:t xml:space="preserve"> on children in achieving immediate compliance or discipline, they may not practice it due to ethical considerations, potential psychological harm, and their strong beliefs in alternative disciplinary methods. Others also expressed ambivalence about using corporal </w:t>
      </w:r>
      <w:r w:rsidR="00022967" w:rsidRPr="00700474">
        <w:t>punishment</w:t>
      </w:r>
      <w:r w:rsidRPr="00700474">
        <w:t xml:space="preserve"> due to existing legal contradictions and their religious association and beliefs. Those who justified using informal sanctions argued that corporal </w:t>
      </w:r>
      <w:r w:rsidR="00022967" w:rsidRPr="00700474">
        <w:t>punishment</w:t>
      </w:r>
      <w:r w:rsidRPr="00700474">
        <w:t xml:space="preserve"> deters undesirable behavior, reforms individuals, and corrects misconduct. Also, it conditions individuals to associate certain </w:t>
      </w:r>
      <w:r w:rsidR="00C16327" w:rsidRPr="00700474">
        <w:t>behaviors</w:t>
      </w:r>
      <w:r w:rsidRPr="00700474">
        <w:t xml:space="preserve"> with adverse outcomes, preventing one from engaging in or repeating proscribed actions. Others expressed that sanction ensures the offender gets punished, igniting a strong feeling of justice and satisfaction for the victim. This emotional impact is significant and plays a crucial role in the acceptance and continuation of informal sanctions.</w:t>
      </w:r>
    </w:p>
    <w:p w14:paraId="51B047AA" w14:textId="4AE2FD17" w:rsidR="00B0127F" w:rsidRPr="00700474" w:rsidRDefault="00B0127F" w:rsidP="00B0127F">
      <w:pPr>
        <w:ind w:firstLine="720"/>
        <w:jc w:val="left"/>
      </w:pPr>
      <w:r w:rsidRPr="00700474">
        <w:t xml:space="preserve">Ten (10) percent of the participants justified corporal </w:t>
      </w:r>
      <w:r w:rsidR="00022967" w:rsidRPr="00700474">
        <w:t>punishment</w:t>
      </w:r>
      <w:r w:rsidRPr="00700474">
        <w:t xml:space="preserve"> inflicted on children for disciplinary purposes, arguing that it was sanctioned by the Bible, highlighting the significant influence of religious beliefs on disciplinary practices. Participants quoted several verses in the Bible (e.g. Proverbs 13:24, 22:15) to address the discipline of children and to support the use of physical punishment. While these verses have been used to justify physical punishment, it is important to consider their historical and cultural context. In ancient times, physical discipline was a common practice for maintaining order and teaching obedience. However, modern interpretations and applications of these teachings vary widely among Christian denominations and communities. Ten (10) percent of the participants also perceived informal sanctions as counter-productive as they can lead to resentment and defiance rather than remorse or even make </w:t>
      </w:r>
      <w:r w:rsidRPr="00700474">
        <w:lastRenderedPageBreak/>
        <w:t>one incorrigible. This is because informal sanctions are not codified, largely subjective and guided by emotions. Thus, it lacks formal oversight, which can lead to the misuse of informal sanctions, resulting in harm to individuals and rebelliousness rather than repentance among offenders.</w:t>
      </w:r>
    </w:p>
    <w:p w14:paraId="72BA177A" w14:textId="426D3A14" w:rsidR="00B0127F" w:rsidRPr="00700474" w:rsidRDefault="00B0127F" w:rsidP="00B0127F">
      <w:pPr>
        <w:ind w:firstLine="720"/>
        <w:jc w:val="left"/>
      </w:pPr>
      <w:r w:rsidRPr="00700474">
        <w:t xml:space="preserve">A crucial observation is that when participants talked about informal sanctions, they mostly referred to corporal </w:t>
      </w:r>
      <w:r w:rsidR="00022967" w:rsidRPr="00700474">
        <w:t>punishment</w:t>
      </w:r>
      <w:r w:rsidRPr="00700474">
        <w:t xml:space="preserve"> inflicted on children for corrective or disciplinary purposes. The observation hints at a general acceptance of corporal </w:t>
      </w:r>
      <w:r w:rsidR="00022967" w:rsidRPr="00700474">
        <w:t>punishment</w:t>
      </w:r>
      <w:r w:rsidRPr="00700474">
        <w:t xml:space="preserve"> on children, which is a reflection of the current practice in Ghanaian homes and schools. This general acceptance provides insight into why parents and adults who do not utilize physical sanction as reprimand are frequently thought of as having weak parenting styles (Nyarko 2018; Asante 2023). </w:t>
      </w:r>
      <w:r w:rsidR="001E280F" w:rsidRPr="00700474">
        <w:t>Receptiveness</w:t>
      </w:r>
      <w:r w:rsidRPr="00700474">
        <w:t xml:space="preserve"> towards corporal </w:t>
      </w:r>
      <w:r w:rsidR="00022967" w:rsidRPr="00700474">
        <w:t>punishment</w:t>
      </w:r>
      <w:r w:rsidRPr="00700474">
        <w:t xml:space="preserve"> as a disciplinary measure on children triggers some ethical conundrums as to why corporal </w:t>
      </w:r>
      <w:r w:rsidR="00022967" w:rsidRPr="00700474">
        <w:t>punishment</w:t>
      </w:r>
      <w:r w:rsidRPr="00700474">
        <w:t xml:space="preserve"> was expunged from post-legal sanctions because it was considered harsh when used on adults but acceptable to be applied on children.</w:t>
      </w:r>
    </w:p>
    <w:p w14:paraId="3A33DAC5" w14:textId="55A2C236" w:rsidR="005A68CE" w:rsidRPr="00700474" w:rsidRDefault="005A68CE" w:rsidP="00825D8A">
      <w:pPr>
        <w:jc w:val="left"/>
      </w:pPr>
    </w:p>
    <w:p w14:paraId="02204135" w14:textId="77777777" w:rsidR="00CE4BFC" w:rsidRPr="00700474" w:rsidRDefault="00CE4BFC">
      <w:pPr>
        <w:spacing w:after="160" w:line="259" w:lineRule="auto"/>
        <w:jc w:val="left"/>
        <w:rPr>
          <w:rFonts w:eastAsiaTheme="majorEastAsia"/>
          <w:b/>
          <w:bCs/>
        </w:rPr>
      </w:pPr>
      <w:r w:rsidRPr="00700474">
        <w:rPr>
          <w:b/>
          <w:bCs/>
        </w:rPr>
        <w:br w:type="page"/>
      </w:r>
    </w:p>
    <w:p w14:paraId="3967BC37" w14:textId="77777777" w:rsidR="004029BB" w:rsidRPr="00700474" w:rsidRDefault="005A68CE" w:rsidP="00F52300">
      <w:pPr>
        <w:pStyle w:val="Heading1"/>
        <w:spacing w:before="0" w:after="0"/>
        <w:rPr>
          <w:rFonts w:ascii="Times New Roman" w:hAnsi="Times New Roman" w:cs="Times New Roman"/>
          <w:b/>
          <w:bCs/>
          <w:color w:val="000000" w:themeColor="text1"/>
          <w:sz w:val="24"/>
          <w:szCs w:val="24"/>
        </w:rPr>
      </w:pPr>
      <w:bookmarkStart w:id="37" w:name="_Toc204092876"/>
      <w:r w:rsidRPr="00700474">
        <w:rPr>
          <w:rFonts w:ascii="Times New Roman" w:hAnsi="Times New Roman" w:cs="Times New Roman"/>
          <w:b/>
          <w:bCs/>
          <w:color w:val="000000" w:themeColor="text1"/>
          <w:sz w:val="24"/>
          <w:szCs w:val="24"/>
        </w:rPr>
        <w:lastRenderedPageBreak/>
        <w:t>CHAPTER SIX</w:t>
      </w:r>
      <w:bookmarkEnd w:id="37"/>
    </w:p>
    <w:p w14:paraId="42E896B8" w14:textId="118BC095" w:rsidR="00815753" w:rsidRPr="00700474" w:rsidRDefault="005A68CE" w:rsidP="00F52300">
      <w:pPr>
        <w:pStyle w:val="Heading1"/>
        <w:spacing w:before="0" w:after="0"/>
        <w:rPr>
          <w:rFonts w:ascii="Times New Roman" w:hAnsi="Times New Roman" w:cs="Times New Roman"/>
          <w:b/>
          <w:bCs/>
          <w:color w:val="000000" w:themeColor="text1"/>
          <w:sz w:val="24"/>
          <w:szCs w:val="24"/>
        </w:rPr>
      </w:pPr>
      <w:bookmarkStart w:id="38" w:name="_Toc204092877"/>
      <w:r w:rsidRPr="00700474">
        <w:rPr>
          <w:rFonts w:ascii="Times New Roman" w:hAnsi="Times New Roman" w:cs="Times New Roman"/>
          <w:b/>
          <w:bCs/>
          <w:color w:val="000000" w:themeColor="text1"/>
          <w:sz w:val="24"/>
          <w:szCs w:val="24"/>
        </w:rPr>
        <w:t>FINDINGS:</w:t>
      </w:r>
      <w:r w:rsidRPr="00700474">
        <w:rPr>
          <w:rFonts w:ascii="Times New Roman" w:hAnsi="Times New Roman" w:cs="Times New Roman"/>
          <w:b/>
          <w:bCs/>
          <w:color w:val="000000" w:themeColor="text1"/>
          <w:sz w:val="24"/>
          <w:szCs w:val="24"/>
          <w:shd w:val="clear" w:color="auto" w:fill="FFFFFF"/>
        </w:rPr>
        <w:t xml:space="preserve"> </w:t>
      </w:r>
      <w:r w:rsidR="00CE4BFC" w:rsidRPr="00700474">
        <w:rPr>
          <w:rFonts w:ascii="Times New Roman" w:hAnsi="Times New Roman" w:cs="Times New Roman"/>
          <w:b/>
          <w:bCs/>
          <w:color w:val="000000" w:themeColor="text1"/>
          <w:sz w:val="24"/>
          <w:szCs w:val="24"/>
        </w:rPr>
        <w:t>EXTRA-LEGAL SANCTIONS</w:t>
      </w:r>
      <w:bookmarkEnd w:id="38"/>
    </w:p>
    <w:p w14:paraId="3A5C9083" w14:textId="3A41C3E2" w:rsidR="00CE4BFC" w:rsidRPr="00700474" w:rsidRDefault="00CE4BFC" w:rsidP="00F52300">
      <w:pPr>
        <w:ind w:firstLine="360"/>
        <w:jc w:val="left"/>
      </w:pPr>
      <w:r w:rsidRPr="00700474">
        <w:t xml:space="preserve">In Chapter five, I explored participants' perceptions of informal sanctions, such as corporal </w:t>
      </w:r>
      <w:r w:rsidR="00022967" w:rsidRPr="00700474">
        <w:t>punishment</w:t>
      </w:r>
      <w:r w:rsidRPr="00700474">
        <w:t xml:space="preserve">, public shaming and social ostracism. I found that most (90%) of the people I interviewed expressed approval for using informal sanctions, with just 10 percent sharing the review that it is </w:t>
      </w:r>
      <w:r w:rsidR="00AF1BC2" w:rsidRPr="00700474">
        <w:t>counterproductive</w:t>
      </w:r>
      <w:r w:rsidRPr="00700474">
        <w:t xml:space="preserve">. In this chapter, I discuss the findings of participants' perceptions of extra-judicial sanctions in Ghana. Extra-judicial sanctions are penalties that do not conform to established laws. In the Ghanaian context, they include but are not limited to mob justice - an action perpetrated by a group ranging from spontaneous to semi-organized crowd of people that forcefully acts to abuse the rights of an accused person or persons ostensibly to ensure social order and to deter potential threats (Yeboah-Asiamah and Kyeremeh 2014, 4) and certain actions or rituals to appease the gods like </w:t>
      </w:r>
      <w:r w:rsidRPr="00700474">
        <w:rPr>
          <w:i/>
          <w:iCs/>
        </w:rPr>
        <w:t xml:space="preserve">trokosi. </w:t>
      </w:r>
      <w:r w:rsidRPr="00700474">
        <w:t xml:space="preserve">While extra-judicial sanctions may capture a variety of punishments, the discussion of attitudes toward extra-judicial sanctions in this research will be limited to mob justice. This focus was chosen because of the prevalence of mob justice in Ghana (Adzimah-Alade 2020). As such, this chapter explores participants' perceptions of citizens imposing sanctions </w:t>
      </w:r>
      <w:r w:rsidR="004029BB" w:rsidRPr="00700474">
        <w:t>themselves (</w:t>
      </w:r>
      <w:r w:rsidRPr="00700474">
        <w:t xml:space="preserve">mob justice). </w:t>
      </w:r>
    </w:p>
    <w:p w14:paraId="0C20B34E" w14:textId="31FDB47F" w:rsidR="00CE4BFC" w:rsidRPr="00700474" w:rsidRDefault="00CE4BFC" w:rsidP="00F52300">
      <w:pPr>
        <w:ind w:firstLine="360"/>
        <w:jc w:val="left"/>
      </w:pPr>
      <w:r w:rsidRPr="00700474">
        <w:t>Mob justice thrives in most Ghanaian communities, as a self-help approach to achieving justice and dealing with suspected wrongdoings such as armed robbery, pickpocketing, rape, and murder (Asamoah 2019). At the same time, the 1992 constitution of the Republic of Ghana and the 1948 Universal Declaration of Human Rights guarantee suspected wrongdoers the right to hearing in organized and competent courts of jurisdiction (Asamoah 2019). Indeed, all (100%) of my participants said that it was wrong for citizens to impose sanctions on other citizens or offenders</w:t>
      </w:r>
      <w:r w:rsidR="00F52300">
        <w:t xml:space="preserve"> (</w:t>
      </w:r>
      <w:r w:rsidR="00F52300" w:rsidRPr="00F52300">
        <w:rPr>
          <w:b/>
          <w:bCs/>
        </w:rPr>
        <w:t>Table 4</w:t>
      </w:r>
      <w:r w:rsidR="00F52300">
        <w:t>)</w:t>
      </w:r>
      <w:r w:rsidRPr="00700474">
        <w:t xml:space="preserve">. Yet, all (100%) participants approved of it, explaining that mob justice are </w:t>
      </w:r>
    </w:p>
    <w:p w14:paraId="0B8B0369" w14:textId="18A4F885" w:rsidR="00014130" w:rsidRPr="00700474" w:rsidRDefault="00410881" w:rsidP="00684B9A">
      <w:pPr>
        <w:spacing w:after="160" w:line="240" w:lineRule="auto"/>
        <w:jc w:val="left"/>
        <w:rPr>
          <w:b/>
          <w:bCs/>
        </w:rPr>
      </w:pPr>
      <w:bookmarkStart w:id="39" w:name="_Hlk203272316"/>
      <w:r w:rsidRPr="00700474">
        <w:rPr>
          <w:b/>
          <w:bCs/>
        </w:rPr>
        <w:lastRenderedPageBreak/>
        <w:t xml:space="preserve">Table 4: </w:t>
      </w:r>
      <w:r w:rsidRPr="00700474">
        <w:t>Participants’ Perceptions of Mob Justice and the Post-Colonial Legal System (N = 100)</w:t>
      </w:r>
    </w:p>
    <w:tbl>
      <w:tblPr>
        <w:tblStyle w:val="TableGrid"/>
        <w:tblW w:w="0" w:type="auto"/>
        <w:tblLook w:val="04A0" w:firstRow="1" w:lastRow="0" w:firstColumn="1" w:lastColumn="0" w:noHBand="0" w:noVBand="1"/>
      </w:tblPr>
      <w:tblGrid>
        <w:gridCol w:w="2245"/>
        <w:gridCol w:w="3817"/>
        <w:gridCol w:w="1470"/>
        <w:gridCol w:w="1818"/>
      </w:tblGrid>
      <w:tr w:rsidR="00B217D0" w:rsidRPr="00700474" w14:paraId="11BC8FBA" w14:textId="77777777" w:rsidTr="00E0630A">
        <w:tc>
          <w:tcPr>
            <w:tcW w:w="2245" w:type="dxa"/>
            <w:vAlign w:val="center"/>
          </w:tcPr>
          <w:p w14:paraId="4B731C4D" w14:textId="2921D385" w:rsidR="00B217D0" w:rsidRPr="00700474" w:rsidRDefault="00B217D0" w:rsidP="00684B9A">
            <w:pPr>
              <w:spacing w:line="240" w:lineRule="auto"/>
              <w:jc w:val="left"/>
            </w:pPr>
            <w:r w:rsidRPr="00700474">
              <w:rPr>
                <w:b/>
                <w:bCs/>
              </w:rPr>
              <w:t>Theme</w:t>
            </w:r>
          </w:p>
        </w:tc>
        <w:tc>
          <w:tcPr>
            <w:tcW w:w="3817" w:type="dxa"/>
            <w:vAlign w:val="center"/>
          </w:tcPr>
          <w:p w14:paraId="1A11864C" w14:textId="11BC5F6C" w:rsidR="00B217D0" w:rsidRPr="00700474" w:rsidRDefault="00B217D0" w:rsidP="00684B9A">
            <w:pPr>
              <w:spacing w:line="240" w:lineRule="auto"/>
              <w:jc w:val="left"/>
            </w:pPr>
            <w:r w:rsidRPr="00700474">
              <w:rPr>
                <w:b/>
                <w:bCs/>
              </w:rPr>
              <w:t>Description</w:t>
            </w:r>
          </w:p>
        </w:tc>
        <w:tc>
          <w:tcPr>
            <w:tcW w:w="1470" w:type="dxa"/>
            <w:vAlign w:val="center"/>
          </w:tcPr>
          <w:p w14:paraId="2D59E0A9" w14:textId="02A57E5E" w:rsidR="00B217D0" w:rsidRPr="00700474" w:rsidRDefault="00B217D0" w:rsidP="00684B9A">
            <w:pPr>
              <w:spacing w:line="240" w:lineRule="auto"/>
              <w:jc w:val="left"/>
            </w:pPr>
            <w:r w:rsidRPr="00700474">
              <w:rPr>
                <w:b/>
                <w:bCs/>
              </w:rPr>
              <w:t>No. of Participants</w:t>
            </w:r>
          </w:p>
        </w:tc>
        <w:tc>
          <w:tcPr>
            <w:tcW w:w="1818" w:type="dxa"/>
            <w:vAlign w:val="center"/>
          </w:tcPr>
          <w:p w14:paraId="6C0C7F12" w14:textId="21ED7E3E" w:rsidR="00B217D0" w:rsidRPr="00700474" w:rsidRDefault="00B217D0" w:rsidP="00684B9A">
            <w:pPr>
              <w:spacing w:line="240" w:lineRule="auto"/>
              <w:jc w:val="left"/>
            </w:pPr>
            <w:r w:rsidRPr="00700474">
              <w:rPr>
                <w:b/>
                <w:bCs/>
              </w:rPr>
              <w:t>Percentage (%)</w:t>
            </w:r>
          </w:p>
        </w:tc>
      </w:tr>
      <w:tr w:rsidR="00B217D0" w:rsidRPr="00700474" w14:paraId="55754F86" w14:textId="77777777" w:rsidTr="00E0630A">
        <w:tc>
          <w:tcPr>
            <w:tcW w:w="2245" w:type="dxa"/>
            <w:vAlign w:val="center"/>
          </w:tcPr>
          <w:p w14:paraId="09E28753" w14:textId="24E5FA22" w:rsidR="00B217D0" w:rsidRPr="00700474" w:rsidRDefault="00B217D0" w:rsidP="00684B9A">
            <w:pPr>
              <w:spacing w:line="240" w:lineRule="auto"/>
              <w:jc w:val="left"/>
            </w:pPr>
            <w:r w:rsidRPr="00700474">
              <w:t>Mob Justice as Psychological Relief</w:t>
            </w:r>
          </w:p>
        </w:tc>
        <w:tc>
          <w:tcPr>
            <w:tcW w:w="3817" w:type="dxa"/>
            <w:vAlign w:val="center"/>
          </w:tcPr>
          <w:p w14:paraId="526E29D5" w14:textId="25B9A3D3" w:rsidR="00B217D0" w:rsidRPr="00700474" w:rsidRDefault="00B217D0" w:rsidP="00684B9A">
            <w:pPr>
              <w:spacing w:line="240" w:lineRule="auto"/>
              <w:jc w:val="left"/>
            </w:pPr>
            <w:r w:rsidRPr="00700474">
              <w:t>Mob justice provides satisfaction and retribution through psychological relief and swift justice</w:t>
            </w:r>
          </w:p>
        </w:tc>
        <w:tc>
          <w:tcPr>
            <w:tcW w:w="1470" w:type="dxa"/>
            <w:vAlign w:val="center"/>
          </w:tcPr>
          <w:p w14:paraId="6747B06F" w14:textId="5DCE9557" w:rsidR="00B217D0" w:rsidRPr="00700474" w:rsidRDefault="00B217D0" w:rsidP="00684B9A">
            <w:pPr>
              <w:spacing w:line="240" w:lineRule="auto"/>
              <w:jc w:val="left"/>
            </w:pPr>
            <w:r w:rsidRPr="00700474">
              <w:t>60</w:t>
            </w:r>
          </w:p>
        </w:tc>
        <w:tc>
          <w:tcPr>
            <w:tcW w:w="1818" w:type="dxa"/>
            <w:vAlign w:val="center"/>
          </w:tcPr>
          <w:p w14:paraId="44488D48" w14:textId="59441394" w:rsidR="00B217D0" w:rsidRPr="00700474" w:rsidRDefault="00B217D0" w:rsidP="00684B9A">
            <w:pPr>
              <w:spacing w:line="240" w:lineRule="auto"/>
              <w:jc w:val="left"/>
            </w:pPr>
            <w:r w:rsidRPr="00700474">
              <w:t>60%</w:t>
            </w:r>
          </w:p>
        </w:tc>
      </w:tr>
      <w:tr w:rsidR="00B217D0" w:rsidRPr="00700474" w14:paraId="3BDBDD5A" w14:textId="77777777" w:rsidTr="00E0630A">
        <w:tc>
          <w:tcPr>
            <w:tcW w:w="2245" w:type="dxa"/>
            <w:vAlign w:val="center"/>
          </w:tcPr>
          <w:p w14:paraId="1078A20C" w14:textId="58BB0FCA" w:rsidR="00B217D0" w:rsidRPr="00700474" w:rsidRDefault="00B217D0" w:rsidP="00684B9A">
            <w:pPr>
              <w:spacing w:line="240" w:lineRule="auto"/>
              <w:jc w:val="left"/>
            </w:pPr>
            <w:r w:rsidRPr="00700474">
              <w:t>Inefficiency of Post-Colonial Legal System</w:t>
            </w:r>
          </w:p>
        </w:tc>
        <w:tc>
          <w:tcPr>
            <w:tcW w:w="3817" w:type="dxa"/>
            <w:vAlign w:val="center"/>
          </w:tcPr>
          <w:p w14:paraId="7EED5C14" w14:textId="75CF556D" w:rsidR="00B217D0" w:rsidRPr="00700474" w:rsidRDefault="00F659AF" w:rsidP="00684B9A">
            <w:pPr>
              <w:spacing w:line="240" w:lineRule="auto"/>
              <w:jc w:val="left"/>
            </w:pPr>
            <w:r w:rsidRPr="00700474">
              <w:t>Legal</w:t>
            </w:r>
            <w:r w:rsidR="00B217D0" w:rsidRPr="00700474">
              <w:t xml:space="preserve"> system lacks resources, making it ineffective</w:t>
            </w:r>
          </w:p>
        </w:tc>
        <w:tc>
          <w:tcPr>
            <w:tcW w:w="1470" w:type="dxa"/>
            <w:vAlign w:val="center"/>
          </w:tcPr>
          <w:p w14:paraId="72F27488" w14:textId="56FD9E5C" w:rsidR="00B217D0" w:rsidRPr="00700474" w:rsidRDefault="00B217D0" w:rsidP="00684B9A">
            <w:pPr>
              <w:spacing w:line="240" w:lineRule="auto"/>
              <w:jc w:val="left"/>
            </w:pPr>
            <w:r w:rsidRPr="00700474">
              <w:t>70</w:t>
            </w:r>
          </w:p>
        </w:tc>
        <w:tc>
          <w:tcPr>
            <w:tcW w:w="1818" w:type="dxa"/>
            <w:vAlign w:val="center"/>
          </w:tcPr>
          <w:p w14:paraId="5A6D7C9E" w14:textId="5AB115D9" w:rsidR="00B217D0" w:rsidRPr="00700474" w:rsidRDefault="00B217D0" w:rsidP="00684B9A">
            <w:pPr>
              <w:spacing w:line="240" w:lineRule="auto"/>
              <w:jc w:val="left"/>
            </w:pPr>
            <w:r w:rsidRPr="00700474">
              <w:t>70%</w:t>
            </w:r>
          </w:p>
        </w:tc>
      </w:tr>
      <w:tr w:rsidR="00B217D0" w:rsidRPr="00700474" w14:paraId="6C6760B7" w14:textId="77777777" w:rsidTr="00E0630A">
        <w:tc>
          <w:tcPr>
            <w:tcW w:w="2245" w:type="dxa"/>
            <w:vAlign w:val="center"/>
          </w:tcPr>
          <w:p w14:paraId="7CC78934" w14:textId="2DEB6270" w:rsidR="00B217D0" w:rsidRPr="00700474" w:rsidRDefault="00B217D0" w:rsidP="00684B9A">
            <w:pPr>
              <w:spacing w:line="240" w:lineRule="auto"/>
              <w:jc w:val="left"/>
            </w:pPr>
            <w:r w:rsidRPr="00700474">
              <w:t>Mob Justice as Response to Crime Surge</w:t>
            </w:r>
          </w:p>
        </w:tc>
        <w:tc>
          <w:tcPr>
            <w:tcW w:w="3817" w:type="dxa"/>
            <w:vAlign w:val="center"/>
          </w:tcPr>
          <w:p w14:paraId="0DE782FC" w14:textId="3A2C1BA3" w:rsidR="00B217D0" w:rsidRPr="00700474" w:rsidRDefault="00B217D0" w:rsidP="00684B9A">
            <w:pPr>
              <w:spacing w:line="240" w:lineRule="auto"/>
              <w:jc w:val="left"/>
            </w:pPr>
            <w:r w:rsidRPr="00700474">
              <w:t>Extra-judicial sanctions emerge due to an increase in crime</w:t>
            </w:r>
          </w:p>
        </w:tc>
        <w:tc>
          <w:tcPr>
            <w:tcW w:w="1470" w:type="dxa"/>
            <w:vAlign w:val="center"/>
          </w:tcPr>
          <w:p w14:paraId="0598B107" w14:textId="492CFFE0" w:rsidR="00B217D0" w:rsidRPr="00700474" w:rsidRDefault="00B217D0" w:rsidP="00684B9A">
            <w:pPr>
              <w:spacing w:line="240" w:lineRule="auto"/>
              <w:jc w:val="left"/>
            </w:pPr>
            <w:r w:rsidRPr="00700474">
              <w:t>60</w:t>
            </w:r>
          </w:p>
        </w:tc>
        <w:tc>
          <w:tcPr>
            <w:tcW w:w="1818" w:type="dxa"/>
            <w:vAlign w:val="center"/>
          </w:tcPr>
          <w:p w14:paraId="4DCC04DA" w14:textId="5E610F09" w:rsidR="00B217D0" w:rsidRPr="00700474" w:rsidRDefault="00B217D0" w:rsidP="00684B9A">
            <w:pPr>
              <w:spacing w:line="240" w:lineRule="auto"/>
              <w:jc w:val="left"/>
            </w:pPr>
            <w:r w:rsidRPr="00700474">
              <w:t>60%</w:t>
            </w:r>
          </w:p>
        </w:tc>
      </w:tr>
      <w:tr w:rsidR="00B217D0" w:rsidRPr="00700474" w14:paraId="4F2B2BF9" w14:textId="77777777" w:rsidTr="00E0630A">
        <w:tc>
          <w:tcPr>
            <w:tcW w:w="2245" w:type="dxa"/>
            <w:vAlign w:val="center"/>
          </w:tcPr>
          <w:p w14:paraId="54F63E98" w14:textId="1FD43E74" w:rsidR="00B217D0" w:rsidRPr="00700474" w:rsidRDefault="00B217D0" w:rsidP="00684B9A">
            <w:pPr>
              <w:spacing w:line="240" w:lineRule="auto"/>
              <w:jc w:val="left"/>
            </w:pPr>
            <w:r w:rsidRPr="00700474">
              <w:t>Corruption in the Justice System</w:t>
            </w:r>
          </w:p>
        </w:tc>
        <w:tc>
          <w:tcPr>
            <w:tcW w:w="3817" w:type="dxa"/>
            <w:vAlign w:val="center"/>
          </w:tcPr>
          <w:p w14:paraId="05CC3FA3" w14:textId="2C6CA8F5" w:rsidR="00B217D0" w:rsidRPr="00700474" w:rsidRDefault="00B217D0" w:rsidP="00684B9A">
            <w:pPr>
              <w:spacing w:line="240" w:lineRule="auto"/>
              <w:jc w:val="left"/>
            </w:pPr>
            <w:r w:rsidRPr="00700474">
              <w:t>Accused prosecutors, judges, and officials of routinely accepting bribes</w:t>
            </w:r>
          </w:p>
        </w:tc>
        <w:tc>
          <w:tcPr>
            <w:tcW w:w="1470" w:type="dxa"/>
            <w:vAlign w:val="center"/>
          </w:tcPr>
          <w:p w14:paraId="07B211B5" w14:textId="5F9A770C" w:rsidR="00B217D0" w:rsidRPr="00700474" w:rsidRDefault="00B217D0" w:rsidP="00684B9A">
            <w:pPr>
              <w:spacing w:line="240" w:lineRule="auto"/>
              <w:jc w:val="left"/>
            </w:pPr>
            <w:r w:rsidRPr="00700474">
              <w:t>70</w:t>
            </w:r>
          </w:p>
        </w:tc>
        <w:tc>
          <w:tcPr>
            <w:tcW w:w="1818" w:type="dxa"/>
            <w:vAlign w:val="center"/>
          </w:tcPr>
          <w:p w14:paraId="555DF6CA" w14:textId="43D60277" w:rsidR="00B217D0" w:rsidRPr="00700474" w:rsidRDefault="00B217D0" w:rsidP="00684B9A">
            <w:pPr>
              <w:spacing w:line="240" w:lineRule="auto"/>
              <w:jc w:val="left"/>
            </w:pPr>
            <w:r w:rsidRPr="00700474">
              <w:t>70%</w:t>
            </w:r>
          </w:p>
        </w:tc>
      </w:tr>
      <w:tr w:rsidR="00B217D0" w:rsidRPr="00700474" w14:paraId="2A2776F3" w14:textId="77777777" w:rsidTr="00E0630A">
        <w:tc>
          <w:tcPr>
            <w:tcW w:w="2245" w:type="dxa"/>
            <w:vAlign w:val="center"/>
          </w:tcPr>
          <w:p w14:paraId="4642DB34" w14:textId="739A7EFA" w:rsidR="00B217D0" w:rsidRPr="00700474" w:rsidRDefault="00B217D0" w:rsidP="00684B9A">
            <w:pPr>
              <w:spacing w:line="240" w:lineRule="auto"/>
              <w:jc w:val="left"/>
            </w:pPr>
            <w:r w:rsidRPr="00700474">
              <w:t>Mob Justice as Legacy of Imperialism</w:t>
            </w:r>
          </w:p>
        </w:tc>
        <w:tc>
          <w:tcPr>
            <w:tcW w:w="3817" w:type="dxa"/>
            <w:vAlign w:val="center"/>
          </w:tcPr>
          <w:p w14:paraId="0DE03B60" w14:textId="0906292C" w:rsidR="00B217D0" w:rsidRPr="00700474" w:rsidRDefault="00B217D0" w:rsidP="00684B9A">
            <w:pPr>
              <w:spacing w:line="240" w:lineRule="auto"/>
              <w:jc w:val="left"/>
            </w:pPr>
            <w:r w:rsidRPr="00700474">
              <w:t>Viewed mob justice as a byproduct of imperial or colonial influence</w:t>
            </w:r>
          </w:p>
        </w:tc>
        <w:tc>
          <w:tcPr>
            <w:tcW w:w="1470" w:type="dxa"/>
            <w:vAlign w:val="center"/>
          </w:tcPr>
          <w:p w14:paraId="6E529169" w14:textId="4C662346" w:rsidR="00B217D0" w:rsidRPr="00700474" w:rsidRDefault="00B217D0" w:rsidP="00684B9A">
            <w:pPr>
              <w:spacing w:line="240" w:lineRule="auto"/>
              <w:jc w:val="left"/>
            </w:pPr>
            <w:r w:rsidRPr="00700474">
              <w:t>40</w:t>
            </w:r>
          </w:p>
        </w:tc>
        <w:tc>
          <w:tcPr>
            <w:tcW w:w="1818" w:type="dxa"/>
            <w:vAlign w:val="center"/>
          </w:tcPr>
          <w:p w14:paraId="70A16A8B" w14:textId="0564074E" w:rsidR="00B217D0" w:rsidRPr="00700474" w:rsidRDefault="00B217D0" w:rsidP="00684B9A">
            <w:pPr>
              <w:spacing w:line="240" w:lineRule="auto"/>
              <w:jc w:val="left"/>
            </w:pPr>
            <w:r w:rsidRPr="00700474">
              <w:t>40%</w:t>
            </w:r>
          </w:p>
        </w:tc>
      </w:tr>
      <w:bookmarkEnd w:id="39"/>
    </w:tbl>
    <w:p w14:paraId="759AAB08" w14:textId="77777777" w:rsidR="004029BB" w:rsidRDefault="004029BB" w:rsidP="00CE4BFC">
      <w:pPr>
        <w:jc w:val="left"/>
        <w:rPr>
          <w:b/>
          <w:bCs/>
        </w:rPr>
      </w:pPr>
    </w:p>
    <w:p w14:paraId="0A3525A7" w14:textId="33F22E71" w:rsidR="00F52300" w:rsidRPr="00700474" w:rsidRDefault="00F52300" w:rsidP="00CE4BFC">
      <w:pPr>
        <w:jc w:val="left"/>
        <w:rPr>
          <w:b/>
          <w:bCs/>
        </w:rPr>
      </w:pPr>
      <w:r w:rsidRPr="00700474">
        <w:t>reactionary measures and usually not the first option but the last resort provoked by broadly held perceptions about police and judicial corruption, a perceived failure and ineffective legal system, desire for immediate retribution and satisfaction and inadequate security amidst an upsurge in crime. In the pages that follow, first, I discuss perceptions of extra-judicial sanctions (mob justice) among participants. Second, I explore the various explanations offered in support of its use including notable remarks on mob justice as a product of colonialism.</w:t>
      </w:r>
    </w:p>
    <w:p w14:paraId="5D8B7646" w14:textId="49A04512" w:rsidR="00CE4BFC" w:rsidRPr="00700474" w:rsidRDefault="00CE4BFC" w:rsidP="004029BB">
      <w:pPr>
        <w:rPr>
          <w:b/>
          <w:bCs/>
        </w:rPr>
      </w:pPr>
      <w:r w:rsidRPr="00700474">
        <w:rPr>
          <w:b/>
          <w:bCs/>
        </w:rPr>
        <w:t>Perceptions: Mob Justice</w:t>
      </w:r>
    </w:p>
    <w:p w14:paraId="4A454B72" w14:textId="77777777" w:rsidR="00CE4BFC" w:rsidRPr="00700474" w:rsidRDefault="00CE4BFC" w:rsidP="00CE4BFC">
      <w:pPr>
        <w:jc w:val="left"/>
      </w:pPr>
      <w:r w:rsidRPr="00700474">
        <w:t xml:space="preserve">Participants were willing and eager to discuss extra-judicial sanctions, particularly mob justice. I asked participants' views regarding citizens imposing sanctions themselves. And what has influenced this thinking?  Participants responded with so much enthusiasm which was a testament to the gravity of the issue, as the trend of mob justice has increased in most Ghanaian communities (Adzimah-Alade et al., 2020). All participants voluntarily shared their own or observed experiences, forming the basis of their approval of using mob justice. Participants' </w:t>
      </w:r>
      <w:r w:rsidRPr="00700474">
        <w:lastRenderedPageBreak/>
        <w:t>gestures and body language while sharing their experiences signaled cathartic feelings and gave the participants a sense of validation. Also, discussing mob justice evoked strong emotions such as anger, frustration and fear among participants. Based on the responses from participants, five main themes emerged: mob justice is (a) a product of colonialism, (b) to ensure satisfaction, (c) an ineffective justice system, (d) an upsurge in crime and (e) police and judicial corruption.</w:t>
      </w:r>
    </w:p>
    <w:p w14:paraId="5F6C4375" w14:textId="77777777" w:rsidR="00CE4BFC" w:rsidRPr="00700474" w:rsidRDefault="00CE4BFC" w:rsidP="00CE4BFC">
      <w:pPr>
        <w:jc w:val="left"/>
        <w:rPr>
          <w:b/>
          <w:bCs/>
          <w:i/>
          <w:iCs/>
        </w:rPr>
      </w:pPr>
      <w:r w:rsidRPr="00700474">
        <w:rPr>
          <w:b/>
          <w:bCs/>
          <w:i/>
          <w:iCs/>
        </w:rPr>
        <w:t xml:space="preserve">Mob Justice and Vengeance </w:t>
      </w:r>
    </w:p>
    <w:p w14:paraId="5764C0AF" w14:textId="77777777" w:rsidR="00CE4BFC" w:rsidRPr="00700474" w:rsidRDefault="00CE4BFC" w:rsidP="00CE4BFC">
      <w:pPr>
        <w:jc w:val="left"/>
      </w:pPr>
      <w:r w:rsidRPr="00700474">
        <w:t>Sixty (60) percent of participants explained that mob justice ensured satisfaction and retribution due to psychological relief and a desire for immediate justice.</w:t>
      </w:r>
    </w:p>
    <w:p w14:paraId="4F40E9F7" w14:textId="77777777" w:rsidR="00CE4BFC" w:rsidRPr="00700474" w:rsidRDefault="00CE4BFC" w:rsidP="00CE4BFC">
      <w:pPr>
        <w:jc w:val="left"/>
      </w:pPr>
      <w:r w:rsidRPr="00700474">
        <w:t>According to Ewuraabena, mob justice guarantees that people get what they deserve.</w:t>
      </w:r>
    </w:p>
    <w:p w14:paraId="085C9442" w14:textId="77777777" w:rsidR="00CE4BFC" w:rsidRPr="00700474" w:rsidRDefault="00CE4BFC" w:rsidP="00CE4BFC">
      <w:pPr>
        <w:ind w:left="720"/>
        <w:jc w:val="left"/>
      </w:pPr>
      <w:r w:rsidRPr="00700474">
        <w:t>You know, mob justice provides immediate punishment for perceived wrongs. It brings satisfaction to the victim. It is not a good feeling to see your attacker freed without any form of punishment because of police corruption or judicial corruption. With mob justice, you are assured the offender will get what they deserve. In some cases, they even get more than they deserve to serve as a lesson to him and others.</w:t>
      </w:r>
    </w:p>
    <w:p w14:paraId="62B04E30" w14:textId="77777777" w:rsidR="00CE4BFC" w:rsidRPr="00700474" w:rsidRDefault="00CE4BFC" w:rsidP="00CE4BFC">
      <w:pPr>
        <w:jc w:val="left"/>
      </w:pPr>
      <w:r w:rsidRPr="00700474">
        <w:t>For people like Maku, the satisfaction derived from mob justice is crucial, based on her personal experience and convictions. Maku shared a story behind this satisfaction.</w:t>
      </w:r>
    </w:p>
    <w:p w14:paraId="20B479B5" w14:textId="77777777" w:rsidR="00CE4BFC" w:rsidRPr="00700474" w:rsidRDefault="00CE4BFC" w:rsidP="00CE4BFC">
      <w:pPr>
        <w:ind w:left="720"/>
        <w:jc w:val="left"/>
      </w:pPr>
      <w:r w:rsidRPr="00700474">
        <w:t xml:space="preserve">My husband bought a motorcycle and gave it to somebody to work…the person worked one month … and brought the first sales to my husband. On the dawn of the third day of the new month, he called my husband crying that the motor had been stolen….  Before this experience, whenever a thief is caught, I felt pity for the person ….. but after our experience, I have no pity for such people. My husband was a cleaner who woke up by 4 am and went to work. He struggled and worked hard for almost 5 years before he could save and buy this motor for someone to use just one day to steal the motor.  So now, </w:t>
      </w:r>
      <w:r w:rsidRPr="00700474">
        <w:lastRenderedPageBreak/>
        <w:t>whenever a thief is beaten, it brings some satisfaction. The satisfaction I did not get with apprehending the one who stole our motorbike.</w:t>
      </w:r>
    </w:p>
    <w:p w14:paraId="46ADC84E" w14:textId="77777777" w:rsidR="00CE4BFC" w:rsidRPr="00700474" w:rsidRDefault="00CE4BFC" w:rsidP="00CE4BFC">
      <w:pPr>
        <w:jc w:val="left"/>
      </w:pPr>
      <w:r w:rsidRPr="00700474">
        <w:t>Nimako argued that the legal system and other approaches such as counselling are too “lenient”:</w:t>
      </w:r>
    </w:p>
    <w:p w14:paraId="13EA30FB" w14:textId="33F09CC2" w:rsidR="00CE4BFC" w:rsidRPr="00700474" w:rsidRDefault="00CE4BFC" w:rsidP="00CE4BFC">
      <w:pPr>
        <w:ind w:left="720"/>
        <w:jc w:val="left"/>
      </w:pPr>
      <w:r w:rsidRPr="00700474">
        <w:t xml:space="preserve">This particular thief always comes to our community to steal. Each time when caught him, we counselled him and handed him over to the police. But he ends up coming back. So there was this time when we caught him, we beat him cos we realized being lenient was not helping the situation.….he was beaten with every item or instrument available....laughs...I am not a wicked person. What I mean to say is that, one needs a solution to a problem and if you have explored all lenient options like the legal system and its not working. It’s okay to go </w:t>
      </w:r>
      <w:r w:rsidR="004029BB" w:rsidRPr="00700474">
        <w:t>extreme,</w:t>
      </w:r>
      <w:r w:rsidRPr="00700474">
        <w:t xml:space="preserve"> however harsh.</w:t>
      </w:r>
    </w:p>
    <w:p w14:paraId="1A65BC17" w14:textId="77777777" w:rsidR="00CE4BFC" w:rsidRPr="00700474" w:rsidRDefault="00CE4BFC" w:rsidP="00CE4BFC">
      <w:pPr>
        <w:jc w:val="left"/>
      </w:pPr>
      <w:r w:rsidRPr="00700474">
        <w:t xml:space="preserve">Nimako’s assertion underscored Tankebe’s (2009) argument that most Ghanaians believe imprisonment is too lenient and does not inhibit criminal activity. </w:t>
      </w:r>
    </w:p>
    <w:p w14:paraId="4BED8CF4" w14:textId="77777777" w:rsidR="00CE4BFC" w:rsidRPr="00700474" w:rsidRDefault="00CE4BFC" w:rsidP="00CE4BFC">
      <w:pPr>
        <w:ind w:firstLine="720"/>
        <w:jc w:val="left"/>
      </w:pPr>
      <w:r w:rsidRPr="00700474">
        <w:t xml:space="preserve">For Ewurabena, mob justice guaranteed immediate sanctions for perceived wrongs. Maku’s response brought to the fore the fact that her personal experience with crime has significantly shaped her attitude toward mob justice. Her response also highlighted the tendency for victims of crime to misdirect their anger from previous experiences towards other offenders, who may not have anything to do with them directly, especially if they were unable to apprehend their assailant. </w:t>
      </w:r>
    </w:p>
    <w:p w14:paraId="73455B3B" w14:textId="77777777" w:rsidR="00CE4BFC" w:rsidRPr="00700474" w:rsidRDefault="00CE4BFC" w:rsidP="00CE4BFC">
      <w:pPr>
        <w:jc w:val="left"/>
        <w:rPr>
          <w:b/>
          <w:bCs/>
          <w:i/>
          <w:iCs/>
        </w:rPr>
      </w:pPr>
      <w:r w:rsidRPr="00700474">
        <w:rPr>
          <w:b/>
          <w:bCs/>
          <w:i/>
          <w:iCs/>
        </w:rPr>
        <w:t>Mob Justice and Ineffective Justice System</w:t>
      </w:r>
    </w:p>
    <w:p w14:paraId="46C9EA88" w14:textId="77777777" w:rsidR="00CE4BFC" w:rsidRPr="00700474" w:rsidRDefault="00CE4BFC" w:rsidP="00CE4BFC">
      <w:pPr>
        <w:jc w:val="left"/>
      </w:pPr>
      <w:r w:rsidRPr="00700474">
        <w:t xml:space="preserve">Seventy (70) percent of the participants averred that the post-colonial legal system is saddled with limited resources, making justice delivery ineffective. Thus, extra-judicial sanctions have emerged as resistance against the inefficiency that characterizes the post-colonial justice system. </w:t>
      </w:r>
    </w:p>
    <w:p w14:paraId="4B37463C" w14:textId="77777777" w:rsidR="00CE4BFC" w:rsidRPr="00700474" w:rsidRDefault="00CE4BFC" w:rsidP="00CE4BFC">
      <w:pPr>
        <w:jc w:val="left"/>
      </w:pPr>
      <w:r w:rsidRPr="00700474">
        <w:lastRenderedPageBreak/>
        <w:t xml:space="preserve">Before Mensima explained that mob justice is a response to an under-resourced police service and corrupt corrupt officials, she made a fist and gently rhythmically hit the table for a while. </w:t>
      </w:r>
    </w:p>
    <w:p w14:paraId="228E5C0B" w14:textId="77777777" w:rsidR="00CE4BFC" w:rsidRPr="00700474" w:rsidRDefault="00CE4BFC" w:rsidP="00CE4BFC">
      <w:pPr>
        <w:ind w:left="720"/>
        <w:jc w:val="left"/>
      </w:pPr>
      <w:r w:rsidRPr="00700474">
        <w:t>Hmm…. You see, the formal legal system we have now was inherited through colonialism. This institution is so under-resourced. On top of that, it is marked with corruption and all that… at least Anas's documentary tells it all. Police officers in Ghana are corrupt; they fail to arrest, investigate, or prosecute offenders because of family and friendship ties or bribes taken from suspects. This weakness has made most of us more reliant on mob justice and other extra-judicial measures. If only we had reverted to our own system of justice, which I think is free and fair.</w:t>
      </w:r>
    </w:p>
    <w:p w14:paraId="4A6DC938" w14:textId="77777777" w:rsidR="00CE4BFC" w:rsidRPr="00700474" w:rsidRDefault="00CE4BFC" w:rsidP="00CE4BFC">
      <w:pPr>
        <w:jc w:val="left"/>
        <w:rPr>
          <w:rFonts w:eastAsia="Times New Roman"/>
        </w:rPr>
      </w:pPr>
      <w:r w:rsidRPr="00700474">
        <w:rPr>
          <w:rFonts w:eastAsia="Times New Roman"/>
        </w:rPr>
        <w:t>Nana Poku expressed that inadequate responses by the police service triggered mob justice:</w:t>
      </w:r>
    </w:p>
    <w:p w14:paraId="70CD3E29" w14:textId="77777777" w:rsidR="00CE4BFC" w:rsidRPr="00700474" w:rsidRDefault="00CE4BFC" w:rsidP="00CE4BFC">
      <w:pPr>
        <w:ind w:left="720"/>
        <w:jc w:val="left"/>
        <w:rPr>
          <w:rFonts w:eastAsia="Times New Roman"/>
        </w:rPr>
      </w:pPr>
      <w:r w:rsidRPr="00700474">
        <w:rPr>
          <w:rFonts w:eastAsia="Times New Roman"/>
        </w:rPr>
        <w:t xml:space="preserve">I grew up in a community where we didn’t feel safe because every so often armed robbers would attack a home and rob them. It became unbearable with the community seeing no solution from the police. So community members decided to keep their community safe their own way. This meant they implemented punitive measures such burning thieves with car tires. So, it became a normal practice in my community and no one would go and report to the police that an armed robber has been caught and burned. </w:t>
      </w:r>
    </w:p>
    <w:p w14:paraId="0CD69C6A" w14:textId="77777777" w:rsidR="00CE4BFC" w:rsidRPr="00700474" w:rsidRDefault="00CE4BFC" w:rsidP="00CE4BFC">
      <w:pPr>
        <w:jc w:val="left"/>
        <w:rPr>
          <w:rFonts w:eastAsia="Times New Roman"/>
        </w:rPr>
      </w:pPr>
      <w:r w:rsidRPr="00700474">
        <w:rPr>
          <w:rFonts w:eastAsia="Times New Roman"/>
        </w:rPr>
        <w:t>Afriyie’s narrative likewise blamed the use of mob justice on the logistical challenge and negligence of the police service:</w:t>
      </w:r>
    </w:p>
    <w:p w14:paraId="203B492E" w14:textId="5804D4E8" w:rsidR="00CE4BFC" w:rsidRPr="00700474" w:rsidRDefault="004029BB" w:rsidP="00CE4BFC">
      <w:pPr>
        <w:ind w:left="720"/>
        <w:jc w:val="left"/>
        <w:rPr>
          <w:rFonts w:eastAsia="Times New Roman"/>
        </w:rPr>
      </w:pPr>
      <w:r w:rsidRPr="00700474">
        <w:rPr>
          <w:rFonts w:eastAsia="Times New Roman"/>
        </w:rPr>
        <w:t>Every day</w:t>
      </w:r>
      <w:r w:rsidR="00CE4BFC" w:rsidRPr="00700474">
        <w:rPr>
          <w:rFonts w:eastAsia="Times New Roman"/>
        </w:rPr>
        <w:t xml:space="preserve"> if you call the police station for an </w:t>
      </w:r>
      <w:r w:rsidRPr="00700474">
        <w:rPr>
          <w:rFonts w:eastAsia="Times New Roman"/>
        </w:rPr>
        <w:t>emergency it</w:t>
      </w:r>
      <w:r w:rsidR="00CE4BFC" w:rsidRPr="00700474">
        <w:rPr>
          <w:rFonts w:eastAsia="Times New Roman"/>
        </w:rPr>
        <w:t xml:space="preserve"> is one story or the other. It's either they don’t have a car or there is no fuel. </w:t>
      </w:r>
      <w:r w:rsidRPr="00700474">
        <w:rPr>
          <w:rFonts w:eastAsia="Times New Roman"/>
        </w:rPr>
        <w:t>Sometimes</w:t>
      </w:r>
      <w:r w:rsidR="00CE4BFC" w:rsidRPr="00700474">
        <w:rPr>
          <w:rFonts w:eastAsia="Times New Roman"/>
        </w:rPr>
        <w:t xml:space="preserve"> they will tell you they are on their way by the time </w:t>
      </w:r>
      <w:r w:rsidRPr="00700474">
        <w:rPr>
          <w:rFonts w:eastAsia="Times New Roman"/>
        </w:rPr>
        <w:t>they</w:t>
      </w:r>
      <w:r w:rsidR="00CE4BFC" w:rsidRPr="00700474">
        <w:rPr>
          <w:rFonts w:eastAsia="Times New Roman"/>
        </w:rPr>
        <w:t xml:space="preserve"> get there what you were preventing from happening would have happened. Robbers came to our </w:t>
      </w:r>
      <w:r w:rsidRPr="00700474">
        <w:rPr>
          <w:rFonts w:eastAsia="Times New Roman"/>
        </w:rPr>
        <w:t>area,</w:t>
      </w:r>
      <w:r w:rsidR="00CE4BFC" w:rsidRPr="00700474">
        <w:rPr>
          <w:rFonts w:eastAsia="Times New Roman"/>
        </w:rPr>
        <w:t xml:space="preserve"> and we made that mistake of calling the police for help. By the time they got the robbers were done with the operation and were long </w:t>
      </w:r>
      <w:r w:rsidR="00CE4BFC" w:rsidRPr="00700474">
        <w:rPr>
          <w:rFonts w:eastAsia="Times New Roman"/>
        </w:rPr>
        <w:lastRenderedPageBreak/>
        <w:t>gone. Next time you think I will call the police? no. I will call other neighbors to mobilize and deal with them.</w:t>
      </w:r>
    </w:p>
    <w:p w14:paraId="1D7325CE" w14:textId="77777777" w:rsidR="00CE4BFC" w:rsidRPr="00700474" w:rsidRDefault="00CE4BFC" w:rsidP="00CE4BFC">
      <w:pPr>
        <w:jc w:val="left"/>
        <w:rPr>
          <w:rFonts w:eastAsia="Times New Roman"/>
        </w:rPr>
      </w:pPr>
      <w:r w:rsidRPr="00700474">
        <w:rPr>
          <w:rFonts w:eastAsia="Times New Roman"/>
        </w:rPr>
        <w:t>Asante bemoaned the quick return of offenders into the community:</w:t>
      </w:r>
    </w:p>
    <w:p w14:paraId="344E3252" w14:textId="38467C40" w:rsidR="00CE4BFC" w:rsidRPr="00700474" w:rsidRDefault="00CE4BFC" w:rsidP="00CE4BFC">
      <w:pPr>
        <w:ind w:left="720"/>
        <w:jc w:val="left"/>
        <w:rPr>
          <w:rFonts w:eastAsia="Times New Roman"/>
        </w:rPr>
      </w:pPr>
      <w:r w:rsidRPr="00700474">
        <w:rPr>
          <w:rFonts w:eastAsia="Times New Roman"/>
        </w:rPr>
        <w:t>You take offenders to the police station, tomorrow they are out. Can you believe that a thief was released without prosecution because they said the police prosecutor on the case was transferred to a different station and they can’t find the docket for the case?</w:t>
      </w:r>
    </w:p>
    <w:p w14:paraId="480A33B2" w14:textId="4C68BE38" w:rsidR="00CE4BFC" w:rsidRPr="00700474" w:rsidRDefault="00CE4BFC" w:rsidP="00CE4BFC">
      <w:pPr>
        <w:jc w:val="left"/>
        <w:rPr>
          <w:rFonts w:eastAsia="Times New Roman"/>
        </w:rPr>
      </w:pPr>
      <w:r w:rsidRPr="00700474">
        <w:rPr>
          <w:rFonts w:eastAsia="Times New Roman"/>
        </w:rPr>
        <w:t xml:space="preserve">Mensima bemoaned two challenges with the police system: lack of resources and corruption. Her statement, "This weakness has made most of us more reliant on mob justice and other </w:t>
      </w:r>
      <w:r w:rsidRPr="00700474">
        <w:t>extra-judicial</w:t>
      </w:r>
      <w:r w:rsidRPr="00700474">
        <w:rPr>
          <w:rFonts w:eastAsia="Times New Roman"/>
        </w:rPr>
        <w:t xml:space="preserve"> measures," acknowledges that mob justice is illegal. Nana Poku's narrative projected mob justice as a protective measure, a necessary evil to ward off predators. He presented himself and community members as law-abiding citizens who resorted to mob justice for survival. Afriyie's use of the word "everyday" arguably does not indicate that they call the police station every day but the unresponsive and lackadaisical attitude of the police in responding to urgent crime reports. Like Afriyie, Asante also deployed a hyperbole "tomorrow" (“You take offenders to the police station, tomorrow they are out”) to communicate that offenders in most cases, are eventually released from police custody and left unpunished. Asante sought to position me as of a like mind when he posed the question "Can you believe?" burnish his expression of surprise at the fact that the persecution of an offender was aborted for a flimsy excuse, perhaps because I too have been exposed to the Ghanaian setting, both as a citizen and a researcher.</w:t>
      </w:r>
    </w:p>
    <w:p w14:paraId="4A6E1080" w14:textId="77777777" w:rsidR="00CE4BFC" w:rsidRPr="00700474" w:rsidRDefault="00CE4BFC" w:rsidP="00CE4BFC">
      <w:pPr>
        <w:jc w:val="left"/>
        <w:rPr>
          <w:b/>
          <w:bCs/>
          <w:i/>
          <w:iCs/>
        </w:rPr>
      </w:pPr>
      <w:r w:rsidRPr="00700474">
        <w:rPr>
          <w:b/>
          <w:bCs/>
          <w:i/>
          <w:iCs/>
        </w:rPr>
        <w:t>Mob Justice and High Crime Rates</w:t>
      </w:r>
    </w:p>
    <w:p w14:paraId="7B7BDA5C" w14:textId="77777777" w:rsidR="00CE4BFC" w:rsidRPr="00700474" w:rsidRDefault="00CE4BFC" w:rsidP="00CE4BFC">
      <w:pPr>
        <w:jc w:val="left"/>
      </w:pPr>
      <w:r w:rsidRPr="00700474">
        <w:t xml:space="preserve">Sixty (60) percent of the participants contended that extra-judicial sanctions, such as mob justice, are a response to an upsurge in crime. The Ghana Public Safety and Crime Report (January-December 2021) provides empirical support for the claim that crime rates, including rates of very </w:t>
      </w:r>
      <w:r w:rsidRPr="00700474">
        <w:lastRenderedPageBreak/>
        <w:t xml:space="preserve">violent crime, have risen in recent years. For instance, the report shows that violent crimes reported in Y2021 increased by 40.8% and reported associated deaths also increased by 53.7% over Y2020. To this end, participants shared that the government has failed to provide and enhance adequate security for its citizens and their properties, leading to increased crime rates. However, they also highlighted the proactive role of communities in crime prevention. They told me that the state’s failure in this context has led communities to resort to extralegal activities, such as mob justice, to protect themselves and their families. They aim to assume the role of an arbiter, not an abuser of justice, demonstrating the community’s resilience and determination to address the issue. </w:t>
      </w:r>
    </w:p>
    <w:p w14:paraId="5974EFC9" w14:textId="77777777" w:rsidR="00CE4BFC" w:rsidRPr="00700474" w:rsidRDefault="00CE4BFC" w:rsidP="00CE4BFC">
      <w:pPr>
        <w:jc w:val="left"/>
      </w:pPr>
      <w:r w:rsidRPr="00700474">
        <w:t>Imaa described mob justice as a response to high crime rates amidst inadequate security:</w:t>
      </w:r>
    </w:p>
    <w:p w14:paraId="761FCF4D" w14:textId="5C422AB2" w:rsidR="00CE4BFC" w:rsidRPr="00700474" w:rsidRDefault="00CE4BFC" w:rsidP="00CE4BFC">
      <w:pPr>
        <w:ind w:left="720"/>
        <w:jc w:val="left"/>
        <w:rPr>
          <w:rFonts w:eastAsia="Times New Roman"/>
        </w:rPr>
      </w:pPr>
      <w:r w:rsidRPr="00700474">
        <w:t>E</w:t>
      </w:r>
      <w:r w:rsidRPr="00700474">
        <w:rPr>
          <w:rFonts w:eastAsia="Times New Roman"/>
        </w:rPr>
        <w:t xml:space="preserve">ver since we moved to this community today this, tomorrow that. There's been an increase in crime and unfortunately, we don’t seem to see hope or any form of protection. It feels like we are on our own so we are forced to deal with the issues our way. Our interest is not to harm but </w:t>
      </w:r>
      <w:r w:rsidR="00AF1BC2" w:rsidRPr="00700474">
        <w:rPr>
          <w:rFonts w:eastAsia="Times New Roman"/>
        </w:rPr>
        <w:t>to prevent</w:t>
      </w:r>
      <w:r w:rsidRPr="00700474">
        <w:rPr>
          <w:rFonts w:eastAsia="Times New Roman"/>
        </w:rPr>
        <w:t xml:space="preserve"> crime. However, if what it takes to achieve that means harming them, why not.</w:t>
      </w:r>
    </w:p>
    <w:p w14:paraId="3D60C2A5" w14:textId="77777777" w:rsidR="00CE4BFC" w:rsidRPr="00700474" w:rsidRDefault="00CE4BFC" w:rsidP="00CE4BFC">
      <w:pPr>
        <w:jc w:val="left"/>
        <w:rPr>
          <w:rFonts w:eastAsia="Times New Roman"/>
        </w:rPr>
      </w:pPr>
      <w:r w:rsidRPr="00700474">
        <w:rPr>
          <w:rFonts w:eastAsia="Times New Roman"/>
        </w:rPr>
        <w:t>Like Asante in the previous section, the figuration around ‘today’ and ‘tomorrow’ suggests being beleaguered by problems of crime without relief.</w:t>
      </w:r>
    </w:p>
    <w:p w14:paraId="44180F94" w14:textId="77777777" w:rsidR="00CE4BFC" w:rsidRPr="00700474" w:rsidRDefault="00CE4BFC" w:rsidP="00CE4BFC">
      <w:pPr>
        <w:jc w:val="left"/>
      </w:pPr>
      <w:r w:rsidRPr="00700474">
        <w:t>Tetteh similarly pointed out to a time-urgent circumstance:</w:t>
      </w:r>
    </w:p>
    <w:p w14:paraId="6A1A8039" w14:textId="77777777" w:rsidR="00CE4BFC" w:rsidRPr="00700474" w:rsidRDefault="00CE4BFC" w:rsidP="00CE4BFC">
      <w:pPr>
        <w:ind w:left="720"/>
        <w:jc w:val="left"/>
        <w:rPr>
          <w:rFonts w:eastAsia="Times New Roman"/>
        </w:rPr>
      </w:pPr>
      <w:bookmarkStart w:id="40" w:name="_Hlk201461746"/>
      <w:r w:rsidRPr="00700474">
        <w:rPr>
          <w:rFonts w:eastAsia="Times New Roman"/>
        </w:rPr>
        <w:t>Charley, crime rates keep increasing, yet we see no show from the police. We can’t wait anymore. We will deal with it our own way. Today is Wednesday, just three days into the week. By this time, we would have had about four or five cases of burglary, but ever since we implemented our own system of punishment, like physically beating offenders, they have stopped disturbing our peace.</w:t>
      </w:r>
    </w:p>
    <w:p w14:paraId="00694561" w14:textId="2925FB69" w:rsidR="00CE4BFC" w:rsidRPr="00700474" w:rsidRDefault="00CE4BFC" w:rsidP="00CE4BFC">
      <w:pPr>
        <w:jc w:val="left"/>
        <w:rPr>
          <w:rFonts w:eastAsia="Times New Roman"/>
        </w:rPr>
      </w:pPr>
      <w:bookmarkStart w:id="41" w:name="_Hlk201455785"/>
      <w:bookmarkEnd w:id="40"/>
      <w:r w:rsidRPr="00700474">
        <w:rPr>
          <w:rFonts w:eastAsia="Times New Roman"/>
        </w:rPr>
        <w:lastRenderedPageBreak/>
        <w:t xml:space="preserve">Afrifa lamented the challenges faced by people residing in developing communities, suggesting they are more vulnerable to criminal activities given poor lighting, pushing them to adopt </w:t>
      </w:r>
      <w:r w:rsidRPr="00700474">
        <w:t xml:space="preserve">extra-judicial </w:t>
      </w:r>
      <w:r w:rsidRPr="00700474">
        <w:rPr>
          <w:rFonts w:eastAsia="Times New Roman"/>
        </w:rPr>
        <w:t>measures for security purposes.</w:t>
      </w:r>
    </w:p>
    <w:p w14:paraId="0145DCEC" w14:textId="312AC06A" w:rsidR="00CE4BFC" w:rsidRPr="00700474" w:rsidRDefault="00CE4BFC" w:rsidP="004029BB">
      <w:pPr>
        <w:ind w:left="720"/>
        <w:jc w:val="left"/>
        <w:rPr>
          <w:rFonts w:eastAsia="Times New Roman"/>
        </w:rPr>
      </w:pPr>
      <w:r w:rsidRPr="00700474">
        <w:rPr>
          <w:rFonts w:eastAsia="Times New Roman"/>
        </w:rPr>
        <w:t>Where I live is a new settlement. So, we lack some of these basic amenities like lights and thieves have taken advantage to be attacking us. We feel so unsafe but the police are not available to protect us. They claim they lack the necessary accoutrement. So, what do you expect? I will defend myself, even if it means taking the law into my hands</w:t>
      </w:r>
      <w:bookmarkEnd w:id="41"/>
    </w:p>
    <w:p w14:paraId="53CA2423" w14:textId="0C7FE5C6" w:rsidR="00CE4BFC" w:rsidRPr="00700474" w:rsidRDefault="00CE4BFC" w:rsidP="00CE4BFC">
      <w:pPr>
        <w:jc w:val="left"/>
        <w:rPr>
          <w:rFonts w:eastAsia="Times New Roman"/>
        </w:rPr>
      </w:pPr>
      <w:r w:rsidRPr="00700474">
        <w:rPr>
          <w:rFonts w:eastAsia="Times New Roman"/>
        </w:rPr>
        <w:t>Sitso made a case for mob justice, which she described as a defensive and reactive measure. A mechanism deployed with the sole aim of protecting oneself from a potential murderer.</w:t>
      </w:r>
    </w:p>
    <w:p w14:paraId="0CD930E7" w14:textId="07D105B6" w:rsidR="00CE4BFC" w:rsidRPr="00700474" w:rsidRDefault="00CE4BFC" w:rsidP="00CE4BFC">
      <w:pPr>
        <w:ind w:left="720"/>
        <w:jc w:val="left"/>
        <w:rPr>
          <w:rFonts w:eastAsia="Times New Roman"/>
        </w:rPr>
      </w:pPr>
      <w:bookmarkStart w:id="42" w:name="_Hlk201455607"/>
      <w:r w:rsidRPr="00700474">
        <w:rPr>
          <w:rFonts w:eastAsia="Times New Roman"/>
        </w:rPr>
        <w:t xml:space="preserve">My sister, trust me nobody enjoys inflicting pain on </w:t>
      </w:r>
      <w:r w:rsidR="00AF1BC2" w:rsidRPr="00700474">
        <w:rPr>
          <w:rFonts w:eastAsia="Times New Roman"/>
        </w:rPr>
        <w:t>others,</w:t>
      </w:r>
      <w:r w:rsidRPr="00700474">
        <w:rPr>
          <w:rFonts w:eastAsia="Times New Roman"/>
        </w:rPr>
        <w:t xml:space="preserve"> but the thing is we feel insecure, at the mercy of these thieves. So, man has to do what they have to do to survive. It is always a case of you either kill me or I kill you. You don’t expect me to stand idle, I will call on community members for help to deal with that criminal. </w:t>
      </w:r>
      <w:r w:rsidR="00AF1BC2" w:rsidRPr="00700474">
        <w:rPr>
          <w:rFonts w:eastAsia="Times New Roman"/>
        </w:rPr>
        <w:t>Besides,</w:t>
      </w:r>
      <w:r w:rsidRPr="00700474">
        <w:rPr>
          <w:rFonts w:eastAsia="Times New Roman"/>
        </w:rPr>
        <w:t xml:space="preserve"> when you are in a group you will get the vim to go all out. You have the support of other </w:t>
      </w:r>
      <w:r w:rsidR="00AF1BC2" w:rsidRPr="00700474">
        <w:rPr>
          <w:rFonts w:eastAsia="Times New Roman"/>
        </w:rPr>
        <w:t>participants</w:t>
      </w:r>
      <w:r w:rsidRPr="00700474">
        <w:rPr>
          <w:rFonts w:eastAsia="Times New Roman"/>
        </w:rPr>
        <w:t xml:space="preserve"> and there is nothing like personal accountability. It is a group venture, more brutal than if I were to apprehend a thief alone.</w:t>
      </w:r>
    </w:p>
    <w:bookmarkEnd w:id="42"/>
    <w:p w14:paraId="0335CDC3" w14:textId="77777777" w:rsidR="00CE4BFC" w:rsidRPr="00700474" w:rsidRDefault="00CE4BFC" w:rsidP="00CE4BFC">
      <w:pPr>
        <w:jc w:val="left"/>
        <w:rPr>
          <w:rFonts w:eastAsia="Times New Roman"/>
        </w:rPr>
      </w:pPr>
      <w:r w:rsidRPr="00700474">
        <w:rPr>
          <w:rFonts w:eastAsia="Times New Roman"/>
        </w:rPr>
        <w:t>Discursive features of Sitso’s remark- calling me sister and enjoing my sympathy (“Youu don’t expect me to stand idle”) – signaled a plea for understanding of a dire situation with few other options than unsanctioned violence.</w:t>
      </w:r>
    </w:p>
    <w:p w14:paraId="618E3622" w14:textId="2B799CEF" w:rsidR="00CE4BFC" w:rsidRPr="00700474" w:rsidRDefault="00CE4BFC" w:rsidP="00CE4BFC">
      <w:pPr>
        <w:jc w:val="left"/>
        <w:rPr>
          <w:rFonts w:eastAsia="Times New Roman"/>
        </w:rPr>
      </w:pPr>
      <w:r w:rsidRPr="00700474">
        <w:rPr>
          <w:rFonts w:eastAsia="Times New Roman"/>
        </w:rPr>
        <w:t>Adom shared the deadly experience of his friend’s lethal victimization and how that has influenced his participation in mob lynching:</w:t>
      </w:r>
    </w:p>
    <w:p w14:paraId="00441D57" w14:textId="219E853E" w:rsidR="00CE4BFC" w:rsidRPr="00700474" w:rsidRDefault="00CE4BFC" w:rsidP="004029BB">
      <w:pPr>
        <w:ind w:left="720"/>
        <w:jc w:val="left"/>
        <w:rPr>
          <w:rFonts w:eastAsia="Times New Roman"/>
        </w:rPr>
      </w:pPr>
      <w:r w:rsidRPr="00700474">
        <w:rPr>
          <w:rFonts w:eastAsia="Times New Roman"/>
        </w:rPr>
        <w:t xml:space="preserve">A friend of mine was attacked at a bus stop. When the robbers approached, he gave them all he had… the laptop, phone, wallet and after taking the things from him, they stabbed </w:t>
      </w:r>
      <w:r w:rsidRPr="00700474">
        <w:rPr>
          <w:rFonts w:eastAsia="Times New Roman"/>
        </w:rPr>
        <w:lastRenderedPageBreak/>
        <w:t xml:space="preserve">him. So my friend thinks of robbers as people who do not just have economic needs but are wicked and heartless people who would just hurt anyone unprovoked. Because of the hurt and pain my friend experienced and the inability to also inflict harm on his assailants, anytime he hears someone shout </w:t>
      </w:r>
      <w:r w:rsidRPr="00700474">
        <w:rPr>
          <w:rFonts w:eastAsia="Times New Roman"/>
          <w:i/>
          <w:iCs/>
        </w:rPr>
        <w:t>julor</w:t>
      </w:r>
      <w:r w:rsidRPr="00700474">
        <w:rPr>
          <w:rFonts w:eastAsia="Times New Roman"/>
        </w:rPr>
        <w:t xml:space="preserve"> or thief…. He will stop whatever he is doing and join the mob to beat the accused. At this point, whether or not the person did it is beside the point. The label </w:t>
      </w:r>
      <w:r w:rsidRPr="00700474">
        <w:rPr>
          <w:rFonts w:eastAsia="Times New Roman"/>
          <w:i/>
          <w:iCs/>
        </w:rPr>
        <w:t>julor</w:t>
      </w:r>
      <w:r w:rsidRPr="00700474">
        <w:rPr>
          <w:rFonts w:eastAsia="Times New Roman"/>
        </w:rPr>
        <w:t xml:space="preserve"> defines the fate of the accused, which in most cases leads to death or the accused being maimed.</w:t>
      </w:r>
      <w:r w:rsidRPr="00700474">
        <w:rPr>
          <w:rFonts w:eastAsia="Times New Roman"/>
        </w:rPr>
        <w:tab/>
      </w:r>
    </w:p>
    <w:p w14:paraId="50264781" w14:textId="5A5F143A" w:rsidR="00CE4BFC" w:rsidRPr="00700474" w:rsidRDefault="00CE4BFC" w:rsidP="00CE4BFC">
      <w:pPr>
        <w:jc w:val="left"/>
      </w:pPr>
      <w:r w:rsidRPr="00700474">
        <w:t xml:space="preserve">Imaa justified mob justice as a necessity deployed to curb or prevent crime and not for harm per se. Thus, to Imaa, to the extent that the aim of deploying mob justice is to prevent crime, inflicting harm in the process is justified. Tetteh's comment suggested that mob justice is never a first option but the last resort for citizens after failed attempts to exploit the legal systems mandated to ensure security. Afrifa reflects on the challenges of living in new settlements in Ghana. His narrative resonated with me. He narrated the lack of basic amenities in the new settlement and how that exposed the settlers to incessant attacks from robbers. I remembered how my own family also had to deal with frequent attacks from thieves and robbers without a police station nearby to reach out to when we first moved into our home in Kasoa. Afrifa's submission, coupled with my reflection on my own experience, made me think of the fact that perhaps mob justice may be more prevalent in developing communities as it is easy for offenders to escape given the lack of </w:t>
      </w:r>
      <w:r w:rsidR="004029BB" w:rsidRPr="00700474">
        <w:t>illumination</w:t>
      </w:r>
      <w:r w:rsidRPr="00700474">
        <w:t xml:space="preserve"> for one to identify their assailants' and the absence of a police station nearby, making residents in such communities’ easy targets. Despite some strong rhetoric defending mob justice – such as Sitso’s description </w:t>
      </w:r>
      <w:r w:rsidR="004029BB" w:rsidRPr="00700474">
        <w:t>of a</w:t>
      </w:r>
      <w:r w:rsidRPr="00700474">
        <w:t xml:space="preserve"> kill or be-killed reality, I wondered how a mob targeting one person becomes a survival of the fittest situation with one person on the side against hundreds of people. Adom's narrative highlighted how a bad personal </w:t>
      </w:r>
      <w:r w:rsidRPr="00700474">
        <w:lastRenderedPageBreak/>
        <w:t>experience can shape people's attitudes towards extra-judicial sanctions, especially when they cannot accost their assailant. Adom's friend is now eager to join mobs, a clear indication of the personal impact of such experiences, and "At this point, whether or not the person did it is beside the point."</w:t>
      </w:r>
    </w:p>
    <w:p w14:paraId="679202D8" w14:textId="77777777" w:rsidR="00CE4BFC" w:rsidRPr="00700474" w:rsidRDefault="00CE4BFC" w:rsidP="00CE4BFC">
      <w:pPr>
        <w:jc w:val="left"/>
        <w:rPr>
          <w:b/>
          <w:bCs/>
          <w:i/>
          <w:iCs/>
        </w:rPr>
      </w:pPr>
      <w:r w:rsidRPr="00700474">
        <w:rPr>
          <w:b/>
          <w:bCs/>
          <w:i/>
          <w:iCs/>
        </w:rPr>
        <w:t>Police and Judicial Corruption</w:t>
      </w:r>
    </w:p>
    <w:p w14:paraId="6783FEAB" w14:textId="7F7C4F5E" w:rsidR="00CE4BFC" w:rsidRPr="00700474" w:rsidRDefault="00CE4BFC" w:rsidP="00CE4BFC">
      <w:pPr>
        <w:jc w:val="left"/>
      </w:pPr>
      <w:r w:rsidRPr="00700474">
        <w:t xml:space="preserve">As discussed in Chapter four, police and judicial corruption </w:t>
      </w:r>
      <w:r w:rsidR="00AF1BC2" w:rsidRPr="00700474">
        <w:t>have</w:t>
      </w:r>
      <w:r w:rsidRPr="00700474">
        <w:t xml:space="preserve"> a direct impact on participants perception about legal outcomes. Seventy (70) percent of participants accused prosecutors, judges, and other criminal justice officials of routinely accepting bribes. These bribes are exchanged for dropping criminal charges, discharging guilty offenders, giving favorable verdicts to defendants, and, in some instances, facilitating the escape of convicted inmates. To this end, some participants preferred deploying extra-judicial sanctions such as mob justice.</w:t>
      </w:r>
    </w:p>
    <w:p w14:paraId="4DCDDD08" w14:textId="77777777" w:rsidR="00CE4BFC" w:rsidRPr="00700474" w:rsidRDefault="00CE4BFC" w:rsidP="00CE4BFC">
      <w:pPr>
        <w:jc w:val="left"/>
      </w:pPr>
      <w:r w:rsidRPr="00700474">
        <w:t>Issah alleged that police enforcement of arrests and prosecution of criminal offences is often influenced by police agent’s evaluation of the bribes they might receive.</w:t>
      </w:r>
    </w:p>
    <w:p w14:paraId="6DA55FDC" w14:textId="77777777" w:rsidR="00CE4BFC" w:rsidRPr="00700474" w:rsidRDefault="00CE4BFC" w:rsidP="00CE4BFC">
      <w:pPr>
        <w:ind w:left="720"/>
        <w:jc w:val="left"/>
      </w:pPr>
      <w:r w:rsidRPr="00700474">
        <w:t xml:space="preserve">See, when you report a case to the police, they consider how rich you are before. They depend on your appearance and sometimes the content of your statement to weigh how rich or how poor you are. If you are poor, it means they won’t get much money from you so they won’t dedicate much time to your case. They may frustrate you till you decide not pursue the case. But if you have money they are very swift to arrest and prosecute. </w:t>
      </w:r>
    </w:p>
    <w:p w14:paraId="7C5B6099" w14:textId="7AB195F3" w:rsidR="00CE4BFC" w:rsidRPr="00700474" w:rsidRDefault="004029BB" w:rsidP="00CE4BFC">
      <w:pPr>
        <w:jc w:val="left"/>
      </w:pPr>
      <w:r w:rsidRPr="00700474">
        <w:t>Issah,</w:t>
      </w:r>
      <w:r w:rsidR="00CE4BFC" w:rsidRPr="00700474">
        <w:t xml:space="preserve"> with a gloomy facial expression, proceeded to narrate a situation where the police refused to provide security because of his socio-economic status:</w:t>
      </w:r>
    </w:p>
    <w:p w14:paraId="5895BA27" w14:textId="77777777" w:rsidR="00CE4BFC" w:rsidRPr="00700474" w:rsidRDefault="00CE4BFC" w:rsidP="00CE4BFC">
      <w:pPr>
        <w:ind w:left="720"/>
        <w:jc w:val="left"/>
      </w:pPr>
      <w:r w:rsidRPr="00700474">
        <w:t xml:space="preserve">Our community was constantly disturbed by robbers, and we constantly reported the cases at the police station, but they didn’t mind us. So we dealt with thieves our way—beat them to pulp. Until one </w:t>
      </w:r>
      <w:r w:rsidRPr="00700474">
        <w:rPr>
          <w:i/>
          <w:iCs/>
        </w:rPr>
        <w:t>odogwo</w:t>
      </w:r>
      <w:r w:rsidRPr="00700474">
        <w:t xml:space="preserve"> (Richman) moved into our area, soon police patrols </w:t>
      </w:r>
      <w:r w:rsidRPr="00700474">
        <w:lastRenderedPageBreak/>
        <w:t>began surveying our area because the rich had gone to report criminal activities on his compound.</w:t>
      </w:r>
    </w:p>
    <w:p w14:paraId="164A0536" w14:textId="09D294A0" w:rsidR="00CE4BFC" w:rsidRPr="00700474" w:rsidRDefault="00CE4BFC" w:rsidP="004029BB">
      <w:pPr>
        <w:jc w:val="left"/>
        <w:rPr>
          <w:rFonts w:eastAsia="Times New Roman"/>
        </w:rPr>
      </w:pPr>
      <w:r w:rsidRPr="00700474">
        <w:rPr>
          <w:rFonts w:eastAsia="Times New Roman"/>
        </w:rPr>
        <w:t>Ankuma angrily accused the police of delaying the case's progress because they had a personal connection with the offender.</w:t>
      </w:r>
    </w:p>
    <w:p w14:paraId="30B69D4C" w14:textId="77777777" w:rsidR="00CE4BFC" w:rsidRPr="00700474" w:rsidRDefault="00CE4BFC" w:rsidP="00CE4BFC">
      <w:pPr>
        <w:ind w:left="720"/>
        <w:jc w:val="left"/>
        <w:rPr>
          <w:rFonts w:eastAsia="Times New Roman"/>
        </w:rPr>
      </w:pPr>
      <w:r w:rsidRPr="00700474">
        <w:rPr>
          <w:rFonts w:eastAsia="Times New Roman"/>
        </w:rPr>
        <w:t>Errrm, we have lost faith in many government systems. The police and the government are corrupt, so we won’t turn thieves in when we catch them. We took a thief to the police station. Unfortunately, the thief had links. He is well-connected. He knew big men in the police service, so the case was made foolish. The police kept tossing at us until we became frustrated and decided not to pursue the case because we were wasting money on transportation.</w:t>
      </w:r>
    </w:p>
    <w:p w14:paraId="68BD2B52" w14:textId="77777777" w:rsidR="00CE4BFC" w:rsidRPr="00700474" w:rsidRDefault="00CE4BFC" w:rsidP="00CE4BFC">
      <w:pPr>
        <w:jc w:val="left"/>
      </w:pPr>
      <w:r w:rsidRPr="00700474">
        <w:t>Fiifi’s frustration was made visible by a squeezed forehead, as he accused court employees of altering the order of cases to discourage people with low incomes like me to pursue the case:</w:t>
      </w:r>
    </w:p>
    <w:p w14:paraId="3C33EA44" w14:textId="77777777" w:rsidR="00CE4BFC" w:rsidRPr="00700474" w:rsidRDefault="00CE4BFC" w:rsidP="00CE4BFC">
      <w:pPr>
        <w:ind w:left="720"/>
        <w:jc w:val="left"/>
      </w:pPr>
      <w:bookmarkStart w:id="43" w:name="_Hlk201457455"/>
      <w:r w:rsidRPr="00700474">
        <w:t xml:space="preserve">Do you know that </w:t>
      </w:r>
      <w:bookmarkStart w:id="44" w:name="_Hlk201457125"/>
      <w:r w:rsidRPr="00700474">
        <w:t>administrative workers receive bribes to delay case hearings</w:t>
      </w:r>
      <w:bookmarkEnd w:id="44"/>
      <w:r w:rsidRPr="00700474">
        <w:t>? I had a case like that. They kept postponing the case, but luckily, I had a friend who worked there. They decided to monitor why, only to realize that her colleague was changing the dates because of money from my contender. My friend could not do much because the colleague was superior to her. In the end, I boycotted the case. However, I planned to deal with cases my way.</w:t>
      </w:r>
    </w:p>
    <w:bookmarkEnd w:id="43"/>
    <w:p w14:paraId="2EAF07C0" w14:textId="77777777" w:rsidR="00CE4BFC" w:rsidRPr="00700474" w:rsidRDefault="00CE4BFC" w:rsidP="00CE4BFC">
      <w:pPr>
        <w:jc w:val="left"/>
      </w:pPr>
      <w:r w:rsidRPr="00700474">
        <w:t xml:space="preserve">Issah’s narration points out that police protection is for sale and not a constitutional right of all citizens. For Ankuma, treatment depends on one’s relationship with the police officer. He was frustrated that his case was not pursued because the offender is well connected with senior police officers whose influence made the case unattractive. Fiifi’s narrative suggested that administrative corruption, which includes instances where court users pay bribes to </w:t>
      </w:r>
      <w:r w:rsidRPr="00700474">
        <w:lastRenderedPageBreak/>
        <w:t>administrative employees in order to alter the legally determined treatment of files and discovery material or to delay a case by illegally altering the order in which a case is to be adjudicated by a judge has made pursuing legal forms of sanctions unattractive hence the preference for extra-judicial measures.</w:t>
      </w:r>
      <w:r w:rsidRPr="00700474">
        <w:rPr>
          <w:b/>
          <w:bCs/>
        </w:rPr>
        <w:t xml:space="preserve"> </w:t>
      </w:r>
      <w:r w:rsidRPr="00700474">
        <w:t>Common to both narratives is that both participants first pursued the legal means of handling criminal activities. However, dissatisfaction with police and judicial corruption ultimately made extra-judicial approaches or sanctions more attractive.</w:t>
      </w:r>
    </w:p>
    <w:p w14:paraId="0BC90A73" w14:textId="77777777" w:rsidR="00CE4BFC" w:rsidRPr="00700474" w:rsidRDefault="00CE4BFC" w:rsidP="00CE4BFC">
      <w:pPr>
        <w:jc w:val="left"/>
        <w:rPr>
          <w:b/>
          <w:bCs/>
          <w:i/>
          <w:iCs/>
        </w:rPr>
      </w:pPr>
      <w:r w:rsidRPr="00700474">
        <w:rPr>
          <w:b/>
          <w:bCs/>
          <w:i/>
          <w:iCs/>
        </w:rPr>
        <w:t>Mob Justice and Imperialism</w:t>
      </w:r>
    </w:p>
    <w:p w14:paraId="3AA28C02" w14:textId="77777777" w:rsidR="00CE4BFC" w:rsidRPr="00700474" w:rsidRDefault="00CE4BFC" w:rsidP="00CE4BFC">
      <w:pPr>
        <w:jc w:val="left"/>
      </w:pPr>
      <w:r w:rsidRPr="00700474">
        <w:t>Forty percent (40%) of the participants considered mob justice to be a byproduct of imperialism. Participants explained that punitive measures employed by colonial authorities during the colonial era normalized violence as a means of maintaining order, and this has influenced post-colonial attitudes towards justice and sanctions. When I asked Amofa about his view regarding citizens imposing punishment themselves, he stared into my eyes for a few minutes and then shook his head. Then he recounted how sanctions during the pre-colonial era were less punitive yet effective and how deities ensured law and order as opposed to the punitive measures introduced during the colonial era.</w:t>
      </w:r>
    </w:p>
    <w:p w14:paraId="08E20557" w14:textId="77777777" w:rsidR="00CE4BFC" w:rsidRPr="00700474" w:rsidRDefault="00CE4BFC" w:rsidP="00CE4BFC">
      <w:pPr>
        <w:ind w:left="720"/>
        <w:jc w:val="left"/>
      </w:pPr>
      <w:r w:rsidRPr="00700474">
        <w:t xml:space="preserve">…we did not even have prisons in the past…...punishments ranged from fines to animal sacrifice. The role and of our deities were crucial, they helped maintain law and order. </w:t>
      </w:r>
      <w:bookmarkStart w:id="45" w:name="_Hlk201456578"/>
      <w:r w:rsidRPr="00700474">
        <w:t>When slavery started, all forms of harsh punishments were introduced…. imprisonment and flogging. Publicly shooting and killing of indigenes became normalized, and the end result is what we see today……citizens thinking it is okay to kill another.</w:t>
      </w:r>
    </w:p>
    <w:bookmarkEnd w:id="45"/>
    <w:p w14:paraId="61F3A190" w14:textId="77777777" w:rsidR="00CE4BFC" w:rsidRPr="00700474" w:rsidRDefault="00CE4BFC" w:rsidP="00CE4BFC">
      <w:pPr>
        <w:jc w:val="left"/>
      </w:pPr>
      <w:r w:rsidRPr="00700474">
        <w:t>Ashitey accused the colonist for introducing the police system, “which operated in an atmosphere of torture and brutality.”</w:t>
      </w:r>
    </w:p>
    <w:p w14:paraId="5A89EBAD" w14:textId="77777777" w:rsidR="00CE4BFC" w:rsidRPr="00700474" w:rsidRDefault="00CE4BFC" w:rsidP="00CE4BFC">
      <w:pPr>
        <w:ind w:left="720"/>
        <w:jc w:val="left"/>
      </w:pPr>
      <w:r w:rsidRPr="00700474">
        <w:lastRenderedPageBreak/>
        <w:t>……. we had our own system of maintaining law and order. The local chiefs organized young and able men into small groups to patrol and enforce the community's bylaws. Offenders were held accountable to the community and their victims …the elders help with the reintegration of the offenders into the community….. the colonists introduced the police system, which operated in an atmosphere of torture and brutality. This is what has been normalized and transferred into our day-to-day punishing………</w:t>
      </w:r>
    </w:p>
    <w:p w14:paraId="782327EE" w14:textId="77777777" w:rsidR="00CE4BFC" w:rsidRPr="00700474" w:rsidRDefault="00CE4BFC" w:rsidP="00CE4BFC">
      <w:pPr>
        <w:jc w:val="left"/>
      </w:pPr>
      <w:r w:rsidRPr="00700474">
        <w:t>Nii Odartey recounts:</w:t>
      </w:r>
    </w:p>
    <w:p w14:paraId="77BFDEBA" w14:textId="6AA23DE1" w:rsidR="00CE4BFC" w:rsidRPr="00700474" w:rsidRDefault="00CE4BFC" w:rsidP="00CE4BFC">
      <w:pPr>
        <w:ind w:left="720"/>
        <w:jc w:val="left"/>
      </w:pPr>
      <w:bookmarkStart w:id="46" w:name="_Hlk201454406"/>
      <w:r w:rsidRPr="00700474">
        <w:t xml:space="preserve">Well, I acknowledge that mob justice, while often seen as a response to inefficiencies in the formal legal system, fundamentally disregards the rights to life, dignity, and due process enshrined in Ghana’s 1992 Constitution and international human rights frameworks such as the Universal Declaration of Human Rights. Yea, I wont lie, we know it undermines the rule of law and violates the principles of fairness and justice that are central to both national and global legal </w:t>
      </w:r>
      <w:r w:rsidR="00AF1BC2" w:rsidRPr="00700474">
        <w:t>standards,</w:t>
      </w:r>
      <w:r w:rsidRPr="00700474">
        <w:t xml:space="preserve"> but the system leaves us with no choice.”</w:t>
      </w:r>
    </w:p>
    <w:bookmarkEnd w:id="46"/>
    <w:p w14:paraId="16D07CC9" w14:textId="77777777" w:rsidR="00CE4BFC" w:rsidRPr="00700474" w:rsidRDefault="00CE4BFC" w:rsidP="00CE4BFC">
      <w:pPr>
        <w:jc w:val="left"/>
      </w:pPr>
      <w:r w:rsidRPr="00700474">
        <w:t>Amofa and Ashitey ascribed the prevailing punitiveness and for that matter mob justice to colonization, contrasting it with the pre-colonial justice system that maintained law and order without resorting to brutalities. Nuamah’s perspective, however, brought to light the awe-inspiring role of deities in upholding justice, adding a spiritual dimension to the discussion. Ashitey’s narrative, in contrast, focused on the sidelining of traditional restorative systems by formal harsh systems.</w:t>
      </w:r>
    </w:p>
    <w:p w14:paraId="574FDE32" w14:textId="77777777" w:rsidR="00CE4BFC" w:rsidRPr="00700474" w:rsidRDefault="00CE4BFC" w:rsidP="004029BB">
      <w:pPr>
        <w:rPr>
          <w:b/>
          <w:bCs/>
        </w:rPr>
      </w:pPr>
      <w:r w:rsidRPr="00700474">
        <w:rPr>
          <w:b/>
          <w:bCs/>
        </w:rPr>
        <w:t>Chapter Summary</w:t>
      </w:r>
    </w:p>
    <w:p w14:paraId="2E0C0054" w14:textId="77777777" w:rsidR="00CE4BFC" w:rsidRPr="00700474" w:rsidRDefault="00CE4BFC" w:rsidP="00CE4BFC">
      <w:pPr>
        <w:jc w:val="left"/>
      </w:pPr>
      <w:r w:rsidRPr="00700474">
        <w:t xml:space="preserve">Most of the research participants shared personal experiences related to mob justice. They tied mob justice to failures of the legal criminal justice system. Specifically, seventy percent of </w:t>
      </w:r>
      <w:r w:rsidRPr="00700474">
        <w:lastRenderedPageBreak/>
        <w:t xml:space="preserve">participants considered mob justice a response to an ineffective justice usually plagued with logistical needs and police and judicial corruption. These broadly held perceptions about police corruption and inefficiency in Ghana have resulted in a lack of faith in the police and other criminal justice agencies, such as the judiciary, and further encouraged citizens to resort to vigilantism (Adinkrah, 2005; Silke, 2001). </w:t>
      </w:r>
    </w:p>
    <w:p w14:paraId="1D755A07" w14:textId="3F47AFA2" w:rsidR="00CE4BFC" w:rsidRPr="00700474" w:rsidRDefault="00CE4BFC" w:rsidP="00CE4BFC">
      <w:pPr>
        <w:ind w:firstLine="720"/>
        <w:jc w:val="left"/>
      </w:pPr>
      <w:r w:rsidRPr="00700474">
        <w:t xml:space="preserve">Sixty (60) percent perceived mob justice as providing a sense of immediate justice or retribution for perceived wrongs, as the swift punishment of an alleged offender can satisfy the emotional need for vengeance and closure among those who feel wronged. Sixty (60) percent also expressed that mob justice is a response to an upsurge of crime amidst a lack of security provided by security agencies such as the police. Forty percent (40%) of the participants considered mob justice to be a byproduct of imperialism. To this end, participants explained that mob justice is a legacy of colonial rule where the normalization of violence as a means of maintaining order has influenced post-colonial attitudes towards justice and punishment in the direction of brutality. Seventy (70) percent of participants preferred extra-judicial </w:t>
      </w:r>
      <w:r w:rsidR="004029BB" w:rsidRPr="00700474">
        <w:t>sanctions</w:t>
      </w:r>
      <w:r w:rsidRPr="00700474">
        <w:t xml:space="preserve"> to police and judicial protection, pointing out that police protection is for sale. Police enforcement of arrests and prosecution of criminal offences are influenced by the police's quest to make quick wealth from the victim's ability to pay for the police services. Others blamed administrative employees who altered the legally determined treatment of files, given that they had taken bribes. </w:t>
      </w:r>
    </w:p>
    <w:p w14:paraId="3A0B8B45" w14:textId="77777777" w:rsidR="00CE4BFC" w:rsidRPr="00700474" w:rsidRDefault="00CE4BFC" w:rsidP="00CE4BFC">
      <w:pPr>
        <w:ind w:firstLine="720"/>
        <w:jc w:val="left"/>
      </w:pPr>
      <w:r w:rsidRPr="00700474">
        <w:t xml:space="preserve">The various justifications provided by participants for the use of mob justice highlighted the sense of empowerment and control over their environment. This empowerment allowed them to take direct action against perceived injustices, a psychologically gratifying experience. Their grievances served as a platform to advocate for legal reforms and improved justice systems, a concern that was particularly pronounced when participants shared their views on the criminal </w:t>
      </w:r>
      <w:r w:rsidRPr="00700474">
        <w:lastRenderedPageBreak/>
        <w:t>legal punishment in Ghana. All (100%) participants expressed a deep-seated distrust towards the system associated with criminal legal punishment, underscoring the urgent need for a change in Ghana’s legal punishment system.</w:t>
      </w:r>
    </w:p>
    <w:p w14:paraId="18EE7AB6" w14:textId="77777777" w:rsidR="00815753" w:rsidRPr="00700474" w:rsidRDefault="00815753" w:rsidP="00825D8A">
      <w:pPr>
        <w:jc w:val="left"/>
      </w:pPr>
    </w:p>
    <w:p w14:paraId="2C89F619" w14:textId="77777777" w:rsidR="00815753" w:rsidRPr="00700474" w:rsidRDefault="00815753" w:rsidP="00825D8A">
      <w:pPr>
        <w:jc w:val="left"/>
      </w:pPr>
    </w:p>
    <w:p w14:paraId="690FA38A" w14:textId="77777777" w:rsidR="00815753" w:rsidRPr="00700474" w:rsidRDefault="00815753" w:rsidP="00825D8A">
      <w:pPr>
        <w:jc w:val="left"/>
      </w:pPr>
    </w:p>
    <w:p w14:paraId="70B3E0E5" w14:textId="77777777" w:rsidR="00C14D01" w:rsidRPr="00700474" w:rsidRDefault="00C14D01" w:rsidP="00825D8A">
      <w:pPr>
        <w:jc w:val="left"/>
      </w:pPr>
    </w:p>
    <w:p w14:paraId="007E8E8D" w14:textId="77777777" w:rsidR="00026970" w:rsidRPr="00700474" w:rsidRDefault="00026970">
      <w:pPr>
        <w:spacing w:after="160" w:line="259" w:lineRule="auto"/>
        <w:jc w:val="left"/>
        <w:rPr>
          <w:rFonts w:eastAsiaTheme="majorEastAsia"/>
          <w:b/>
          <w:bCs/>
        </w:rPr>
      </w:pPr>
      <w:r w:rsidRPr="00700474">
        <w:rPr>
          <w:b/>
          <w:bCs/>
        </w:rPr>
        <w:br w:type="page"/>
      </w:r>
    </w:p>
    <w:p w14:paraId="684B1020" w14:textId="77777777" w:rsidR="00AF1BC2" w:rsidRDefault="005A68CE" w:rsidP="00F52300">
      <w:pPr>
        <w:pStyle w:val="Heading1"/>
        <w:spacing w:before="0" w:after="0"/>
        <w:rPr>
          <w:rFonts w:ascii="Times New Roman" w:hAnsi="Times New Roman" w:cs="Times New Roman"/>
          <w:b/>
          <w:bCs/>
          <w:color w:val="000000" w:themeColor="text1"/>
          <w:sz w:val="24"/>
          <w:szCs w:val="24"/>
        </w:rPr>
      </w:pPr>
      <w:bookmarkStart w:id="47" w:name="_Toc204092878"/>
      <w:r w:rsidRPr="00700474">
        <w:rPr>
          <w:rFonts w:ascii="Times New Roman" w:hAnsi="Times New Roman" w:cs="Times New Roman"/>
          <w:b/>
          <w:bCs/>
          <w:color w:val="000000" w:themeColor="text1"/>
          <w:sz w:val="24"/>
          <w:szCs w:val="24"/>
        </w:rPr>
        <w:lastRenderedPageBreak/>
        <w:t>CHAPTER SEVEN</w:t>
      </w:r>
      <w:bookmarkEnd w:id="47"/>
    </w:p>
    <w:p w14:paraId="465CEDD7" w14:textId="6D3A152B" w:rsidR="00815753" w:rsidRPr="00700474" w:rsidRDefault="005A68CE" w:rsidP="00F52300">
      <w:pPr>
        <w:pStyle w:val="Heading1"/>
        <w:spacing w:before="0" w:after="0"/>
        <w:rPr>
          <w:rFonts w:ascii="Times New Roman" w:hAnsi="Times New Roman" w:cs="Times New Roman"/>
          <w:b/>
          <w:bCs/>
          <w:color w:val="000000" w:themeColor="text1"/>
          <w:sz w:val="24"/>
          <w:szCs w:val="24"/>
        </w:rPr>
      </w:pPr>
      <w:bookmarkStart w:id="48" w:name="_Toc204092879"/>
      <w:r w:rsidRPr="00700474">
        <w:rPr>
          <w:rFonts w:ascii="Times New Roman" w:hAnsi="Times New Roman" w:cs="Times New Roman"/>
          <w:b/>
          <w:bCs/>
          <w:color w:val="000000" w:themeColor="text1"/>
          <w:sz w:val="24"/>
          <w:szCs w:val="24"/>
        </w:rPr>
        <w:t>CONCLUSION</w:t>
      </w:r>
      <w:bookmarkEnd w:id="48"/>
    </w:p>
    <w:p w14:paraId="46B6E62A" w14:textId="77777777" w:rsidR="00CE4BFC" w:rsidRPr="00700474" w:rsidDel="00AA5279" w:rsidRDefault="00CE4BFC" w:rsidP="00F52300">
      <w:pPr>
        <w:jc w:val="left"/>
      </w:pPr>
      <w:r w:rsidRPr="00700474">
        <w:t>My dissertation research addressed the question: “What attitudes do Ghanaians hold toward sanctions for alleged agents of harm?” I interviewed 100 Ghanaians to delve into this inquiry.</w:t>
      </w:r>
    </w:p>
    <w:p w14:paraId="71A8AE39" w14:textId="77777777" w:rsidR="00CE4BFC" w:rsidRPr="00700474" w:rsidRDefault="00CE4BFC" w:rsidP="00F52300">
      <w:pPr>
        <w:jc w:val="left"/>
      </w:pPr>
      <w:r w:rsidRPr="00700474">
        <w:t>The study uncovered several key themes that illuminate Ghanaians’ attitudes toward sanctions, highlighting both their perceived legitimacy and the challenges surrounding their implementation. The following are the main conclusions of my study:</w:t>
      </w:r>
    </w:p>
    <w:p w14:paraId="6F30C028" w14:textId="77777777" w:rsidR="00CE4BFC" w:rsidRPr="00700474" w:rsidRDefault="00CE4BFC" w:rsidP="00F52300">
      <w:pPr>
        <w:numPr>
          <w:ilvl w:val="0"/>
          <w:numId w:val="12"/>
        </w:numPr>
        <w:jc w:val="left"/>
      </w:pPr>
      <w:r w:rsidRPr="00700474">
        <w:t>Formal legal systems and sanctions are technically legitimate.</w:t>
      </w:r>
    </w:p>
    <w:p w14:paraId="3C48BDAF" w14:textId="77777777" w:rsidR="00CE4BFC" w:rsidRPr="00700474" w:rsidRDefault="00CE4BFC" w:rsidP="00F52300">
      <w:pPr>
        <w:numPr>
          <w:ilvl w:val="0"/>
          <w:numId w:val="12"/>
        </w:numPr>
        <w:jc w:val="left"/>
      </w:pPr>
      <w:r w:rsidRPr="00700474">
        <w:t>Formal legal systems and sanctions are marked with bribery and corruption.</w:t>
      </w:r>
    </w:p>
    <w:p w14:paraId="4DA1C5DB" w14:textId="77777777" w:rsidR="00CE4BFC" w:rsidRPr="00700474" w:rsidRDefault="00CE4BFC" w:rsidP="00F52300">
      <w:pPr>
        <w:numPr>
          <w:ilvl w:val="0"/>
          <w:numId w:val="12"/>
        </w:numPr>
        <w:jc w:val="left"/>
      </w:pPr>
      <w:r w:rsidRPr="00700474">
        <w:t>Mob justice is illegal but justified.</w:t>
      </w:r>
    </w:p>
    <w:p w14:paraId="52302FE2" w14:textId="77777777" w:rsidR="00CE4BFC" w:rsidRPr="00700474" w:rsidRDefault="00CE4BFC" w:rsidP="00F52300">
      <w:pPr>
        <w:numPr>
          <w:ilvl w:val="0"/>
          <w:numId w:val="12"/>
        </w:numPr>
        <w:jc w:val="left"/>
      </w:pPr>
      <w:r w:rsidRPr="00700474">
        <w:t>Mob justice is a by-product of colonialism.</w:t>
      </w:r>
    </w:p>
    <w:p w14:paraId="1DA9DC54" w14:textId="45ED2146" w:rsidR="00CE4BFC" w:rsidRPr="00700474" w:rsidRDefault="00CE4BFC" w:rsidP="00F52300">
      <w:pPr>
        <w:numPr>
          <w:ilvl w:val="0"/>
          <w:numId w:val="12"/>
        </w:numPr>
        <w:jc w:val="left"/>
      </w:pPr>
      <w:r w:rsidRPr="00700474">
        <w:t xml:space="preserve">Attitudes toward corporal </w:t>
      </w:r>
      <w:r w:rsidR="00022967" w:rsidRPr="00700474">
        <w:t>punishment</w:t>
      </w:r>
      <w:r w:rsidRPr="00700474">
        <w:t xml:space="preserve"> of children are shaped by culture.</w:t>
      </w:r>
    </w:p>
    <w:p w14:paraId="18763339" w14:textId="4052371B" w:rsidR="00CE4BFC" w:rsidRPr="00700474" w:rsidRDefault="00CE4BFC" w:rsidP="00F52300">
      <w:pPr>
        <w:numPr>
          <w:ilvl w:val="0"/>
          <w:numId w:val="12"/>
        </w:numPr>
        <w:jc w:val="left"/>
      </w:pPr>
      <w:r w:rsidRPr="00700474">
        <w:t xml:space="preserve">Attitudes toward corporal </w:t>
      </w:r>
      <w:r w:rsidR="00022967" w:rsidRPr="00700474">
        <w:t xml:space="preserve">punishment </w:t>
      </w:r>
      <w:r w:rsidRPr="00700474">
        <w:t>of children are shaped by ethical dualism.</w:t>
      </w:r>
    </w:p>
    <w:p w14:paraId="0997C7BC" w14:textId="77777777" w:rsidR="00CE4BFC" w:rsidRPr="00700474" w:rsidRDefault="00CE4BFC" w:rsidP="00F52300">
      <w:pPr>
        <w:numPr>
          <w:ilvl w:val="0"/>
          <w:numId w:val="12"/>
        </w:numPr>
        <w:jc w:val="left"/>
      </w:pPr>
      <w:r w:rsidRPr="00700474">
        <w:t>Attitudes toward sanctions are shaped by narratives and past experiences.</w:t>
      </w:r>
    </w:p>
    <w:p w14:paraId="1ED6295A" w14:textId="77777777" w:rsidR="00CE4BFC" w:rsidRPr="00700474" w:rsidRDefault="00CE4BFC" w:rsidP="00F52300">
      <w:pPr>
        <w:numPr>
          <w:ilvl w:val="0"/>
          <w:numId w:val="12"/>
        </w:numPr>
        <w:jc w:val="left"/>
      </w:pPr>
      <w:r w:rsidRPr="00700474">
        <w:t>Attitudes toward sanctions are shaped by intentions and expected outcomes.</w:t>
      </w:r>
    </w:p>
    <w:p w14:paraId="6A77750C" w14:textId="5FD397DE" w:rsidR="00AF1BC2" w:rsidRPr="00F52300" w:rsidRDefault="00CE4BFC" w:rsidP="00F52300">
      <w:pPr>
        <w:ind w:firstLine="360"/>
        <w:jc w:val="left"/>
      </w:pPr>
      <w:r w:rsidRPr="00700474">
        <w:t>These findings not only reveal the complex interplay of cultural, historical, and ethical factors shaping attitudes toward sanctions in Ghana but also underscore the need for innovative approaches that challenge global narratives and enrich criminological research through localized perspectives. The discussion now turns to a closer look at the eight aforementioned conclusions.</w:t>
      </w:r>
    </w:p>
    <w:p w14:paraId="4210746A" w14:textId="268F81E8" w:rsidR="00CE4BFC" w:rsidRPr="00700474" w:rsidRDefault="00CE4BFC" w:rsidP="00F52300">
      <w:pPr>
        <w:pStyle w:val="NormalWeb"/>
        <w:numPr>
          <w:ilvl w:val="0"/>
          <w:numId w:val="13"/>
        </w:numPr>
        <w:spacing w:before="0" w:beforeAutospacing="0" w:after="0" w:afterAutospacing="0"/>
        <w:rPr>
          <w:b/>
          <w:bCs/>
        </w:rPr>
      </w:pPr>
      <w:r w:rsidRPr="00700474">
        <w:rPr>
          <w:b/>
          <w:bCs/>
        </w:rPr>
        <w:t>Technical Legitimacy</w:t>
      </w:r>
    </w:p>
    <w:p w14:paraId="0C4ECD9E" w14:textId="77777777" w:rsidR="00CE4BFC" w:rsidRPr="00700474" w:rsidRDefault="00CE4BFC" w:rsidP="00F52300">
      <w:pPr>
        <w:jc w:val="left"/>
      </w:pPr>
      <w:r w:rsidRPr="00700474">
        <w:t xml:space="preserve">Research participants’ attitudes towards formal sanctions were contradictory. However, they were convinced of the legitimacy of formal sanctions, even if they considered this legitimacy to be “technical.” They ascribed legitimacy to the fact that formal sanctions are not based on the </w:t>
      </w:r>
      <w:r w:rsidRPr="00700474">
        <w:lastRenderedPageBreak/>
        <w:t>punisher’s emotions but on due process, which includes a fair trial, evidence presentation, and legal representation before sanctions are applied or determined. At the same time, crime and the correlated sanctions are pre-determined and backed by law. Through these responses, participants suggest that the court processes are fair, underscoring Tyler’s (2003) argument that legitimacy is rooted in the judgment that the police and the courts act fairly when dealing with citizens. For instance, in Chapter 4, Ofoe made a case for legal punishment, describing it as legitimate, not guided by emotions or arbitrariness, and “backed by law.”</w:t>
      </w:r>
    </w:p>
    <w:p w14:paraId="4632E856" w14:textId="77777777" w:rsidR="00CE4BFC" w:rsidRPr="00700474" w:rsidRDefault="00CE4BFC" w:rsidP="002606A8">
      <w:pPr>
        <w:ind w:firstLine="720"/>
        <w:jc w:val="left"/>
      </w:pPr>
      <w:r w:rsidRPr="00700474">
        <w:t xml:space="preserve">On the other hand, research participants perceived the legitimacy ascribed to the formal legal system and sanctions as ‘technical’—a mere formality for the state to make a case or prove a point on the international front that Ghana is modern and complies with global standards. Therefore, research participants expressed that they may not utilize formal legal systems. However, should they receive a directive from a judge, they would comply because they believe such legal authorities are entitled to be obeyed (Tyler 2003). Research participants’ description of the formal legal system as ‘technical’ positions it as an “out-group” whose processes and sanctions could be explored as an addendum in addition to informal or extra-judicial sanctions at the individual discretion. Thus, seeking formal sanctions is optional and not mandatory for these participants. The logic of recognizing the existence of the legal system but not attaching relevance to it was not peculiar to my research participants; it was popular in the community I grew up in. Often, when a thief is apprehended, and someone suggests that they hand the thief over to the police instead of lynching, the response is, “Do not worry. Let us finish ours, and then we will hand them over to the state to do theirs.” Perhaps, Mushanga’s (1976) call for integrating Indigenous justice practices with modern legal frameworks to develop more effective and culturally relevant responses to crime and punishment, while increasing and improving the </w:t>
      </w:r>
      <w:r w:rsidRPr="00700474">
        <w:lastRenderedPageBreak/>
        <w:t xml:space="preserve">legitimacy of the formal legal system in the eyes of local populations, is particularly relevant in the context of Ghana. </w:t>
      </w:r>
    </w:p>
    <w:p w14:paraId="2A07FF17" w14:textId="77777777" w:rsidR="00CE4BFC" w:rsidRPr="00700474" w:rsidRDefault="00CE4BFC" w:rsidP="002606A8">
      <w:pPr>
        <w:pStyle w:val="ListParagraph"/>
        <w:numPr>
          <w:ilvl w:val="0"/>
          <w:numId w:val="13"/>
        </w:numPr>
        <w:spacing w:after="160"/>
        <w:rPr>
          <w:b/>
          <w:bCs/>
        </w:rPr>
      </w:pPr>
      <w:r w:rsidRPr="00700474">
        <w:rPr>
          <w:b/>
          <w:bCs/>
        </w:rPr>
        <w:t>Formal Systems and Corruption</w:t>
      </w:r>
    </w:p>
    <w:p w14:paraId="0FD1D2A6" w14:textId="77777777" w:rsidR="00CE4BFC" w:rsidRPr="00700474" w:rsidRDefault="00CE4BFC" w:rsidP="002606A8">
      <w:pPr>
        <w:jc w:val="left"/>
      </w:pPr>
      <w:r w:rsidRPr="00700474">
        <w:t>Participants expressed frustration with the formal legal system, alleging that it is inefficient and marked with bribery and corruption. Some participants bemoaned the under-resourced nature of the police department, which prevents officers from arriving at crime scenes or responding to emergencies. Several participants narrated instances where police failed to show up due to logistical limitations. An example is seen in Chapter 4, where Maanaa expressed frustration over the fact that the only response she got from the police in the face of imminent danger— her daughters being raped by robbers, was the police officer's complaint about lack of personnel and logistics to salvage the situation.</w:t>
      </w:r>
    </w:p>
    <w:p w14:paraId="7F8AF41B" w14:textId="77777777" w:rsidR="00CE4BFC" w:rsidRPr="00700474" w:rsidRDefault="00CE4BFC" w:rsidP="002606A8">
      <w:pPr>
        <w:ind w:firstLine="720"/>
        <w:jc w:val="left"/>
      </w:pPr>
      <w:r w:rsidRPr="00700474">
        <w:t xml:space="preserve">Other participants also accused the police of accepting bribes to either discontinue a case or not pursue it, supporting Tankebe’s (2010) assertion. According to Tankebe (2010), some police officers fail to arrest, investigate or prosecute offenders because of family or friendship ties to colleagues in the force, a situation that underscores the need for professional conduct. Others take bribes from suspects to overlook their offences and not arrest them or present weak cases in court. In Ghana and most common law countries, police officers lead criminal prosecutions. All criminal cases commence and move to other institutions and processes with the police (Amagnya 2022). In most minor criminal offences, the police determine and review charges and decide whether to initiate and conduct prosecutions (Amagnya, 2011; Appiahene-Gyamfi, 2009). The police, therefore, have access to and can manipulate and get away with it. </w:t>
      </w:r>
      <w:r w:rsidRPr="00700474">
        <w:lastRenderedPageBreak/>
        <w:t xml:space="preserve">For judicial corruption, among other instances, participants cited court administrators' tempering when ordering case hearings. </w:t>
      </w:r>
    </w:p>
    <w:p w14:paraId="10C3ACCB" w14:textId="77777777" w:rsidR="00CE4BFC" w:rsidRPr="00700474" w:rsidRDefault="00CE4BFC" w:rsidP="00F52300">
      <w:pPr>
        <w:ind w:firstLine="720"/>
        <w:jc w:val="left"/>
      </w:pPr>
      <w:r w:rsidRPr="00700474">
        <w:t xml:space="preserve">Given concerns about police and judicial corruption, participants expressed a lack of trust in formal legal systems and sanctions. The lack of trust or social acceptance of the legal system and formal sanctions has far-reaching consequences for the rule of law, societal stability, and governance. For instance, it may lead to the erosion of the rule of law where citizens bypass formal institutions. It weakens the authority and legitimacy of courts and law enforcement agencies and creates a parallel system of justice that operates outside established legal frameworks (Tankebe 2009). It may also lead to increased crime rates as the perceived lack of effective sanctions emboldens offenders, leading to higher crime rates. Also, without trust in the legal system, victims and witnesses are less likely to report crimes, allowing perpetrators to act with impunity. Finally, the lack of social acceptance toward formal legal systems and sanctions may foster vigilantism, arbitrary justice, or extra-judicial sanctions that might lead to potential human rights abuses of grave and alarming concern (Ayee 2000). </w:t>
      </w:r>
    </w:p>
    <w:p w14:paraId="3DC89A53" w14:textId="77777777" w:rsidR="00CE4BFC" w:rsidRPr="00700474" w:rsidRDefault="00CE4BFC" w:rsidP="00F52300">
      <w:pPr>
        <w:pStyle w:val="ListParagraph"/>
        <w:numPr>
          <w:ilvl w:val="0"/>
          <w:numId w:val="13"/>
        </w:numPr>
        <w:rPr>
          <w:b/>
          <w:bCs/>
        </w:rPr>
      </w:pPr>
      <w:r w:rsidRPr="00700474">
        <w:rPr>
          <w:b/>
          <w:bCs/>
        </w:rPr>
        <w:t>Illegal but Justified</w:t>
      </w:r>
    </w:p>
    <w:p w14:paraId="53D52CEE" w14:textId="77777777" w:rsidR="00CE4BFC" w:rsidRPr="00700474" w:rsidRDefault="00CE4BFC" w:rsidP="00F52300">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Indeed, participants expressed that their distrust of the legal system is the root cause of the rise in their support for citizen vigilantism groups, where citizens impose sanctions on offenders or seek justice on their terms. Research participants shared personal experiences related to mob justice, with some being active participants and others just being passive observers. While all participants agree that mob justice is illegal and inhumane, they expressed that it was justified. They explained that narratives and their personal experiences with corrupt police or judicial workers and wicked armed robbers have made them amenable to mob justice, underscoring that past experiences and narratives about past experiences shape attitudes. As captured in Chapter 4, </w:t>
      </w:r>
      <w:r w:rsidRPr="00700474">
        <w:rPr>
          <w:rFonts w:ascii="Times New Roman" w:hAnsi="Times New Roman" w:cs="Times New Roman"/>
          <w:color w:val="000000" w:themeColor="text1"/>
        </w:rPr>
        <w:lastRenderedPageBreak/>
        <w:t>Farida admitted that she has had no personal encounters with the police or the courts and that her decision not to use the formal legal system is based on stories she has heard.</w:t>
      </w:r>
    </w:p>
    <w:p w14:paraId="34298AF1" w14:textId="77777777" w:rsidR="00CE4BFC" w:rsidRPr="00700474" w:rsidRDefault="00CE4BFC" w:rsidP="002606A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For others, mob justice brings satisfaction, ensures immediate justice or retribution and closure to those who feel wronged. Again, in Chapter 4, besides expressing relief because community members accosted her daughter assailant Maanaa also expressed satisfaction— “They caught the armed men and beat them to a pulp. I was so happy and relieved.” While there may be several disadvantages associated with mob justice, participants’ narratives underscored four main disadvantages associated with mob justice. These include: violation of human rights, subjecting the innocent to harm, escalating violence and the undermining of the rule of law.</w:t>
      </w:r>
    </w:p>
    <w:p w14:paraId="38C40948" w14:textId="77777777" w:rsidR="00CE4BFC" w:rsidRPr="00700474" w:rsidRDefault="00CE4BFC" w:rsidP="002606A8">
      <w:pPr>
        <w:ind w:firstLine="720"/>
        <w:jc w:val="left"/>
      </w:pPr>
      <w:r w:rsidRPr="00700474">
        <w:t>Mob justice flagrantly disregards the fundamental rights enshrined in Ghana’s Constitution and international human rights frameworks. Victims, often accused without evidence or due process, are brutally beaten to death, a direct violation of Article 13 of Ghana’s Constitution, which guarantees the right to life. This barbaric practice also tramples on the right to a fair trial, a cornerstone of justice protected under Article 19 of Ghana’s Constitution. Alleged offenders are subjected to sanctions based on public sentiment, a stark contradiction to the principle of “innocent until proven guilty,” which forms the bedrock of national and international legal systems. Nana Agyekum, in Chapter 6, acknowledged that mob justice, while often seen as a response to inefficiencies in the formal legal system, fundamentally disregards the rights to life, dignity, and due process enshrined in Ghana’s 1992 Constitution but justifies its use, saying, “The system leaves us with no choice.”</w:t>
      </w:r>
    </w:p>
    <w:p w14:paraId="53A4DECE" w14:textId="77777777" w:rsidR="00CE4BFC" w:rsidRPr="00700474" w:rsidRDefault="00CE4BFC" w:rsidP="002606A8">
      <w:pPr>
        <w:ind w:firstLine="720"/>
        <w:jc w:val="left"/>
      </w:pPr>
      <w:r w:rsidRPr="00700474">
        <w:t>Mob justice is a cruel and indiscriminate practice that inflicts harm</w:t>
      </w:r>
      <w:r w:rsidRPr="00700474">
        <w:rPr>
          <w:b/>
          <w:bCs/>
        </w:rPr>
        <w:t xml:space="preserve"> </w:t>
      </w:r>
      <w:r w:rsidRPr="00700474">
        <w:t>on the innocent.</w:t>
      </w:r>
      <w:r w:rsidRPr="00700474">
        <w:rPr>
          <w:b/>
          <w:bCs/>
        </w:rPr>
        <w:t xml:space="preserve"> </w:t>
      </w:r>
      <w:r w:rsidRPr="00700474">
        <w:t xml:space="preserve">Mistaken identities and false accusations can lead to innocent people being brutalized. For instance, someone who bears a resemblance to a suspected criminal or is simply in the wrong </w:t>
      </w:r>
      <w:r w:rsidRPr="00700474">
        <w:lastRenderedPageBreak/>
        <w:t>place at the wrong time may fall victim to mob violence. Mobs, driven by rumours and unverified claims, often act without concrete proof. These false allegations, especially in communities with a high distrust of law enforcement, can quickly spiral into the wrongful sanctioning of innocent individuals, a direct assault on the principles of “innocent until proven guilty,” which is central to Ghana’s legal framework. In Chapter 3 where I described my interaction with Nii Amasa, he admits that mob justice lacks due process possibly leading to the death of many innocent victim as in the case of Major Mahama. He reflected on his actions, condemning his participation in mob justice and the possibility of killing an innocent person.</w:t>
      </w:r>
    </w:p>
    <w:p w14:paraId="770461E5" w14:textId="77777777" w:rsidR="00CE4BFC" w:rsidRPr="00700474" w:rsidRDefault="00CE4BFC" w:rsidP="002606A8">
      <w:pPr>
        <w:ind w:firstLine="720"/>
        <w:jc w:val="left"/>
      </w:pPr>
      <w:r w:rsidRPr="00700474">
        <w:t>Mob justice escalates violence through mechanisms like deindividuation, group polarization, and loss of rational decision-making.</w:t>
      </w:r>
      <w:r w:rsidRPr="00700474">
        <w:rPr>
          <w:b/>
          <w:bCs/>
        </w:rPr>
        <w:t xml:space="preserve"> </w:t>
      </w:r>
      <w:r w:rsidRPr="00700474">
        <w:t xml:space="preserve">Research participants who have participated in mob justice explained that when they join a mob, they often lose their sense of personal accountability due to deindividuation. This loss of personal accountability can have a profound psychological impact, leading to diminished self-awareness and moral restraint, making them more likely to engage in violent acts. Also, the shared outrage creates a feedback loop where each individual’s actions fuel the collective intensity, and the anonymity provided by being part of a large group reduces fear of being sanctioned, encouraging reckless and violent behavior. In Chapter 6 Sitso’s narration gave insight into the possible loss of personal accountability. He explained that mob attacks are usually violent because group members are motivated by other group members' activities. Also, members are not measured in their activities because they will not be individually responsible for the outcome of their actions. </w:t>
      </w:r>
    </w:p>
    <w:p w14:paraId="7E2C7EF4" w14:textId="1ACC4B39" w:rsidR="00CE4BFC" w:rsidRPr="00700474" w:rsidRDefault="00CE4BFC" w:rsidP="00F52300">
      <w:pPr>
        <w:ind w:firstLine="720"/>
        <w:jc w:val="left"/>
      </w:pPr>
      <w:r w:rsidRPr="00700474">
        <w:t xml:space="preserve">Mob justice is a direct assault on the rule of law, bypassing legal institutions such as courts and law enforcement agencies. When citizens lose faith in the judicial system’s ability to deliver timely and fair justice, they resort to vigilante actions. This creates a parallel system of </w:t>
      </w:r>
      <w:r w:rsidRPr="00700474">
        <w:lastRenderedPageBreak/>
        <w:t xml:space="preserve">“justice” that operates outside established legal frameworks. The prevalence of mob justice further erodes the authority and credibility of Ghana’s judiciary and police force. It sends a clear message that formal legal institutions are either ineffective or corrupt. This perception discourages citizens from engaging </w:t>
      </w:r>
      <w:r w:rsidR="00984DAB" w:rsidRPr="00700474">
        <w:t>in</w:t>
      </w:r>
      <w:r w:rsidRPr="00700474">
        <w:t xml:space="preserve"> these systems, exacerbating the problem and straining the relationship between citizens and the formal legal systems, creating a vicious cycle where public confidence in courts and law enforcement diminishes further. </w:t>
      </w:r>
      <w:r w:rsidRPr="00700474">
        <w:rPr>
          <w:rFonts w:eastAsia="Times New Roman"/>
        </w:rPr>
        <w:t>In Chapter 6, Afrifa passionately highlighted the difficulties that people in developing communities face, suggesting that they are more susceptible to criminal activities due to poor lighting. This, in turn, forces them to resort to illegal security measures and cope with ineffective policing. Consequently, Afrifa feels compelled to defend himself, even resorting to taking the law into his own hands. Expanding on the notion that mob justice is illegal yet often justified, the discussion now explores its historical roots as a by-product of colonialism, highlighting how these legacies continue to shape societal attitudes toward informal justice practices in Ghana.</w:t>
      </w:r>
    </w:p>
    <w:p w14:paraId="0C0F6515" w14:textId="77777777" w:rsidR="00CE4BFC" w:rsidRPr="00700474" w:rsidRDefault="00CE4BFC" w:rsidP="00F52300">
      <w:pPr>
        <w:pStyle w:val="ListParagraph"/>
        <w:numPr>
          <w:ilvl w:val="0"/>
          <w:numId w:val="13"/>
        </w:numPr>
        <w:rPr>
          <w:b/>
          <w:bCs/>
        </w:rPr>
      </w:pPr>
      <w:r w:rsidRPr="00700474">
        <w:rPr>
          <w:b/>
          <w:bCs/>
        </w:rPr>
        <w:t>Mob Justice and Colonialism</w:t>
      </w:r>
    </w:p>
    <w:p w14:paraId="45A595A5" w14:textId="6C511638" w:rsidR="00CE4BFC" w:rsidRPr="00700474" w:rsidRDefault="00CE4BFC" w:rsidP="00F52300">
      <w:pPr>
        <w:jc w:val="left"/>
      </w:pPr>
      <w:r w:rsidRPr="00700474">
        <w:t xml:space="preserve">As discussed in Chapter 2, and supported by research respondents in Chapter 6, colonial powers introduced formal legal systems that were alien to indigenous communities. The colonists imposed a on a country with unique social problems peculiar to its social context and structure, a set of legal policies based on another country's social needs. Consequently, traditional justice mechanisms, which were community-based and culturally relevant, were minimally incorporated into colonial legal structures. This disregard, often due to the perception of inferior customary mechanisms or it being repugnant to natural justice, created a disconnect between the local population and the </w:t>
      </w:r>
      <w:r w:rsidR="00984DAB" w:rsidRPr="00700474">
        <w:t>legal frameworks imposed</w:t>
      </w:r>
      <w:r w:rsidRPr="00700474">
        <w:t xml:space="preserve">. The resulting lack of trust in the colonial legal systems according to research participants, </w:t>
      </w:r>
      <w:r w:rsidR="00984DAB" w:rsidRPr="00700474">
        <w:t>has</w:t>
      </w:r>
      <w:r w:rsidRPr="00700474">
        <w:t xml:space="preserve"> created a void that informal mechanisms like mob </w:t>
      </w:r>
      <w:r w:rsidRPr="00700474">
        <w:lastRenderedPageBreak/>
        <w:t>justice have filled. In Chapter 6, Fiifi expressed frustration, citing how administrative workers receive bribes to delay case hearings, culminating in his lack of trust in the legal system and threaten to deal with cases his way:</w:t>
      </w:r>
    </w:p>
    <w:p w14:paraId="7C6AAB90" w14:textId="77777777" w:rsidR="00CE4BFC" w:rsidRPr="00700474" w:rsidRDefault="00CE4BFC" w:rsidP="00F52300">
      <w:pPr>
        <w:ind w:firstLine="720"/>
        <w:jc w:val="left"/>
      </w:pPr>
      <w:r w:rsidRPr="00700474">
        <w:t>For some research participants, mob justice is borne out of the normalization of brutalities that prevailed in the colonial era. Colonial administrations often employed violent methods to suppress dissent, enforce laws, and extract resources. They normalized the use of force as a means of maintaining order. The pervasive use of physical punishment by colonial authorities instilled fear and resentment among the local population and created a cultural memory where, arguably, violence became associated with justice. Here Amofa’s comment captured in Chapter 6 provide insight. He expressed that all forms of harsh punishments were introduced under colonial rule. Publicly shooting and killing of indigenes became normalized. “The end result is what we see today citizens thinking it is okay to kill another.”</w:t>
      </w:r>
    </w:p>
    <w:p w14:paraId="081FF5BD" w14:textId="16A54660" w:rsidR="00022967" w:rsidRPr="00700474" w:rsidRDefault="00CE4BFC" w:rsidP="00F52300">
      <w:pPr>
        <w:jc w:val="left"/>
      </w:pPr>
      <w:r w:rsidRPr="00700474">
        <w:t>Having explored the colonial roots of mob justice, the discussion now transitions to another culturally significant topic—how attitudes toward corporal punishment of children are shaped by Ghana’s cultural traditions.</w:t>
      </w:r>
    </w:p>
    <w:p w14:paraId="1A77456E" w14:textId="085AFAB4" w:rsidR="00CE4BFC" w:rsidRPr="00700474" w:rsidRDefault="00CE4BFC" w:rsidP="00F52300">
      <w:pPr>
        <w:pStyle w:val="ListParagraph"/>
        <w:numPr>
          <w:ilvl w:val="0"/>
          <w:numId w:val="13"/>
        </w:numPr>
        <w:rPr>
          <w:b/>
          <w:bCs/>
        </w:rPr>
      </w:pPr>
      <w:r w:rsidRPr="00700474">
        <w:rPr>
          <w:b/>
          <w:bCs/>
        </w:rPr>
        <w:t>Culture and Corporal Punishment of Children</w:t>
      </w:r>
    </w:p>
    <w:p w14:paraId="6CAF5A6F" w14:textId="6D8E35E2" w:rsidR="00CE4BFC" w:rsidRPr="00700474" w:rsidRDefault="00CE4BFC" w:rsidP="00F52300">
      <w:pPr>
        <w:jc w:val="left"/>
      </w:pPr>
      <w:r w:rsidRPr="00700474">
        <w:t xml:space="preserve">Regarding corporal </w:t>
      </w:r>
      <w:r w:rsidR="00022967" w:rsidRPr="00700474">
        <w:t>punishment</w:t>
      </w:r>
      <w:r w:rsidRPr="00700474">
        <w:t xml:space="preserve"> of children—the use of physical force as a means of discipline or sanction with the intention of causing a child bodily pain or discomfort, however slight. Physical sanctioning of children </w:t>
      </w:r>
      <w:r w:rsidR="00984DAB" w:rsidRPr="00700474">
        <w:t>includes</w:t>
      </w:r>
      <w:r w:rsidRPr="00700474">
        <w:t xml:space="preserve"> spanking, hitting pinching, squeezing, paddling, whipping/ “whupping,” swatting, smacking, scratching, pulling hair, slapping, making a child kneel on painful objects, and forcing a child to stand or sit in painful positions for long periods of time (Rush and Suleman 2018). In Ghana and possibly many other countries, when children begin to exercise their power of reasoning, society informally imposes the obligation of direction on </w:t>
      </w:r>
      <w:r w:rsidRPr="00700474">
        <w:lastRenderedPageBreak/>
        <w:t xml:space="preserve">parents or guardians. This cultural obligation plays a significant role in shaping parenting and guiding children to assimilate the culture and existing patterns of communal life. The successful achievement of this role forms the basis for the justification of the use of corporal </w:t>
      </w:r>
      <w:r w:rsidR="00022967" w:rsidRPr="00700474">
        <w:t>punishment</w:t>
      </w:r>
      <w:r w:rsidRPr="00700474">
        <w:t xml:space="preserve"> on children.</w:t>
      </w:r>
    </w:p>
    <w:p w14:paraId="1E2D4D7C" w14:textId="5D8D9BB5" w:rsidR="00CE4BFC" w:rsidRPr="00700474" w:rsidRDefault="00CE4BFC" w:rsidP="002606A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Participants explained that the intention of inflicting pain on the child is not to harm them but to shape their character to be responsible members of society. Besides that is society’s expectation, and they are committed to fulfilling that not to be considered an irresponsible parent or guardian. This thinking resonates with the </w:t>
      </w:r>
      <w:r w:rsidR="0041084E" w:rsidRPr="00700474">
        <w:rPr>
          <w:rFonts w:ascii="Times New Roman" w:hAnsi="Times New Roman" w:cs="Times New Roman"/>
          <w:color w:val="000000" w:themeColor="text1"/>
        </w:rPr>
        <w:t>t</w:t>
      </w:r>
      <w:r w:rsidRPr="00700474">
        <w:rPr>
          <w:rFonts w:ascii="Times New Roman" w:hAnsi="Times New Roman" w:cs="Times New Roman"/>
          <w:color w:val="000000" w:themeColor="text1"/>
        </w:rPr>
        <w:t xml:space="preserve">heory of </w:t>
      </w:r>
      <w:r w:rsidR="0041084E" w:rsidRPr="00700474">
        <w:rPr>
          <w:rFonts w:ascii="Times New Roman" w:hAnsi="Times New Roman" w:cs="Times New Roman"/>
          <w:color w:val="000000" w:themeColor="text1"/>
        </w:rPr>
        <w:t>r</w:t>
      </w:r>
      <w:r w:rsidRPr="00700474">
        <w:rPr>
          <w:rFonts w:ascii="Times New Roman" w:hAnsi="Times New Roman" w:cs="Times New Roman"/>
          <w:color w:val="000000" w:themeColor="text1"/>
        </w:rPr>
        <w:t xml:space="preserve">easoned </w:t>
      </w:r>
      <w:r w:rsidR="0041084E" w:rsidRPr="00700474">
        <w:rPr>
          <w:rFonts w:ascii="Times New Roman" w:hAnsi="Times New Roman" w:cs="Times New Roman"/>
          <w:color w:val="000000" w:themeColor="text1"/>
        </w:rPr>
        <w:t>a</w:t>
      </w:r>
      <w:r w:rsidRPr="00700474">
        <w:rPr>
          <w:rFonts w:ascii="Times New Roman" w:hAnsi="Times New Roman" w:cs="Times New Roman"/>
          <w:color w:val="000000" w:themeColor="text1"/>
        </w:rPr>
        <w:t>ction, which posits that an individual’s attitude towards an act is influenced by their intention, the expected outcome, social pressures or subjective norms. In Chapter 5, Abeku told a friend's story, emphasizing how sanctions shaped his character into becoming a responsible member.</w:t>
      </w:r>
    </w:p>
    <w:p w14:paraId="4B025CF2" w14:textId="6FFF676C" w:rsidR="00CE4BFC" w:rsidRDefault="00CE4BFC" w:rsidP="002606A8">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Research participants further justified the use of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on children, citing culture and tradition. That is, their fore-parents practiced and handed over to them the use of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as a corrective and disciplinary measure. Thus, they will not deviate from it except use it sparingly, given that it can sometimes be counter-productive. Abeku continued his submission, describing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as a corrective and disciplinary measure inherited from older members. He explained that his friend did not die because he was punished. After all, the pain inflicted on his friend was reasonable to the extent that it was only painful enough to change him and not harm him. Besides,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of children is standard practice handed over from generations. Transitioning from the cultural influences on corporal punishment of children, the discussion now delves into ethical dualism, exploring how conflicting moral frameworks shape attitudes toward sanctions in Ghana.”</w:t>
      </w:r>
    </w:p>
    <w:p w14:paraId="4D78AD30" w14:textId="77777777" w:rsidR="00F52300" w:rsidRPr="00700474" w:rsidRDefault="00F52300" w:rsidP="002606A8">
      <w:pPr>
        <w:pStyle w:val="NoSpacing"/>
        <w:spacing w:line="480" w:lineRule="auto"/>
        <w:ind w:firstLine="720"/>
        <w:rPr>
          <w:rFonts w:ascii="Times New Roman" w:hAnsi="Times New Roman" w:cs="Times New Roman"/>
          <w:color w:val="000000" w:themeColor="text1"/>
        </w:rPr>
      </w:pPr>
    </w:p>
    <w:p w14:paraId="34B49405" w14:textId="77777777" w:rsidR="00CE4BFC" w:rsidRPr="00700474" w:rsidRDefault="00CE4BFC" w:rsidP="002606A8">
      <w:pPr>
        <w:pStyle w:val="NoSpacing"/>
        <w:numPr>
          <w:ilvl w:val="0"/>
          <w:numId w:val="13"/>
        </w:numPr>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lastRenderedPageBreak/>
        <w:t>Ethical Dualism</w:t>
      </w:r>
    </w:p>
    <w:p w14:paraId="0E9F5112" w14:textId="1F02C682" w:rsidR="00CE4BFC" w:rsidRPr="00700474" w:rsidRDefault="00CE4BFC" w:rsidP="002606A8">
      <w:pPr>
        <w:jc w:val="left"/>
      </w:pPr>
      <w:r w:rsidRPr="00700474">
        <w:t xml:space="preserve">Attitudes toward corporal </w:t>
      </w:r>
      <w:r w:rsidR="00022967" w:rsidRPr="00700474">
        <w:t>punishment</w:t>
      </w:r>
      <w:r w:rsidRPr="00700474">
        <w:t xml:space="preserve"> of children appear to be shaped by ethical dualism- a contradiction between Judeo-Christian values that encourage forgiveness and the use of Bible verses like </w:t>
      </w:r>
      <w:r w:rsidRPr="00700474">
        <w:rPr>
          <w:i/>
          <w:iCs/>
        </w:rPr>
        <w:t>“Spare the rod, spoil the child”</w:t>
      </w:r>
      <w:r w:rsidRPr="00700474">
        <w:t xml:space="preserve"> to justify sanctioning children. Ethical dualism reflects the coexistence of seemingly opposing moral principles within a single ethical framework. </w:t>
      </w:r>
    </w:p>
    <w:p w14:paraId="10F5DD6F" w14:textId="77777777" w:rsidR="00CE4BFC" w:rsidRDefault="00CE4BFC" w:rsidP="002E605C">
      <w:pPr>
        <w:ind w:firstLine="360"/>
        <w:jc w:val="left"/>
      </w:pPr>
      <w:r w:rsidRPr="00700474">
        <w:t>The Christian faith emphasizes forgiving others just as God forgave humanity, resonating with Ghana’s predominantly Christian population. Forgiving others encourages restoration, reintegration and reconciliation, focusing on healing the harm caused by the offender. On the other hand, the bible emphasizes discipline as a form of love and guidance. This perspective is reflected in bible verses such as Proverbs 13:24 (</w:t>
      </w:r>
      <w:r w:rsidRPr="00700474">
        <w:rPr>
          <w:i/>
          <w:iCs/>
        </w:rPr>
        <w:t>“Whoever spares the rod hates their children, but the one who loves their children is careful to discipline them”</w:t>
      </w:r>
      <w:r w:rsidRPr="00700474">
        <w:t>). In Ghana, arguably, this ethical dualism is interpreted based on cultural norms. As such, given that the Ghanaian culture supports physical punishment as a measure of discipline because physical punishment is perceived as an act of love aimed at correcting behavior, they align with the biblical emphasis on discipline (Kyei-Gyamfi 2011). Thus, in Ghana, it appears the principle of correction is prioritized over forgiveness when it comes to child discipline perhaps due to generational and cultural influences. As was demonstrated in Chapter Five, Afia justified caning a child as a disciplinary measure rooted in the Bible. She explained that to cane a child is good because the Bible even says that if you spare the rod, you will spoil the child and that caning a child is not tantamount to killing the child. Instead, it shapes children into responsible members of society. Afia’s justification ignores the fact that the Bible also preaches forgiveness.</w:t>
      </w:r>
    </w:p>
    <w:p w14:paraId="6AD339F2" w14:textId="77777777" w:rsidR="00F52300" w:rsidRPr="00700474" w:rsidRDefault="00F52300" w:rsidP="002E605C">
      <w:pPr>
        <w:ind w:firstLine="360"/>
        <w:jc w:val="left"/>
      </w:pPr>
    </w:p>
    <w:p w14:paraId="433CA026" w14:textId="5285B3D8" w:rsidR="00CE4BFC" w:rsidRPr="00700474" w:rsidRDefault="00CE4BFC" w:rsidP="002606A8">
      <w:pPr>
        <w:pStyle w:val="ListParagraph"/>
        <w:numPr>
          <w:ilvl w:val="0"/>
          <w:numId w:val="13"/>
        </w:numPr>
        <w:rPr>
          <w:b/>
          <w:bCs/>
        </w:rPr>
      </w:pPr>
      <w:r w:rsidRPr="00700474">
        <w:rPr>
          <w:b/>
          <w:bCs/>
        </w:rPr>
        <w:lastRenderedPageBreak/>
        <w:t>Narratives, Past Experiences and Sanctions</w:t>
      </w:r>
    </w:p>
    <w:p w14:paraId="07D8ADD2" w14:textId="77777777" w:rsidR="00CE4BFC" w:rsidRPr="00700474" w:rsidRDefault="00CE4BFC" w:rsidP="002606A8">
      <w:pPr>
        <w:jc w:val="left"/>
      </w:pPr>
      <w:r w:rsidRPr="00700474">
        <w:t>All (100) participants at least one adverse experience with sanctions. After narrating their experience, research participants would conclude with the sentence....” because of this experience I......” suggesting that past experiences may shape attitudes toward sanctions. Given their experience with sanction, participants may developed specific associations between behaviors and consequences. Research participants who had negative experiences with sanctions, such as fear or humiliation, may have an aversion toward punitive measures. As captured in Chapter 5, Anima, expressed concern about sanctioning causing long-term psychological harm, including increased aggression, anxiety, and depression, hence her reservation in utilizing it:</w:t>
      </w:r>
    </w:p>
    <w:p w14:paraId="1E9106DD" w14:textId="77777777" w:rsidR="00CE4BFC" w:rsidRDefault="00CE4BFC" w:rsidP="002606A8">
      <w:pPr>
        <w:ind w:firstLine="720"/>
        <w:jc w:val="left"/>
      </w:pPr>
      <w:r w:rsidRPr="00700474">
        <w:t>Conversely, those whose sanctioning led to perceived positive outcomes or improved behavior supported using sanctions. Abeku, whose story is also captured in Chapter 5, illustrated how a positive change in his friend was achieved through sanctions, influencing his support for sanctions. Also, research participants past interactions with formal justice systems—such as police or courts—have also shaped their attitudes toward institutional or formal forms of sanctions. Thus, positive experiences (e.g., fair trials) have fostered trust in formal systems, while negative ones (e.g., corruption or inefficiency) have supported extra-judicial measures like mob justice. For instance, related in Chapter 4, Prempeh reflected on his ordeal with a police officer who discontinued a theft case he had reported because he refused to allow the police to exploit him making him amenable to extra-judicial measures like mob justice. Prempeh’s decision to resort to mob justice is arguably influenced by his experience with the police, underscoring the argument that past experience shape attitudes toward sanction.</w:t>
      </w:r>
    </w:p>
    <w:p w14:paraId="1ECBC165" w14:textId="77777777" w:rsidR="00F52300" w:rsidRDefault="00F52300" w:rsidP="002606A8">
      <w:pPr>
        <w:ind w:firstLine="720"/>
        <w:jc w:val="left"/>
      </w:pPr>
    </w:p>
    <w:p w14:paraId="35033566" w14:textId="77777777" w:rsidR="00F52300" w:rsidRPr="00700474" w:rsidRDefault="00F52300" w:rsidP="002606A8">
      <w:pPr>
        <w:ind w:firstLine="720"/>
        <w:jc w:val="left"/>
      </w:pPr>
    </w:p>
    <w:p w14:paraId="3CC12141" w14:textId="77777777" w:rsidR="00CE4BFC" w:rsidRPr="00700474" w:rsidRDefault="00CE4BFC" w:rsidP="002606A8">
      <w:pPr>
        <w:pStyle w:val="NoSpacing"/>
        <w:numPr>
          <w:ilvl w:val="0"/>
          <w:numId w:val="13"/>
        </w:numPr>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lastRenderedPageBreak/>
        <w:t>Intentions, Expected Outcome and Sanctions</w:t>
      </w:r>
    </w:p>
    <w:p w14:paraId="582593B4" w14:textId="77777777" w:rsidR="00CE4BFC" w:rsidRPr="00700474" w:rsidRDefault="00CE4BFC" w:rsidP="00CE4BFC">
      <w:pPr>
        <w:jc w:val="left"/>
      </w:pPr>
      <w:r w:rsidRPr="00700474">
        <w:t>One common theme that ran through the interviews was that the expected outcome of a sanction was crucial in determining the participants’ attitudes. Because participants often evaluate sanctions based on whether the punishment achieves its intended goals, such as deterrence, rehabilitation, or justice restoration. However, it is important to note that societal pressures also played a significant role. If the reason for which a sanction was applied is met or the expected outcome of inflicting that sanction is achieved, then the attitude towards that sanction would be positive. If it fails, there is a negative attitude. For instance, in Chapter 6, Asante expressed satisfaction in how their decision to engage in mob justice has relieved his community from incessant burglary. He bemoaned the increasing rate of criminal activities in his neighborhood, with no police assistance or patrol in the area. However, the community’s decision to inflict pain on offenders has relieved community members from the daily activities of criminals.</w:t>
      </w:r>
    </w:p>
    <w:p w14:paraId="34A0391B" w14:textId="77777777" w:rsidR="00CE4BFC" w:rsidRPr="00700474" w:rsidRDefault="00CE4BFC" w:rsidP="00CE4BFC">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Other research participants also expressed that societal expectations influence their reason for using specific sanctions. For instance, regarding the use of physical punishments on children, some research participants posited that the only reason they physically punish their wards is that it is a societal expectation to punish your child when they misbehave. Besides, they do not want to be thought of as having weak parental skills or control over their child. Thus, their attitude toward the physical sanctioning of children is influenced by societal pressures. </w:t>
      </w:r>
    </w:p>
    <w:p w14:paraId="01BB9D0D" w14:textId="563C0A01" w:rsidR="00CE4BFC" w:rsidRPr="00700474" w:rsidRDefault="00CE4BFC" w:rsidP="00CE4BFC">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ab/>
        <w:t xml:space="preserve">Such reasoning— intention, expected outcome and societal pressures- underscore the theory of Reasoned Action (Vallerand, Deshaies, Cuerrier, Pelletier, and Mongeau 1991). According to the </w:t>
      </w:r>
      <w:r w:rsidR="00B10694" w:rsidRPr="00700474">
        <w:rPr>
          <w:rFonts w:ascii="Times New Roman" w:hAnsi="Times New Roman" w:cs="Times New Roman"/>
          <w:color w:val="000000" w:themeColor="text1"/>
        </w:rPr>
        <w:t>t</w:t>
      </w:r>
      <w:r w:rsidRPr="00700474">
        <w:rPr>
          <w:rFonts w:ascii="Times New Roman" w:hAnsi="Times New Roman" w:cs="Times New Roman"/>
          <w:color w:val="000000" w:themeColor="text1"/>
        </w:rPr>
        <w:t xml:space="preserve">heory of </w:t>
      </w:r>
      <w:r w:rsidR="00B10694" w:rsidRPr="00700474">
        <w:rPr>
          <w:rFonts w:ascii="Times New Roman" w:hAnsi="Times New Roman" w:cs="Times New Roman"/>
          <w:color w:val="000000" w:themeColor="text1"/>
        </w:rPr>
        <w:t>r</w:t>
      </w:r>
      <w:r w:rsidRPr="00700474">
        <w:rPr>
          <w:rFonts w:ascii="Times New Roman" w:hAnsi="Times New Roman" w:cs="Times New Roman"/>
          <w:color w:val="000000" w:themeColor="text1"/>
        </w:rPr>
        <w:t xml:space="preserve">easoned </w:t>
      </w:r>
      <w:r w:rsidR="00B10694" w:rsidRPr="00700474">
        <w:rPr>
          <w:rFonts w:ascii="Times New Roman" w:hAnsi="Times New Roman" w:cs="Times New Roman"/>
          <w:color w:val="000000" w:themeColor="text1"/>
        </w:rPr>
        <w:t>a</w:t>
      </w:r>
      <w:r w:rsidRPr="00700474">
        <w:rPr>
          <w:rFonts w:ascii="Times New Roman" w:hAnsi="Times New Roman" w:cs="Times New Roman"/>
          <w:color w:val="000000" w:themeColor="text1"/>
        </w:rPr>
        <w:t xml:space="preserve">ction, behavior can largely be predicted by the individual’s intention. The theory also argues that a person’s intentions about performing a behaviour are influenced by social pressures or “subjective norms,” which are the individual’s perceptions of </w:t>
      </w:r>
      <w:r w:rsidRPr="00700474">
        <w:rPr>
          <w:rFonts w:ascii="Times New Roman" w:hAnsi="Times New Roman" w:cs="Times New Roman"/>
          <w:color w:val="000000" w:themeColor="text1"/>
        </w:rPr>
        <w:lastRenderedPageBreak/>
        <w:t xml:space="preserve">what others will think about them performing the behavior in question. These norms (social and subjective) can be influenced by societal expectations and personal beliefs (Vallerand, Deshaies, Cuerrier, Pelletier and Mongeau, 1991). Therefore, intentions, expected outcomes, and societal pressures are critical in shaping public attitudes toward sanctions because they influence perceptions of effectiveness. </w:t>
      </w:r>
    </w:p>
    <w:p w14:paraId="15849FD7" w14:textId="77777777" w:rsidR="00CE4BFC" w:rsidRPr="00700474" w:rsidRDefault="00CE4BFC" w:rsidP="00CE4BFC">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This study has revealed several key insights into Ghanaians’ attitudes toward sanctions. Formal legal systems and sanctions are perceived as technically legitimate, yet they are often marred by bribery and corruption, undermining public trust. Mob justice, while illegal, is frequently justified as a response to inefficiencies in formal systems and is seen as a legacy of colonialism. Attitudes toward corporal punishment of children are shaped by cultural traditions and Judeo-Christian ethics, alongside ethical dualism that reflects conflicting moral frameworks. Narratives and past experiences significantly influence perceptions of sanctions, highlighting the role of personal and collective stories. Additionally, expected outcomes, intentions, and societal expectations play a critical role in shaping attitudes, emphasizing the complex interplay between individual beliefs and broader social norms. These findings underscore the multifaceted nature of public perceptions regarding sanctions in Ghana. In the ensuing section, the discussion now transitions to the policy implications of these findings, emphasizing how they can inform culturally sensitive and effective justice strategies in Ghana.”</w:t>
      </w:r>
    </w:p>
    <w:p w14:paraId="1BF4C3B7" w14:textId="460A406E" w:rsidR="00CE4BFC" w:rsidRPr="00700474" w:rsidRDefault="00CE4BFC" w:rsidP="001E280F">
      <w:pPr>
        <w:spacing w:after="160" w:line="259" w:lineRule="auto"/>
        <w:rPr>
          <w:b/>
          <w:bCs/>
        </w:rPr>
      </w:pPr>
      <w:r w:rsidRPr="00700474">
        <w:rPr>
          <w:b/>
          <w:bCs/>
        </w:rPr>
        <w:t>Intellectual Contributions of the Dissertation</w:t>
      </w:r>
    </w:p>
    <w:p w14:paraId="18050E56" w14:textId="77777777" w:rsidR="00CE4BFC" w:rsidRPr="00700474" w:rsidRDefault="00CE4BFC" w:rsidP="00CE4BFC">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My literature review (Chapter 2) revealed an empirical gap in criminological studies on attitudes toward sanctions in Ghana: I found just five (5) studies on attitudes toward sanctions in Ghana. These studies focused on specific aspects of formal sanctions, providing no insight into Ghanaian’s general attitude toward sanctions. My research fills that gap, innovating in three </w:t>
      </w:r>
      <w:r w:rsidRPr="00700474">
        <w:rPr>
          <w:rFonts w:ascii="Times New Roman" w:hAnsi="Times New Roman" w:cs="Times New Roman"/>
          <w:color w:val="000000" w:themeColor="text1"/>
        </w:rPr>
        <w:lastRenderedPageBreak/>
        <w:t>distinct ways: (a) it explores attitudes towards sanctions from Ghana’s unique cultural, religious, and traditional into non-Western perspectives on sanctions contributing to the sparse criminological research in the global south; (b) it explores factors that shape attitudes toward sanctions whereas the existing literature only identifies what attitudes are displayed; (c) it highlights tensions between cultural norms about sanctions and human rights standards.</w:t>
      </w:r>
    </w:p>
    <w:p w14:paraId="1503BE54" w14:textId="4E002151" w:rsidR="00CE4BFC" w:rsidRPr="00700474" w:rsidRDefault="00CE4BFC" w:rsidP="00CE4BFC">
      <w:pPr>
        <w:pStyle w:val="NoSpacing"/>
        <w:spacing w:line="480" w:lineRule="auto"/>
        <w:jc w:val="center"/>
        <w:rPr>
          <w:rFonts w:ascii="Times New Roman" w:hAnsi="Times New Roman" w:cs="Times New Roman"/>
          <w:b/>
          <w:bCs/>
          <w:color w:val="000000" w:themeColor="text1"/>
        </w:rPr>
      </w:pPr>
      <w:r w:rsidRPr="00700474">
        <w:rPr>
          <w:rFonts w:ascii="Times New Roman" w:hAnsi="Times New Roman" w:cs="Times New Roman"/>
          <w:b/>
          <w:bCs/>
          <w:color w:val="000000" w:themeColor="text1"/>
        </w:rPr>
        <w:t>Policy Implications</w:t>
      </w:r>
    </w:p>
    <w:p w14:paraId="20E4FAD9" w14:textId="21796B8B" w:rsidR="00CE4BFC" w:rsidRDefault="00CE4BFC" w:rsidP="00B91AD8">
      <w:pPr>
        <w:jc w:val="left"/>
      </w:pPr>
      <w:r w:rsidRPr="00700474">
        <w:t>Understanding the attitudes of Ghanaians towards sanction can significantly influence the design of legal frameworks by Ghana’s policymakers, aligning them more closely with societal values. This alignment can foster greater legitimacy and acceptance of the justice system, promoting better compliance with laws and regulations.</w:t>
      </w:r>
      <w:r w:rsidRPr="00700474">
        <w:rPr>
          <w:b/>
          <w:bCs/>
        </w:rPr>
        <w:t xml:space="preserve"> </w:t>
      </w:r>
      <w:r w:rsidRPr="00700474">
        <w:t>Moreover, the research can shed light on areas where human rights may be compromised. For instance, the study reveals a preference for punitive measures such as mob justice, which could stimulate discussions on the need for more humane approaches to justice. This awareness can drive reforms that protect individuals’ rights and promote fair treatment within legal and non-legal systems. Furthermore,</w:t>
      </w:r>
      <w:r w:rsidRPr="00700474">
        <w:rPr>
          <w:b/>
          <w:bCs/>
        </w:rPr>
        <w:t xml:space="preserve"> </w:t>
      </w:r>
      <w:r w:rsidRPr="00700474">
        <w:t>NGOs working on justice reform, human rights, or community development can leverage the study’s findings to advocate for policies that reflect public sentiment and needs. For instance, insights gained from Gadzo’s (2023) study were instrumental in shaping NGO interventions to improve access to financial services in marginalized communities. In the ensuing section, I share my final thoughts of this research emphasizing the urgent need for reform in Ghana’s Legal system and societal approaches to discipline, highlighting actionable strategies to address systemic inefficiencies, cultural norms, and human rights concerns.</w:t>
      </w:r>
    </w:p>
    <w:p w14:paraId="1E227221" w14:textId="77777777" w:rsidR="00F52300" w:rsidRDefault="00F52300" w:rsidP="00B91AD8">
      <w:pPr>
        <w:jc w:val="left"/>
      </w:pPr>
    </w:p>
    <w:p w14:paraId="38C465A8" w14:textId="77777777" w:rsidR="00F52300" w:rsidRPr="00700474" w:rsidRDefault="00F52300" w:rsidP="00B91AD8">
      <w:pPr>
        <w:jc w:val="left"/>
      </w:pPr>
    </w:p>
    <w:p w14:paraId="54B4F4F5" w14:textId="004442AD" w:rsidR="002E605C" w:rsidRPr="00700474" w:rsidRDefault="002E605C" w:rsidP="002E605C">
      <w:pPr>
        <w:rPr>
          <w:b/>
          <w:bCs/>
        </w:rPr>
      </w:pPr>
      <w:r w:rsidRPr="00700474">
        <w:rPr>
          <w:b/>
          <w:bCs/>
        </w:rPr>
        <w:lastRenderedPageBreak/>
        <w:t>Directions for Future Research</w:t>
      </w:r>
    </w:p>
    <w:p w14:paraId="7FB47DE5" w14:textId="101C6EAE" w:rsidR="002E605C" w:rsidRPr="00700474" w:rsidRDefault="002E605C" w:rsidP="00B91AD8">
      <w:pPr>
        <w:jc w:val="left"/>
      </w:pPr>
      <w:r w:rsidRPr="00700474">
        <w:t>Future research may explore how public perceptions of corruption shape compliance with legal norms, offering insights into the relationship between trust in governance and adherence to laws. Additionally, it is essential to investigate the socio-cultural factors—such as community values, religious beliefs, and traditional authority structures—that perpetuate practices like mob justice. A comparative study between Ghana and other post-colonial nations could provide insights into shared colonial legacies and distinct national trajectories in attitudes toward legal sanctions. Another promising area of inquiry involves analyzing how media portrayals of crime and punishment influence collective perceptions and emotional responses to both state-administered and informal justice systems. Finally, exploring the role of gendered narratives in shaping public support for corporal punishment or mob justice is crucial. This includes understanding how societal expectations surrounding masculinity and femininity impact who is punished and the methods used. These research directions will significantly enhance our understanding of penal cultures in Ghana and comparable contexts.</w:t>
      </w:r>
    </w:p>
    <w:p w14:paraId="0B780CA2" w14:textId="77777777" w:rsidR="00CE4BFC" w:rsidRPr="00700474" w:rsidRDefault="00CE4BFC" w:rsidP="00CE4BFC">
      <w:pPr>
        <w:rPr>
          <w:b/>
          <w:bCs/>
        </w:rPr>
      </w:pPr>
      <w:r w:rsidRPr="00700474">
        <w:rPr>
          <w:b/>
          <w:bCs/>
        </w:rPr>
        <w:t xml:space="preserve">Final Thoughts: Hope </w:t>
      </w:r>
    </w:p>
    <w:p w14:paraId="1789665D" w14:textId="77777777" w:rsidR="00CE4BFC" w:rsidRPr="00700474" w:rsidRDefault="00CE4BFC" w:rsidP="00CE4BFC">
      <w:pPr>
        <w:pStyle w:val="NoSpacing"/>
        <w:spacing w:line="480" w:lineRule="auto"/>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prevailing lack of trust and acceptance of the formal legal system, and the preference for extra-judicial sanctions, have been significantly influenced by the negative narratives and experiences of research participants with the police and judiciary. These experiences, often involving corruption, delayed justice, and lack of transparency, underscore the urgent need for reform. A positive experience, such as a swift and fair resolution of a legal dispute, could potentially reshape these negative narratives and restore trust in the formal legal system. The situation underscores the importance of improving the efficiency of courts to reduce delays and costs associated with accessing justice, and strengthening oversight mechanisms to combat </w:t>
      </w:r>
      <w:r w:rsidRPr="00700474">
        <w:rPr>
          <w:rFonts w:ascii="Times New Roman" w:hAnsi="Times New Roman" w:cs="Times New Roman"/>
          <w:color w:val="000000" w:themeColor="text1"/>
        </w:rPr>
        <w:lastRenderedPageBreak/>
        <w:t>corruption within the judiciary. These measures promote respect for due process, restore trust in the formal legal system and encourage the formulation of positive narratives about formal sanctions.</w:t>
      </w:r>
    </w:p>
    <w:p w14:paraId="19494D8B" w14:textId="7703A034" w:rsidR="00A965CC" w:rsidRPr="00700474" w:rsidRDefault="00CE4BFC" w:rsidP="00B10694">
      <w:pPr>
        <w:pStyle w:val="NoSpacing"/>
        <w:spacing w:line="480" w:lineRule="auto"/>
        <w:ind w:firstLine="720"/>
        <w:rPr>
          <w:rFonts w:ascii="Times New Roman" w:hAnsi="Times New Roman" w:cs="Times New Roman"/>
          <w:color w:val="000000" w:themeColor="text1"/>
        </w:rPr>
      </w:pPr>
      <w:r w:rsidRPr="00700474">
        <w:rPr>
          <w:rFonts w:ascii="Times New Roman" w:hAnsi="Times New Roman" w:cs="Times New Roman"/>
          <w:color w:val="000000" w:themeColor="text1"/>
        </w:rPr>
        <w:t xml:space="preserve">The continued use of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on children is a complex issue, shaped by positive past experiences, narratives, intentions or expected outcomes (discipline), culture and Judeo-Christian ethics. To effectively eliminate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as a disciplinary measure in Ghana, a comprehensive, multifaceted approach is required. This approach must address cultural, legal, educational, and societal factors, leaving no room for oversight. Also, promoting alternative disciplinary methods is crucial to instilling hope for a better future of non-violent parenting. It is important to note that this change cannot happen without the active involvement of the community. Below are actionable strategies: Launch nationwide campaigns to educate parents, teachers, and caregivers abou</w:t>
      </w:r>
      <w:r w:rsidR="00B10694" w:rsidRPr="00700474">
        <w:rPr>
          <w:rFonts w:ascii="Times New Roman" w:hAnsi="Times New Roman" w:cs="Times New Roman"/>
          <w:color w:val="000000" w:themeColor="text1"/>
        </w:rPr>
        <w:t>+-</w:t>
      </w:r>
      <w:r w:rsidRPr="00700474">
        <w:rPr>
          <w:rFonts w:ascii="Times New Roman" w:hAnsi="Times New Roman" w:cs="Times New Roman"/>
          <w:color w:val="000000" w:themeColor="text1"/>
        </w:rPr>
        <w:t xml:space="preserve">t the harmful effects of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on children’s mental and emotional well-being. Highlight alternative disciplinary methods such as positive reinforcement and communication. Engage religious leaders to reinterpret scriptures that are often used to justify corporal </w:t>
      </w:r>
      <w:r w:rsidR="00022967" w:rsidRPr="00700474">
        <w:rPr>
          <w:rFonts w:ascii="Times New Roman" w:hAnsi="Times New Roman" w:cs="Times New Roman"/>
          <w:color w:val="000000" w:themeColor="text1"/>
        </w:rPr>
        <w:t>punishment</w:t>
      </w:r>
      <w:r w:rsidRPr="00700474">
        <w:rPr>
          <w:rFonts w:ascii="Times New Roman" w:hAnsi="Times New Roman" w:cs="Times New Roman"/>
          <w:color w:val="000000" w:themeColor="text1"/>
        </w:rPr>
        <w:t xml:space="preserve">, emphasizing non-violent approaches to discipline—community awareness campaign in Ghana. Amend Ghana’s Children’s Act (1998) to explicitly prohibit physical sanction of children in all settings, including homes and schools. Ensure strict enforcement of laws banning physical punishment through monitoring systems and penalties for violations. </w:t>
      </w:r>
    </w:p>
    <w:p w14:paraId="19DC0737" w14:textId="77777777" w:rsidR="00B10694" w:rsidRDefault="00B10694" w:rsidP="00B10694">
      <w:pPr>
        <w:pStyle w:val="NoSpacing"/>
        <w:spacing w:line="480" w:lineRule="auto"/>
        <w:ind w:firstLine="720"/>
        <w:rPr>
          <w:rFonts w:ascii="Times New Roman" w:hAnsi="Times New Roman" w:cs="Times New Roman"/>
          <w:color w:val="000000" w:themeColor="text1"/>
        </w:rPr>
      </w:pPr>
    </w:p>
    <w:p w14:paraId="064B12D9" w14:textId="77777777" w:rsidR="00F52300" w:rsidRPr="00700474" w:rsidRDefault="00F52300" w:rsidP="00B10694">
      <w:pPr>
        <w:pStyle w:val="NoSpacing"/>
        <w:spacing w:line="480" w:lineRule="auto"/>
        <w:ind w:firstLine="720"/>
        <w:rPr>
          <w:rFonts w:ascii="Times New Roman" w:hAnsi="Times New Roman" w:cs="Times New Roman"/>
          <w:color w:val="000000" w:themeColor="text1"/>
        </w:rPr>
      </w:pPr>
    </w:p>
    <w:p w14:paraId="26C62149" w14:textId="649C6859" w:rsidR="000142C5" w:rsidRPr="00700474" w:rsidRDefault="005A68CE" w:rsidP="001E280F">
      <w:pPr>
        <w:pStyle w:val="Heading1"/>
        <w:rPr>
          <w:rFonts w:ascii="Times New Roman" w:hAnsi="Times New Roman" w:cs="Times New Roman"/>
          <w:b/>
          <w:bCs/>
          <w:color w:val="000000" w:themeColor="text1"/>
          <w:sz w:val="24"/>
          <w:szCs w:val="24"/>
        </w:rPr>
      </w:pPr>
      <w:bookmarkStart w:id="49" w:name="_Toc204092880"/>
      <w:r w:rsidRPr="00700474">
        <w:rPr>
          <w:rFonts w:ascii="Times New Roman" w:hAnsi="Times New Roman" w:cs="Times New Roman"/>
          <w:b/>
          <w:bCs/>
          <w:color w:val="000000" w:themeColor="text1"/>
          <w:sz w:val="24"/>
          <w:szCs w:val="24"/>
        </w:rPr>
        <w:lastRenderedPageBreak/>
        <w:t>LIST OF REFERENCES</w:t>
      </w:r>
      <w:bookmarkEnd w:id="49"/>
    </w:p>
    <w:p w14:paraId="51488ADB" w14:textId="77777777" w:rsidR="00245C6F" w:rsidRPr="00700474" w:rsidRDefault="000142C5" w:rsidP="001E280F">
      <w:pPr>
        <w:pStyle w:val="EndNoteBibliography"/>
        <w:jc w:val="left"/>
      </w:pPr>
      <w:r w:rsidRPr="00700474">
        <w:fldChar w:fldCharType="begin"/>
      </w:r>
      <w:r w:rsidRPr="00700474">
        <w:instrText xml:space="preserve"> ADDIN EN.REFLIST </w:instrText>
      </w:r>
      <w:r w:rsidRPr="00700474">
        <w:fldChar w:fldCharType="separate"/>
      </w:r>
      <w:r w:rsidRPr="00700474">
        <w:t xml:space="preserve">Abotchie, Chris. 1997. Social control in traditional southern Eweland of Ghana: Relevance for </w:t>
      </w:r>
    </w:p>
    <w:p w14:paraId="19F7BA2C" w14:textId="3015D992" w:rsidR="000142C5" w:rsidRPr="00700474" w:rsidRDefault="000142C5" w:rsidP="001E280F">
      <w:pPr>
        <w:pStyle w:val="EndNoteBibliography"/>
        <w:ind w:firstLine="720"/>
        <w:jc w:val="left"/>
      </w:pPr>
      <w:r w:rsidRPr="00700474">
        <w:t>modern crime prevention: Ghana Universities Press Accra.</w:t>
      </w:r>
    </w:p>
    <w:p w14:paraId="12738D06" w14:textId="77777777" w:rsidR="00245C6F" w:rsidRPr="00700474" w:rsidRDefault="000142C5" w:rsidP="001E280F">
      <w:pPr>
        <w:pStyle w:val="EndNoteBibliography"/>
        <w:jc w:val="left"/>
      </w:pPr>
      <w:r w:rsidRPr="00700474">
        <w:t xml:space="preserve">Abbott, Mercia. 2021. "The Woven Narratives: Weaving Climate Change Science, Ecologies and </w:t>
      </w:r>
    </w:p>
    <w:p w14:paraId="60CA335A" w14:textId="506A20A7" w:rsidR="000142C5" w:rsidRPr="00700474" w:rsidRDefault="000142C5" w:rsidP="001E280F">
      <w:pPr>
        <w:pStyle w:val="EndNoteBibliography"/>
        <w:ind w:left="720"/>
        <w:jc w:val="left"/>
      </w:pPr>
      <w:r w:rsidRPr="00700474">
        <w:t>Mātauranga Māori through Spatial Constructs." Master’s thesis, Massey University, Wellington, New Zealand.</w:t>
      </w:r>
    </w:p>
    <w:p w14:paraId="2FC003DE" w14:textId="77777777" w:rsidR="000142C5" w:rsidRPr="00700474" w:rsidRDefault="000142C5" w:rsidP="001E280F">
      <w:pPr>
        <w:pStyle w:val="EndNoteBibliography"/>
        <w:jc w:val="left"/>
      </w:pPr>
      <w:r w:rsidRPr="00700474">
        <w:t xml:space="preserve">Acquah, George Kingsley. 1991. "Customary Offences and the Courts." </w:t>
      </w:r>
      <w:r w:rsidRPr="00700474">
        <w:rPr>
          <w:i/>
        </w:rPr>
        <w:t>Rev. Ghana L.</w:t>
      </w:r>
      <w:r w:rsidRPr="00700474">
        <w:t xml:space="preserve"> 18:36.</w:t>
      </w:r>
    </w:p>
    <w:p w14:paraId="2E6E16B6" w14:textId="77777777" w:rsidR="00245C6F" w:rsidRPr="00700474" w:rsidRDefault="000142C5" w:rsidP="001E280F">
      <w:pPr>
        <w:pStyle w:val="EndNoteBibliography"/>
        <w:jc w:val="left"/>
      </w:pPr>
      <w:r w:rsidRPr="00700474">
        <w:t xml:space="preserve">Addo-Fening, Robert. 2013. "Ghana under colonial rule: An outline of the early period and the </w:t>
      </w:r>
    </w:p>
    <w:p w14:paraId="14070114" w14:textId="6F0859E8" w:rsidR="00B91AD8" w:rsidRPr="00700474" w:rsidRDefault="000142C5" w:rsidP="001E280F">
      <w:pPr>
        <w:pStyle w:val="EndNoteBibliography"/>
        <w:ind w:firstLine="720"/>
        <w:jc w:val="left"/>
      </w:pPr>
      <w:r w:rsidRPr="00700474">
        <w:t xml:space="preserve">interwar years." </w:t>
      </w:r>
      <w:r w:rsidRPr="00700474">
        <w:rPr>
          <w:i/>
        </w:rPr>
        <w:t>Transactions of the Historical Society of Ghana</w:t>
      </w:r>
      <w:r w:rsidRPr="00700474">
        <w:t xml:space="preserve"> (15):39-70.</w:t>
      </w:r>
    </w:p>
    <w:p w14:paraId="3A4D69C1" w14:textId="77777777" w:rsidR="00245C6F" w:rsidRPr="00700474" w:rsidRDefault="000142C5" w:rsidP="001E280F">
      <w:pPr>
        <w:pStyle w:val="EndNoteBibliography"/>
        <w:jc w:val="left"/>
      </w:pPr>
      <w:r w:rsidRPr="00700474">
        <w:t xml:space="preserve">Addadzi-Koom, Maame Efua, and Ebenezer Adjei Bediako. 2019. "Implementing an E-Justice </w:t>
      </w:r>
    </w:p>
    <w:p w14:paraId="0635A8BE" w14:textId="083026CE" w:rsidR="000142C5" w:rsidRPr="00700474" w:rsidRDefault="000142C5" w:rsidP="001E280F">
      <w:pPr>
        <w:pStyle w:val="EndNoteBibliography"/>
        <w:ind w:left="720"/>
        <w:jc w:val="left"/>
      </w:pPr>
      <w:r w:rsidRPr="00700474">
        <w:t xml:space="preserve">System in Ghana: Prospects, Risks, Challenges and Lessons from Best Practices." </w:t>
      </w:r>
      <w:r w:rsidRPr="00700474">
        <w:rPr>
          <w:i/>
          <w:iCs/>
        </w:rPr>
        <w:t>KNUST Law Journal</w:t>
      </w:r>
      <w:r w:rsidRPr="00700474">
        <w:t xml:space="preserve"> 8:108–130.</w:t>
      </w:r>
    </w:p>
    <w:p w14:paraId="76C53FDE" w14:textId="77777777" w:rsidR="00245C6F" w:rsidRPr="00700474" w:rsidRDefault="000142C5" w:rsidP="001E280F">
      <w:pPr>
        <w:pStyle w:val="EndNoteBibliography"/>
        <w:jc w:val="left"/>
      </w:pPr>
      <w:r w:rsidRPr="00700474">
        <w:t xml:space="preserve">Adinkrah, Mensah. 2015. "Witchcraft, Witches, and Violence in Ghana." United States: </w:t>
      </w:r>
    </w:p>
    <w:p w14:paraId="1BE5A72E" w14:textId="4926F657" w:rsidR="000142C5" w:rsidRPr="00700474" w:rsidRDefault="000142C5" w:rsidP="001E280F">
      <w:pPr>
        <w:pStyle w:val="EndNoteBibliography"/>
        <w:ind w:firstLine="720"/>
        <w:jc w:val="left"/>
      </w:pPr>
      <w:r w:rsidRPr="00700474">
        <w:t>Berghahn Books, Incorporated.</w:t>
      </w:r>
    </w:p>
    <w:p w14:paraId="100A9AE5" w14:textId="77777777" w:rsidR="00245C6F" w:rsidRPr="00700474" w:rsidRDefault="000142C5" w:rsidP="001E280F">
      <w:pPr>
        <w:pStyle w:val="EndNoteBibliography"/>
        <w:jc w:val="left"/>
      </w:pPr>
      <w:r w:rsidRPr="00700474">
        <w:t xml:space="preserve">Adzimah-Alade, Millicent, Charity Akotia, Francis Annor and Emmanuel Quarshie. 2020. </w:t>
      </w:r>
    </w:p>
    <w:p w14:paraId="544B523F" w14:textId="71F99D0B" w:rsidR="000142C5" w:rsidRPr="00700474" w:rsidRDefault="000142C5" w:rsidP="001E280F">
      <w:pPr>
        <w:pStyle w:val="EndNoteBibliography"/>
        <w:ind w:left="720"/>
        <w:jc w:val="left"/>
      </w:pPr>
      <w:r w:rsidRPr="00700474">
        <w:t>"Vigilantism in Ghana: Trends, Victim Characteristics, and Reported Reasons." doi: 10.1111/hojo.12364.</w:t>
      </w:r>
    </w:p>
    <w:p w14:paraId="15261B7F" w14:textId="77777777" w:rsidR="00245C6F" w:rsidRPr="00700474" w:rsidRDefault="000142C5" w:rsidP="001E280F">
      <w:pPr>
        <w:pStyle w:val="EndNoteBibliography"/>
        <w:jc w:val="left"/>
      </w:pPr>
      <w:r w:rsidRPr="00700474">
        <w:t xml:space="preserve">Agozino, Biko. 2003. Counter-colonial criminology : a critique of imperialist reason. London ;: </w:t>
      </w:r>
    </w:p>
    <w:p w14:paraId="3B9FE196" w14:textId="43C91B38" w:rsidR="000142C5" w:rsidRPr="00700474" w:rsidRDefault="000142C5" w:rsidP="001E280F">
      <w:pPr>
        <w:pStyle w:val="EndNoteBibliography"/>
        <w:ind w:firstLine="720"/>
        <w:jc w:val="left"/>
      </w:pPr>
      <w:r w:rsidRPr="00700474">
        <w:t>Pluto Press.</w:t>
      </w:r>
    </w:p>
    <w:p w14:paraId="1F02A6E3" w14:textId="77777777" w:rsidR="00245C6F" w:rsidRPr="00700474" w:rsidRDefault="000142C5" w:rsidP="001E280F">
      <w:pPr>
        <w:pStyle w:val="EndNoteBibliography"/>
        <w:jc w:val="left"/>
        <w:rPr>
          <w:i/>
          <w:iCs/>
        </w:rPr>
      </w:pPr>
      <w:r w:rsidRPr="00700474">
        <w:t>Agozino, Biko. 2020 "Africana liberation criminologies." In </w:t>
      </w:r>
      <w:r w:rsidRPr="00700474">
        <w:rPr>
          <w:i/>
          <w:iCs/>
        </w:rPr>
        <w:t xml:space="preserve">The Routledge handbook of </w:t>
      </w:r>
    </w:p>
    <w:p w14:paraId="6C17920D" w14:textId="3F4D9966" w:rsidR="000142C5" w:rsidRPr="00700474" w:rsidRDefault="000142C5" w:rsidP="001E280F">
      <w:pPr>
        <w:pStyle w:val="EndNoteBibliography"/>
        <w:ind w:firstLine="720"/>
        <w:jc w:val="left"/>
      </w:pPr>
      <w:r w:rsidRPr="00700474">
        <w:rPr>
          <w:i/>
          <w:iCs/>
        </w:rPr>
        <w:t>Africana criminologies</w:t>
      </w:r>
      <w:r w:rsidRPr="00700474">
        <w:t>:18-31.</w:t>
      </w:r>
    </w:p>
    <w:p w14:paraId="1271DCD9" w14:textId="77777777" w:rsidR="001E280F" w:rsidRPr="00700474" w:rsidRDefault="000142C5" w:rsidP="001E280F">
      <w:pPr>
        <w:pStyle w:val="EndNoteBibliography"/>
        <w:jc w:val="left"/>
      </w:pPr>
      <w:r w:rsidRPr="00700474">
        <w:t xml:space="preserve">Agozino, Biko, and Nontyatyambo Dastile. 2022. </w:t>
      </w:r>
      <w:r w:rsidRPr="00700474">
        <w:rPr>
          <w:i/>
          <w:iCs/>
        </w:rPr>
        <w:t>Criminology in Africa</w:t>
      </w:r>
      <w:r w:rsidRPr="00700474">
        <w:t xml:space="preserve">. Oxford, Oxford </w:t>
      </w:r>
    </w:p>
    <w:p w14:paraId="58FE770D" w14:textId="61659E2C" w:rsidR="000142C5" w:rsidRPr="00700474" w:rsidRDefault="000142C5" w:rsidP="001E280F">
      <w:pPr>
        <w:pStyle w:val="EndNoteBibliography"/>
        <w:ind w:firstLine="720"/>
        <w:jc w:val="left"/>
      </w:pPr>
      <w:r w:rsidRPr="00700474">
        <w:t>University Press.</w:t>
      </w:r>
    </w:p>
    <w:p w14:paraId="6ACE841B" w14:textId="77777777" w:rsidR="00245C6F" w:rsidRPr="00700474" w:rsidRDefault="000142C5" w:rsidP="001E280F">
      <w:pPr>
        <w:pStyle w:val="EndNoteBibliography"/>
        <w:jc w:val="left"/>
        <w:rPr>
          <w:i/>
          <w:iCs/>
        </w:rPr>
      </w:pPr>
      <w:r w:rsidRPr="00700474">
        <w:lastRenderedPageBreak/>
        <w:t xml:space="preserve">Ajzen, Icek, and Martin Fishbein. 1980. </w:t>
      </w:r>
      <w:r w:rsidRPr="00700474">
        <w:rPr>
          <w:i/>
          <w:iCs/>
        </w:rPr>
        <w:t xml:space="preserve">Understanding Attitudes and Predicting Social </w:t>
      </w:r>
    </w:p>
    <w:p w14:paraId="1BAFB8B4" w14:textId="4A21C9D8" w:rsidR="00245C6F" w:rsidRPr="00700474" w:rsidRDefault="000142C5" w:rsidP="001E280F">
      <w:pPr>
        <w:pStyle w:val="EndNoteBibliography"/>
        <w:ind w:firstLine="720"/>
        <w:jc w:val="left"/>
      </w:pPr>
      <w:r w:rsidRPr="00700474">
        <w:rPr>
          <w:i/>
          <w:iCs/>
        </w:rPr>
        <w:t>Behavior</w:t>
      </w:r>
      <w:r w:rsidRPr="00700474">
        <w:t>. Englewood Cliffs, NJ: Prentice-Hall.</w:t>
      </w:r>
    </w:p>
    <w:p w14:paraId="493874EB" w14:textId="704BC7F4" w:rsidR="00B91AD8" w:rsidRPr="00700474" w:rsidRDefault="00523C87" w:rsidP="001E280F">
      <w:pPr>
        <w:pStyle w:val="EndNoteBibliography"/>
        <w:jc w:val="left"/>
      </w:pPr>
      <w:r w:rsidRPr="00700474">
        <w:t xml:space="preserve">Allott, Anthony Nicholas. 1960. </w:t>
      </w:r>
      <w:r w:rsidRPr="00700474">
        <w:rPr>
          <w:i/>
          <w:iCs/>
        </w:rPr>
        <w:t>Essays in African Law</w:t>
      </w:r>
      <w:r w:rsidRPr="00700474">
        <w:t>. London: Butterworths.</w:t>
      </w:r>
    </w:p>
    <w:p w14:paraId="4B7C7C15" w14:textId="77777777" w:rsidR="00B91AD8" w:rsidRPr="00700474" w:rsidRDefault="000142C5" w:rsidP="001E280F">
      <w:pPr>
        <w:pStyle w:val="EndNoteBibliography"/>
        <w:jc w:val="left"/>
      </w:pPr>
      <w:r w:rsidRPr="00700474">
        <w:t xml:space="preserve">Al-Rashidi, Khaled S. 2023. "The Decriminalization of Cartel Activity in Kuwait: A Regulatory </w:t>
      </w:r>
    </w:p>
    <w:p w14:paraId="556CC5C3" w14:textId="003FCA33" w:rsidR="00B91AD8" w:rsidRPr="00700474" w:rsidRDefault="000142C5" w:rsidP="001E280F">
      <w:pPr>
        <w:pStyle w:val="EndNoteBibliography"/>
        <w:ind w:left="720"/>
        <w:jc w:val="left"/>
      </w:pPr>
      <w:r w:rsidRPr="00700474">
        <w:t xml:space="preserve">Framework." </w:t>
      </w:r>
      <w:r w:rsidRPr="00700474">
        <w:rPr>
          <w:i/>
          <w:iCs/>
        </w:rPr>
        <w:t>World Competition</w:t>
      </w:r>
      <w:r w:rsidRPr="00700474">
        <w:t xml:space="preserve"> 46(3):293–316.</w:t>
      </w:r>
      <w:r w:rsidR="00B91AD8" w:rsidRPr="00700474">
        <w:t xml:space="preserve"> </w:t>
      </w:r>
      <w:r w:rsidRPr="00700474">
        <w:t>https://doi.org/10.54648/WOCO2023016.</w:t>
      </w:r>
    </w:p>
    <w:p w14:paraId="0CE3E207" w14:textId="77777777" w:rsidR="00B91AD8" w:rsidRPr="00700474" w:rsidRDefault="000142C5" w:rsidP="001E280F">
      <w:pPr>
        <w:pStyle w:val="EndNoteBibliography"/>
        <w:jc w:val="left"/>
        <w:rPr>
          <w:i/>
          <w:iCs/>
        </w:rPr>
      </w:pPr>
      <w:r w:rsidRPr="00700474">
        <w:t xml:space="preserve">Al-Suqri, Mohammed Nasser, and Ahmed Saleem Al-Aufi, eds. 2015. </w:t>
      </w:r>
      <w:r w:rsidRPr="00700474">
        <w:rPr>
          <w:i/>
          <w:iCs/>
        </w:rPr>
        <w:t xml:space="preserve">Information Seeking </w:t>
      </w:r>
    </w:p>
    <w:p w14:paraId="728D438D" w14:textId="2797FD79" w:rsidR="000142C5" w:rsidRPr="00700474" w:rsidRDefault="000142C5" w:rsidP="001E280F">
      <w:pPr>
        <w:pStyle w:val="EndNoteBibliography"/>
        <w:ind w:left="720"/>
        <w:jc w:val="left"/>
      </w:pPr>
      <w:r w:rsidRPr="00700474">
        <w:rPr>
          <w:i/>
          <w:iCs/>
        </w:rPr>
        <w:t>Behavior and Technology Adoption: Theories and Trends</w:t>
      </w:r>
      <w:r w:rsidRPr="00700474">
        <w:t>. Hershey, PA: Information Science Reference.</w:t>
      </w:r>
    </w:p>
    <w:p w14:paraId="5A19B740" w14:textId="77777777" w:rsidR="00B91AD8" w:rsidRPr="00700474" w:rsidRDefault="000142C5" w:rsidP="001E280F">
      <w:pPr>
        <w:pStyle w:val="EndNoteBibliography"/>
        <w:jc w:val="left"/>
      </w:pPr>
      <w:r w:rsidRPr="00700474">
        <w:t xml:space="preserve">Amankwah, Harrison A. 1970. "Ghanaian Law: Its Evolution and Interaction with English Law." </w:t>
      </w:r>
    </w:p>
    <w:p w14:paraId="14436CC1" w14:textId="698979FC" w:rsidR="00B91AD8" w:rsidRPr="00700474" w:rsidRDefault="000142C5" w:rsidP="001E280F">
      <w:pPr>
        <w:pStyle w:val="EndNoteBibliography"/>
        <w:ind w:firstLine="720"/>
        <w:jc w:val="left"/>
      </w:pPr>
      <w:r w:rsidRPr="00700474">
        <w:rPr>
          <w:i/>
        </w:rPr>
        <w:t>Cornell Int'l LJ</w:t>
      </w:r>
      <w:r w:rsidRPr="00700474">
        <w:t xml:space="preserve"> 4:37. </w:t>
      </w:r>
    </w:p>
    <w:p w14:paraId="178C680F" w14:textId="77777777" w:rsidR="00B91AD8" w:rsidRPr="00700474" w:rsidRDefault="000142C5" w:rsidP="001E280F">
      <w:pPr>
        <w:pStyle w:val="EndNoteBibliography"/>
        <w:jc w:val="left"/>
      </w:pPr>
      <w:r w:rsidRPr="00700474">
        <w:t xml:space="preserve">Amagnya, Moses Agaawena. 2022. “Challenges of Police Prosecution in the Global South: </w:t>
      </w:r>
    </w:p>
    <w:p w14:paraId="70B9B916" w14:textId="300A55DA" w:rsidR="00B91AD8" w:rsidRPr="00700474" w:rsidRDefault="000142C5" w:rsidP="001E280F">
      <w:pPr>
        <w:pStyle w:val="EndNoteBibliography"/>
        <w:ind w:left="720"/>
        <w:jc w:val="left"/>
      </w:pPr>
      <w:r w:rsidRPr="00700474">
        <w:t xml:space="preserve">Perspectives of Ghanaian Police Officers.” Pp. 194–210 in </w:t>
      </w:r>
      <w:r w:rsidRPr="00700474">
        <w:rPr>
          <w:i/>
          <w:iCs/>
        </w:rPr>
        <w:t>Policing the Global South</w:t>
      </w:r>
      <w:r w:rsidRPr="00700474">
        <w:t>, edited by . New York: Routledge.</w:t>
      </w:r>
    </w:p>
    <w:p w14:paraId="2B64A364" w14:textId="77777777" w:rsidR="00B91AD8" w:rsidRPr="00700474" w:rsidRDefault="000142C5" w:rsidP="001E280F">
      <w:pPr>
        <w:pStyle w:val="EndNoteBibliography"/>
        <w:jc w:val="left"/>
        <w:rPr>
          <w:i/>
          <w:iCs/>
        </w:rPr>
      </w:pPr>
      <w:r w:rsidRPr="00700474">
        <w:t xml:space="preserve">Ambrosio, Célia Ventura. 2005. </w:t>
      </w:r>
      <w:r w:rsidRPr="00700474">
        <w:rPr>
          <w:i/>
          <w:iCs/>
        </w:rPr>
        <w:t xml:space="preserve">Attitudes towards the death penalty: A cross-cultural </w:t>
      </w:r>
    </w:p>
    <w:p w14:paraId="01840EC8" w14:textId="30FB1515" w:rsidR="00B91AD8" w:rsidRPr="00700474" w:rsidRDefault="000142C5" w:rsidP="001E280F">
      <w:pPr>
        <w:pStyle w:val="EndNoteBibliography"/>
        <w:ind w:firstLine="720"/>
        <w:jc w:val="left"/>
      </w:pPr>
      <w:r w:rsidRPr="00700474">
        <w:rPr>
          <w:i/>
          <w:iCs/>
        </w:rPr>
        <w:t>investigation</w:t>
      </w:r>
      <w:r w:rsidRPr="00700474">
        <w:t>. PhD diss., University of the Free State.</w:t>
      </w:r>
    </w:p>
    <w:p w14:paraId="47889FE2" w14:textId="77777777" w:rsidR="00B91AD8" w:rsidRPr="00700474" w:rsidRDefault="000142C5" w:rsidP="001E280F">
      <w:pPr>
        <w:pStyle w:val="EndNoteBibliography"/>
      </w:pPr>
      <w:bookmarkStart w:id="50" w:name="_Hlk178818926"/>
      <w:r w:rsidRPr="00700474">
        <w:t xml:space="preserve">Anku-Tsede, Olivia, Reginald Arthur, and Majoreen Osafroadu Amankwah. 2023. "Special </w:t>
      </w:r>
    </w:p>
    <w:p w14:paraId="6DD21E89" w14:textId="5F6A8521" w:rsidR="00B91AD8" w:rsidRPr="00700474" w:rsidRDefault="000142C5" w:rsidP="001E280F">
      <w:pPr>
        <w:pStyle w:val="EndNoteBibliography"/>
        <w:ind w:left="720"/>
      </w:pPr>
      <w:r w:rsidRPr="00700474">
        <w:t xml:space="preserve">Prosecutor: Panacea or Facade to Institutionalised Corruption in Ghana?" </w:t>
      </w:r>
      <w:r w:rsidRPr="00700474">
        <w:rPr>
          <w:i/>
          <w:iCs/>
        </w:rPr>
        <w:t>Cogent Social Sciences</w:t>
      </w:r>
      <w:r w:rsidRPr="00700474">
        <w:t xml:space="preserve"> 9(1):2161185. https://doi.org/10.1080/23311886.2022.2161185.</w:t>
      </w:r>
    </w:p>
    <w:p w14:paraId="7D168E67" w14:textId="77777777" w:rsidR="00B91AD8" w:rsidRPr="00700474" w:rsidRDefault="006C28D6" w:rsidP="001E280F">
      <w:pPr>
        <w:pStyle w:val="EndNoteBibliography"/>
      </w:pPr>
      <w:r w:rsidRPr="00700474">
        <w:t xml:space="preserve">Appiahene-Gyamfi, Joseph. 1995. “Punishment in the Context of the Ghanaian Criminal Justice </w:t>
      </w:r>
    </w:p>
    <w:p w14:paraId="7BDE77A7" w14:textId="3C3CA1C3" w:rsidR="006C28D6" w:rsidRPr="00700474" w:rsidRDefault="006C28D6" w:rsidP="001E280F">
      <w:pPr>
        <w:pStyle w:val="EndNoteBibliography"/>
        <w:ind w:firstLine="720"/>
      </w:pPr>
      <w:r w:rsidRPr="00700474">
        <w:t xml:space="preserve">System.” </w:t>
      </w:r>
      <w:r w:rsidRPr="00700474">
        <w:rPr>
          <w:i/>
          <w:iCs/>
        </w:rPr>
        <w:t>Journal of Criminal Justice</w:t>
      </w:r>
      <w:r w:rsidRPr="00700474">
        <w:t>, 23(3): 249–259.</w:t>
      </w:r>
    </w:p>
    <w:p w14:paraId="5FCFA6BE" w14:textId="77777777" w:rsidR="00B91AD8" w:rsidRPr="00700474" w:rsidRDefault="004220B9" w:rsidP="001E280F">
      <w:pPr>
        <w:pStyle w:val="EndNoteBibliography"/>
      </w:pPr>
      <w:r w:rsidRPr="00700474">
        <w:t xml:space="preserve">Appiahene-Gyamfi, Joseph. 2003. “Urban Crime Trends and Patterns in Ghana: The Case of </w:t>
      </w:r>
    </w:p>
    <w:p w14:paraId="727BA877" w14:textId="71017418" w:rsidR="004220B9" w:rsidRPr="00700474" w:rsidRDefault="004220B9" w:rsidP="001E280F">
      <w:pPr>
        <w:pStyle w:val="EndNoteBibliography"/>
        <w:ind w:firstLine="720"/>
      </w:pPr>
      <w:r w:rsidRPr="00700474">
        <w:t xml:space="preserve">Accra.” </w:t>
      </w:r>
      <w:r w:rsidRPr="00700474">
        <w:rPr>
          <w:i/>
          <w:iCs/>
        </w:rPr>
        <w:t>Journal of Criminal Justice</w:t>
      </w:r>
      <w:r w:rsidRPr="00700474">
        <w:t>, 31(1): 13–23.</w:t>
      </w:r>
    </w:p>
    <w:p w14:paraId="36A19C99" w14:textId="77777777" w:rsidR="00B91AD8" w:rsidRPr="00700474" w:rsidRDefault="000142C5" w:rsidP="001E280F">
      <w:pPr>
        <w:pStyle w:val="EndNoteBibliography"/>
        <w:jc w:val="left"/>
      </w:pPr>
      <w:r w:rsidRPr="00700474">
        <w:lastRenderedPageBreak/>
        <w:t xml:space="preserve">Appiahene‐Gyamfi, Joseph. 2009. "Crime and Punishment in the Republic of Ghana: A Country </w:t>
      </w:r>
    </w:p>
    <w:p w14:paraId="21F657A1" w14:textId="1956EBD2" w:rsidR="000142C5" w:rsidRPr="00700474" w:rsidRDefault="000142C5" w:rsidP="001E280F">
      <w:pPr>
        <w:pStyle w:val="EndNoteBibliography"/>
        <w:ind w:left="720"/>
        <w:jc w:val="left"/>
      </w:pPr>
      <w:r w:rsidRPr="00700474">
        <w:t xml:space="preserve">Profile." </w:t>
      </w:r>
      <w:r w:rsidRPr="00700474">
        <w:rPr>
          <w:i/>
        </w:rPr>
        <w:t>International Journal of Comparative and Applied Criminal Justice</w:t>
      </w:r>
      <w:r w:rsidRPr="00700474">
        <w:t xml:space="preserve"> 33(2):309-24.</w:t>
      </w:r>
      <w:bookmarkEnd w:id="50"/>
    </w:p>
    <w:p w14:paraId="7D320EEB" w14:textId="77777777" w:rsidR="00B91AD8" w:rsidRPr="00700474" w:rsidRDefault="000142C5" w:rsidP="001E280F">
      <w:pPr>
        <w:pStyle w:val="EndNoteBibliography"/>
        <w:jc w:val="left"/>
      </w:pPr>
      <w:r w:rsidRPr="00700474">
        <w:t xml:space="preserve">Asamoah, Desmond. 2019. "Justice by the People’s Court: Mob Action, Vigilantism and the Rule </w:t>
      </w:r>
    </w:p>
    <w:p w14:paraId="6113C531" w14:textId="52FB9A2F" w:rsidR="000142C5" w:rsidRPr="00700474" w:rsidRDefault="000142C5" w:rsidP="001E280F">
      <w:pPr>
        <w:pStyle w:val="EndNoteBibliography"/>
        <w:ind w:left="720"/>
        <w:jc w:val="left"/>
      </w:pPr>
      <w:r w:rsidRPr="00700474">
        <w:t xml:space="preserve">of Law in Ghana." </w:t>
      </w:r>
      <w:r w:rsidRPr="00700474">
        <w:rPr>
          <w:i/>
          <w:iCs/>
        </w:rPr>
        <w:t>Conference Paper</w:t>
      </w:r>
      <w:r w:rsidRPr="00700474">
        <w:t>, Stockton University, New Jersey. Retrieved from https://www.researchgate.net/publication/335293620_Justice_by_the_People's_Court_Mob_Action_Vigilantism_and_the_Rule_of_Law_in_Ghana.</w:t>
      </w:r>
    </w:p>
    <w:p w14:paraId="5BB0063F" w14:textId="77777777" w:rsidR="00B91AD8" w:rsidRPr="00700474" w:rsidRDefault="000142C5" w:rsidP="001E280F">
      <w:pPr>
        <w:pStyle w:val="EndNoteBibliography"/>
        <w:jc w:val="left"/>
      </w:pPr>
      <w:r w:rsidRPr="00700474">
        <w:t xml:space="preserve">Asante, Barbara Obi. 2023. "Corporal Punishment Laws in Minors: A Case Study of </w:t>
      </w:r>
    </w:p>
    <w:p w14:paraId="2C6A6E8C" w14:textId="77777777" w:rsidR="00B91AD8" w:rsidRPr="00700474" w:rsidRDefault="000142C5" w:rsidP="001E280F">
      <w:pPr>
        <w:pStyle w:val="EndNoteBibliography"/>
        <w:ind w:firstLine="720"/>
        <w:jc w:val="left"/>
      </w:pPr>
      <w:r w:rsidRPr="00700474">
        <w:t xml:space="preserve">Implementation Challenges in Homes and Families within the Asokwa Municipal </w:t>
      </w:r>
    </w:p>
    <w:p w14:paraId="41807F29" w14:textId="0AEC75A8" w:rsidR="000142C5" w:rsidRPr="00700474" w:rsidRDefault="000142C5" w:rsidP="001E280F">
      <w:pPr>
        <w:pStyle w:val="EndNoteBibliography"/>
        <w:ind w:firstLine="720"/>
        <w:jc w:val="left"/>
      </w:pPr>
      <w:r w:rsidRPr="00700474">
        <w:t>Assembly, Ghana." Master's thesis, OsloMet–Storbyuniversitetet.</w:t>
      </w:r>
    </w:p>
    <w:p w14:paraId="219AF08E" w14:textId="77777777" w:rsidR="00B91AD8" w:rsidRPr="00700474" w:rsidRDefault="00A31387" w:rsidP="001E280F">
      <w:pPr>
        <w:pStyle w:val="EndNoteBibliography"/>
        <w:jc w:val="left"/>
        <w:rPr>
          <w:i/>
          <w:iCs/>
        </w:rPr>
      </w:pPr>
      <w:r w:rsidRPr="00700474">
        <w:t xml:space="preserve">Austin, Gareth. 2005. </w:t>
      </w:r>
      <w:r w:rsidRPr="00700474">
        <w:rPr>
          <w:i/>
          <w:iCs/>
        </w:rPr>
        <w:t xml:space="preserve">Labour, Land, and Capital in Ghana: From Slavery to Free Labour in </w:t>
      </w:r>
    </w:p>
    <w:p w14:paraId="664A4C8E" w14:textId="1C847C22" w:rsidR="00A31387" w:rsidRPr="00700474" w:rsidRDefault="00A31387" w:rsidP="001E280F">
      <w:pPr>
        <w:pStyle w:val="EndNoteBibliography"/>
        <w:ind w:firstLine="720"/>
        <w:jc w:val="left"/>
      </w:pPr>
      <w:r w:rsidRPr="00700474">
        <w:rPr>
          <w:i/>
          <w:iCs/>
        </w:rPr>
        <w:t>Asante, 1807–1956</w:t>
      </w:r>
      <w:r w:rsidRPr="00700474">
        <w:t>. Cambridge: Cambridge University Press.</w:t>
      </w:r>
    </w:p>
    <w:p w14:paraId="63B5E388" w14:textId="77777777" w:rsidR="00B91AD8" w:rsidRPr="00700474" w:rsidRDefault="000142C5" w:rsidP="001E280F">
      <w:pPr>
        <w:pStyle w:val="EndNoteBibliography"/>
        <w:jc w:val="left"/>
      </w:pPr>
      <w:r w:rsidRPr="00700474">
        <w:t xml:space="preserve">Awudja, Joseph Cudjoe, Ronald Osei Mensah, Adwoa Kwegyiriba, and Agyemang Frimpong. </w:t>
      </w:r>
    </w:p>
    <w:p w14:paraId="59757153" w14:textId="77777777" w:rsidR="00B91AD8" w:rsidRPr="00700474" w:rsidRDefault="000142C5" w:rsidP="001E280F">
      <w:pPr>
        <w:pStyle w:val="EndNoteBibliography"/>
        <w:ind w:firstLine="720"/>
        <w:jc w:val="left"/>
      </w:pPr>
      <w:r w:rsidRPr="00700474">
        <w:t>2021. “Public Attitudes Towards Death Penalty Provisions: Relevance of Ethico-</w:t>
      </w:r>
    </w:p>
    <w:p w14:paraId="79646BB2" w14:textId="77777777" w:rsidR="00B91AD8" w:rsidRPr="00700474" w:rsidRDefault="000142C5" w:rsidP="001E280F">
      <w:pPr>
        <w:pStyle w:val="EndNoteBibliography"/>
        <w:ind w:firstLine="720"/>
        <w:jc w:val="left"/>
      </w:pPr>
      <w:r w:rsidRPr="00700474">
        <w:t xml:space="preserve">Phenomenological Principles in the Operation of Articles 3 (3) &amp; 19 (2) of the 1992 </w:t>
      </w:r>
    </w:p>
    <w:p w14:paraId="4F5B9B9D" w14:textId="09897544" w:rsidR="000142C5" w:rsidRPr="00700474" w:rsidRDefault="000142C5" w:rsidP="001E280F">
      <w:pPr>
        <w:pStyle w:val="EndNoteBibliography"/>
        <w:ind w:firstLine="720"/>
        <w:jc w:val="left"/>
      </w:pPr>
      <w:r w:rsidRPr="00700474">
        <w:t xml:space="preserve">Republican Constitution of Ghana.” </w:t>
      </w:r>
      <w:r w:rsidRPr="00700474">
        <w:rPr>
          <w:i/>
          <w:iCs/>
        </w:rPr>
        <w:t>Open Journal of Social Sciences</w:t>
      </w:r>
      <w:r w:rsidRPr="00700474">
        <w:t xml:space="preserve"> 9(12):1–17.</w:t>
      </w:r>
    </w:p>
    <w:p w14:paraId="16D69187" w14:textId="77777777" w:rsidR="00B91AD8" w:rsidRPr="00700474" w:rsidRDefault="000142C5" w:rsidP="001E280F">
      <w:pPr>
        <w:pStyle w:val="EndNoteBibliography"/>
        <w:jc w:val="left"/>
        <w:rPr>
          <w:i/>
          <w:iCs/>
        </w:rPr>
      </w:pPr>
      <w:r w:rsidRPr="00700474">
        <w:t xml:space="preserve">Ayee, Joseph R. A. 2000. </w:t>
      </w:r>
      <w:r w:rsidRPr="00700474">
        <w:rPr>
          <w:i/>
          <w:iCs/>
        </w:rPr>
        <w:t xml:space="preserve">The Role of Traditional Authorities in Political and Social </w:t>
      </w:r>
    </w:p>
    <w:p w14:paraId="552FB23A" w14:textId="03B60E86" w:rsidR="000142C5" w:rsidRDefault="000142C5" w:rsidP="00984DAB">
      <w:pPr>
        <w:pStyle w:val="EndNoteBibliography"/>
        <w:ind w:firstLine="720"/>
        <w:jc w:val="left"/>
      </w:pPr>
      <w:r w:rsidRPr="00700474">
        <w:rPr>
          <w:i/>
          <w:iCs/>
        </w:rPr>
        <w:t>Development in Ghana</w:t>
      </w:r>
      <w:r w:rsidRPr="00700474">
        <w:t>. Accra, Ghana: Ghana Universities Press.</w:t>
      </w:r>
    </w:p>
    <w:p w14:paraId="60098C3B" w14:textId="77777777" w:rsidR="00B91AD8" w:rsidRPr="00700474" w:rsidRDefault="000142C5" w:rsidP="001E280F">
      <w:pPr>
        <w:pStyle w:val="EndNoteBibliography"/>
        <w:jc w:val="left"/>
        <w:rPr>
          <w:i/>
          <w:iCs/>
        </w:rPr>
      </w:pPr>
      <w:r w:rsidRPr="00700474">
        <w:t>Baffour, Frank Darkwa. 2020. </w:t>
      </w:r>
      <w:r w:rsidRPr="00700474">
        <w:rPr>
          <w:i/>
          <w:iCs/>
        </w:rPr>
        <w:t xml:space="preserve">Factors contributing to recidivism among inmates in selected </w:t>
      </w:r>
    </w:p>
    <w:p w14:paraId="21D541CD" w14:textId="51B9CD65" w:rsidR="000142C5" w:rsidRPr="00700474" w:rsidRDefault="000142C5" w:rsidP="001E280F">
      <w:pPr>
        <w:pStyle w:val="EndNoteBibliography"/>
        <w:ind w:left="720"/>
        <w:jc w:val="left"/>
      </w:pPr>
      <w:r w:rsidRPr="00700474">
        <w:rPr>
          <w:i/>
          <w:iCs/>
        </w:rPr>
        <w:t xml:space="preserve">Ghana </w:t>
      </w:r>
      <w:r w:rsidRPr="00700474">
        <w:t>Baffour, Frank D. 2020. "Factors Contributing to Recidivism among Inmates in Selected Ghana Prisons." PhD dissertation, Social Work and Human Services.James Cook University.</w:t>
      </w:r>
    </w:p>
    <w:p w14:paraId="0F743DCA" w14:textId="77777777" w:rsidR="00B91AD8" w:rsidRPr="00700474" w:rsidRDefault="000142C5" w:rsidP="001E280F">
      <w:pPr>
        <w:pStyle w:val="EndNoteBibliography"/>
        <w:jc w:val="left"/>
      </w:pPr>
      <w:r w:rsidRPr="00700474">
        <w:t xml:space="preserve">Baffour, Frank Darkwa, Abraham P. Francis, Mark David Chong, and Nonie Harris. 2023. </w:t>
      </w:r>
    </w:p>
    <w:p w14:paraId="53146D81" w14:textId="77777777" w:rsidR="00B91AD8" w:rsidRPr="00700474" w:rsidRDefault="000142C5" w:rsidP="001E280F">
      <w:pPr>
        <w:pStyle w:val="EndNoteBibliography"/>
        <w:ind w:firstLine="720"/>
        <w:jc w:val="left"/>
      </w:pPr>
      <w:r w:rsidRPr="00700474">
        <w:lastRenderedPageBreak/>
        <w:t xml:space="preserve">"Criminal records and post-prison employment in Ghana: Formal and informal means of </w:t>
      </w:r>
    </w:p>
    <w:p w14:paraId="6C714202" w14:textId="79733064" w:rsidR="000142C5" w:rsidRPr="00700474" w:rsidRDefault="000142C5" w:rsidP="001E280F">
      <w:pPr>
        <w:pStyle w:val="EndNoteBibliography"/>
        <w:ind w:firstLine="720"/>
        <w:jc w:val="left"/>
      </w:pPr>
      <w:r w:rsidRPr="00700474">
        <w:t xml:space="preserve">performing criminal background checks." </w:t>
      </w:r>
      <w:r w:rsidRPr="00700474">
        <w:rPr>
          <w:i/>
        </w:rPr>
        <w:t>Criminology &amp; criminal justice</w:t>
      </w:r>
      <w:r w:rsidRPr="00700474">
        <w:t xml:space="preserve"> 23(4):629-47.</w:t>
      </w:r>
    </w:p>
    <w:p w14:paraId="49F34451" w14:textId="77777777" w:rsidR="00B91AD8" w:rsidRPr="00700474" w:rsidRDefault="000142C5" w:rsidP="001E280F">
      <w:pPr>
        <w:pStyle w:val="EndNoteBibliography"/>
        <w:jc w:val="left"/>
      </w:pPr>
      <w:r w:rsidRPr="00700474">
        <w:t xml:space="preserve">Beccaria, Cesare. [1764] 1986. </w:t>
      </w:r>
      <w:r w:rsidRPr="00700474">
        <w:rPr>
          <w:i/>
          <w:iCs/>
        </w:rPr>
        <w:t>On Crimes and Punishments.</w:t>
      </w:r>
      <w:r w:rsidRPr="00700474">
        <w:t xml:space="preserve"> Translated by David Young. </w:t>
      </w:r>
    </w:p>
    <w:p w14:paraId="655EF363" w14:textId="73A2DC88" w:rsidR="000142C5" w:rsidRPr="00700474" w:rsidRDefault="000142C5" w:rsidP="001E280F">
      <w:pPr>
        <w:pStyle w:val="EndNoteBibliography"/>
        <w:ind w:firstLine="720"/>
        <w:jc w:val="left"/>
      </w:pPr>
      <w:r w:rsidRPr="00700474">
        <w:t>Indianapolis: Hackett Publishing Company.</w:t>
      </w:r>
    </w:p>
    <w:p w14:paraId="07ECEB47" w14:textId="77777777" w:rsidR="00B91AD8" w:rsidRPr="00700474" w:rsidRDefault="000142C5" w:rsidP="001E280F">
      <w:pPr>
        <w:pStyle w:val="EndNoteBibliography"/>
        <w:jc w:val="left"/>
      </w:pPr>
      <w:r w:rsidRPr="00700474">
        <w:t xml:space="preserve">Bentham, Jeremy. 1789. A fragment on government : being an examination of what is delivered, </w:t>
      </w:r>
    </w:p>
    <w:p w14:paraId="62A013FC" w14:textId="77777777" w:rsidR="00B91AD8" w:rsidRPr="00700474" w:rsidRDefault="000142C5" w:rsidP="001E280F">
      <w:pPr>
        <w:pStyle w:val="EndNoteBibliography"/>
        <w:ind w:firstLine="720"/>
        <w:jc w:val="left"/>
      </w:pPr>
      <w:r w:rsidRPr="00700474">
        <w:t xml:space="preserve">on the subject of government in general, in the introduction to Sir William Blackstone's </w:t>
      </w:r>
    </w:p>
    <w:p w14:paraId="4CE12059" w14:textId="77777777" w:rsidR="00B91AD8" w:rsidRPr="00700474" w:rsidRDefault="000142C5" w:rsidP="001E280F">
      <w:pPr>
        <w:pStyle w:val="EndNoteBibliography"/>
        <w:ind w:firstLine="720"/>
        <w:jc w:val="left"/>
      </w:pPr>
      <w:r w:rsidRPr="00700474">
        <w:t xml:space="preserve">Commentaries : with a preface, in which is given a critique on the work at large.: London </w:t>
      </w:r>
    </w:p>
    <w:p w14:paraId="0FA09D92" w14:textId="322B9432" w:rsidR="000142C5" w:rsidRPr="00700474" w:rsidRDefault="000142C5" w:rsidP="001E280F">
      <w:pPr>
        <w:pStyle w:val="EndNoteBibliography"/>
        <w:ind w:firstLine="720"/>
        <w:jc w:val="left"/>
      </w:pPr>
      <w:r w:rsidRPr="00700474">
        <w:t>: Printed for T. Payne, P. Elmsly, and E. Brooks.</w:t>
      </w:r>
    </w:p>
    <w:p w14:paraId="14310830" w14:textId="77777777" w:rsidR="000142C5" w:rsidRPr="00700474" w:rsidRDefault="000142C5" w:rsidP="001E280F">
      <w:pPr>
        <w:pStyle w:val="EndNoteBibliography"/>
        <w:jc w:val="left"/>
      </w:pPr>
      <w:r w:rsidRPr="00700474">
        <w:t xml:space="preserve">Bernault, Florence. 2003. A History of Prison and Confinement in Africa: Heinemann </w:t>
      </w:r>
    </w:p>
    <w:p w14:paraId="76667BD5" w14:textId="77777777" w:rsidR="00B91AD8" w:rsidRPr="00700474" w:rsidRDefault="000142C5" w:rsidP="001E280F">
      <w:pPr>
        <w:pStyle w:val="EndNoteBibliography"/>
        <w:jc w:val="left"/>
      </w:pPr>
      <w:r w:rsidRPr="00700474">
        <w:t xml:space="preserve">Braithwaite, John. 1999. "Restorative Justice: Assessing Optimistic and Pessimistic Accounts." </w:t>
      </w:r>
    </w:p>
    <w:p w14:paraId="6E26F675" w14:textId="3A0895C5" w:rsidR="000142C5" w:rsidRPr="00700474" w:rsidRDefault="000142C5" w:rsidP="001E280F">
      <w:pPr>
        <w:pStyle w:val="EndNoteBibliography"/>
        <w:ind w:firstLine="720"/>
        <w:jc w:val="left"/>
      </w:pPr>
      <w:r w:rsidRPr="00700474">
        <w:rPr>
          <w:i/>
        </w:rPr>
        <w:t>Crime and justice (Chicago, Ill.)</w:t>
      </w:r>
      <w:r w:rsidRPr="00700474">
        <w:t xml:space="preserve"> 25:1-127.</w:t>
      </w:r>
    </w:p>
    <w:p w14:paraId="66327D94" w14:textId="77777777" w:rsidR="00B91AD8" w:rsidRPr="00700474" w:rsidRDefault="000142C5" w:rsidP="001E280F">
      <w:pPr>
        <w:pStyle w:val="EndNoteBibliography"/>
        <w:jc w:val="left"/>
      </w:pPr>
      <w:r w:rsidRPr="00700474">
        <w:t xml:space="preserve">Brantingham, Paul J., and Patricia L. Brantingham. 1991. </w:t>
      </w:r>
      <w:r w:rsidRPr="00700474">
        <w:rPr>
          <w:i/>
          <w:iCs/>
        </w:rPr>
        <w:t>Environmental Criminology.</w:t>
      </w:r>
      <w:r w:rsidRPr="00700474">
        <w:t xml:space="preserve"> Prospect </w:t>
      </w:r>
    </w:p>
    <w:p w14:paraId="453A7B3B" w14:textId="6D475FC8" w:rsidR="000142C5" w:rsidRPr="00700474" w:rsidRDefault="000142C5" w:rsidP="001E280F">
      <w:pPr>
        <w:pStyle w:val="EndNoteBibliography"/>
        <w:ind w:firstLine="720"/>
        <w:jc w:val="left"/>
      </w:pPr>
      <w:r w:rsidRPr="00700474">
        <w:t>Heights, IL: Waveland Press.</w:t>
      </w:r>
    </w:p>
    <w:p w14:paraId="08F655D4" w14:textId="77777777" w:rsidR="00B91AD8" w:rsidRPr="00700474" w:rsidRDefault="000142C5" w:rsidP="001E280F">
      <w:pPr>
        <w:pStyle w:val="EndNoteBibliography"/>
        <w:jc w:val="left"/>
        <w:rPr>
          <w:i/>
          <w:iCs/>
        </w:rPr>
      </w:pPr>
      <w:r w:rsidRPr="00700474">
        <w:t xml:space="preserve">Birks, Melanie, Yolanda Chapman, and Karen Francis. 2008. </w:t>
      </w:r>
      <w:r w:rsidRPr="00700474">
        <w:rPr>
          <w:i/>
          <w:iCs/>
        </w:rPr>
        <w:t xml:space="preserve">Grounded Theory: Using Constant </w:t>
      </w:r>
    </w:p>
    <w:p w14:paraId="30079B36" w14:textId="091EB0EE" w:rsidR="000142C5" w:rsidRPr="00700474" w:rsidRDefault="000142C5" w:rsidP="00F52300">
      <w:pPr>
        <w:pStyle w:val="EndNoteBibliography"/>
        <w:ind w:left="720"/>
        <w:jc w:val="left"/>
      </w:pPr>
      <w:r w:rsidRPr="00700474">
        <w:rPr>
          <w:i/>
          <w:iCs/>
        </w:rPr>
        <w:t>Comparative Analysis to Develop a Qualitative Research Project</w:t>
      </w:r>
      <w:r w:rsidRPr="00700474">
        <w:t xml:space="preserve">. </w:t>
      </w:r>
      <w:r w:rsidRPr="00700474">
        <w:rPr>
          <w:i/>
          <w:iCs/>
        </w:rPr>
        <w:t>Nurse Researcher</w:t>
      </w:r>
      <w:r w:rsidRPr="00700474">
        <w:t xml:space="preserve"> 15(1): 93–102.</w:t>
      </w:r>
    </w:p>
    <w:p w14:paraId="2EDA25A2" w14:textId="77777777" w:rsidR="000142C5" w:rsidRPr="00700474" w:rsidRDefault="000142C5" w:rsidP="001E280F">
      <w:pPr>
        <w:pStyle w:val="EndNoteBibliography"/>
        <w:jc w:val="left"/>
      </w:pPr>
      <w:r w:rsidRPr="00700474">
        <w:t>Brobbey, Alan Stephen. n.d. "Expalining Legal Pluralism in Africa: Ghana as case study."</w:t>
      </w:r>
    </w:p>
    <w:p w14:paraId="538ED007" w14:textId="77777777" w:rsidR="00B91AD8" w:rsidRPr="00700474" w:rsidRDefault="000142C5" w:rsidP="001E280F">
      <w:pPr>
        <w:jc w:val="left"/>
        <w:rPr>
          <w:shd w:val="clear" w:color="auto" w:fill="FFFFFF"/>
        </w:rPr>
      </w:pPr>
      <w:r w:rsidRPr="00700474">
        <w:rPr>
          <w:shd w:val="clear" w:color="auto" w:fill="FFFFFF"/>
        </w:rPr>
        <w:t xml:space="preserve">Caruso, Gregg D., and Derk Pereboom. 2020. "A Non-Punitive Alternative to Punishment." In </w:t>
      </w:r>
    </w:p>
    <w:p w14:paraId="3C0887BD" w14:textId="77777777" w:rsidR="00B91AD8" w:rsidRPr="00700474" w:rsidRDefault="000142C5" w:rsidP="001E280F">
      <w:pPr>
        <w:ind w:firstLine="720"/>
        <w:jc w:val="left"/>
        <w:rPr>
          <w:shd w:val="clear" w:color="auto" w:fill="FFFFFF"/>
        </w:rPr>
      </w:pPr>
      <w:r w:rsidRPr="00700474">
        <w:rPr>
          <w:shd w:val="clear" w:color="auto" w:fill="FFFFFF"/>
        </w:rPr>
        <w:t xml:space="preserve">Farah Focquaert, Bruce Waller &amp; Elizabeth Shaw (eds.), Routledge Handbook on the </w:t>
      </w:r>
    </w:p>
    <w:p w14:paraId="6A9A74E1" w14:textId="2E4C21EC" w:rsidR="000142C5" w:rsidRPr="00700474" w:rsidRDefault="000142C5" w:rsidP="001E280F">
      <w:pPr>
        <w:ind w:firstLine="720"/>
        <w:jc w:val="left"/>
        <w:rPr>
          <w:shd w:val="clear" w:color="auto" w:fill="FFFFFF"/>
        </w:rPr>
      </w:pPr>
      <w:r w:rsidRPr="00700474">
        <w:rPr>
          <w:shd w:val="clear" w:color="auto" w:fill="FFFFFF"/>
        </w:rPr>
        <w:t>Philosophy and Science. New York: Routledge.</w:t>
      </w:r>
    </w:p>
    <w:p w14:paraId="355435C7" w14:textId="77777777" w:rsidR="00B91AD8" w:rsidRPr="00700474" w:rsidRDefault="000142C5" w:rsidP="001E280F">
      <w:pPr>
        <w:pStyle w:val="EndNoteBibliography"/>
        <w:jc w:val="left"/>
      </w:pPr>
      <w:r w:rsidRPr="00700474">
        <w:t xml:space="preserve">Claridge, Tristan. 2020. “Social Capital at Different Levels and Dimensions: A Typology of </w:t>
      </w:r>
    </w:p>
    <w:p w14:paraId="2CA4EA1F" w14:textId="5BFA8885" w:rsidR="000142C5" w:rsidRPr="00700474" w:rsidRDefault="000142C5" w:rsidP="001E280F">
      <w:pPr>
        <w:pStyle w:val="EndNoteBibliography"/>
        <w:ind w:firstLine="720"/>
        <w:jc w:val="left"/>
      </w:pPr>
      <w:r w:rsidRPr="00700474">
        <w:t xml:space="preserve">Social Capital.” </w:t>
      </w:r>
      <w:r w:rsidRPr="00700474">
        <w:rPr>
          <w:i/>
          <w:iCs/>
        </w:rPr>
        <w:t>Social Capital Research</w:t>
      </w:r>
      <w:r w:rsidRPr="00700474">
        <w:t>:1–8.</w:t>
      </w:r>
    </w:p>
    <w:p w14:paraId="0A578E4B" w14:textId="77777777" w:rsidR="00B91AD8" w:rsidRPr="00700474" w:rsidRDefault="000142C5" w:rsidP="001E280F">
      <w:pPr>
        <w:pStyle w:val="EndNoteBibliography"/>
        <w:jc w:val="left"/>
      </w:pPr>
      <w:r w:rsidRPr="00700474">
        <w:t xml:space="preserve">Clear, Todd R. 1994. Harm in American penology: Offenders, victims, and their communities: </w:t>
      </w:r>
    </w:p>
    <w:p w14:paraId="6BB7A8CF" w14:textId="27232538" w:rsidR="000142C5" w:rsidRPr="00700474" w:rsidRDefault="000142C5" w:rsidP="001E280F">
      <w:pPr>
        <w:pStyle w:val="EndNoteBibliography"/>
        <w:ind w:firstLine="720"/>
        <w:jc w:val="left"/>
      </w:pPr>
      <w:r w:rsidRPr="00700474">
        <w:lastRenderedPageBreak/>
        <w:t>State University of New York Press.</w:t>
      </w:r>
    </w:p>
    <w:p w14:paraId="2F994CC6" w14:textId="77777777" w:rsidR="00B91AD8" w:rsidRPr="00700474" w:rsidRDefault="000142C5" w:rsidP="001E280F">
      <w:pPr>
        <w:pStyle w:val="EndNoteBibliography"/>
        <w:jc w:val="left"/>
        <w:rPr>
          <w:i/>
          <w:iCs/>
        </w:rPr>
      </w:pPr>
      <w:r w:rsidRPr="00700474">
        <w:t xml:space="preserve">Clinard, Marshall B., and Duane J. Abbott. 1973. </w:t>
      </w:r>
      <w:r w:rsidRPr="00700474">
        <w:rPr>
          <w:i/>
          <w:iCs/>
        </w:rPr>
        <w:t xml:space="preserve">Crime in Developing Countries: A </w:t>
      </w:r>
    </w:p>
    <w:p w14:paraId="0055F0BF" w14:textId="3516326D" w:rsidR="000142C5" w:rsidRPr="00700474" w:rsidRDefault="000142C5" w:rsidP="001E280F">
      <w:pPr>
        <w:pStyle w:val="EndNoteBibliography"/>
        <w:ind w:firstLine="720"/>
        <w:jc w:val="left"/>
      </w:pPr>
      <w:r w:rsidRPr="00700474">
        <w:rPr>
          <w:i/>
          <w:iCs/>
        </w:rPr>
        <w:t>Comparative Perspective.</w:t>
      </w:r>
      <w:r w:rsidRPr="00700474">
        <w:t xml:space="preserve"> New York: John Wiley &amp; Sons.</w:t>
      </w:r>
    </w:p>
    <w:p w14:paraId="3C6CCD8B" w14:textId="77777777" w:rsidR="00B91AD8" w:rsidRPr="00700474" w:rsidRDefault="000142C5" w:rsidP="001E280F">
      <w:pPr>
        <w:pStyle w:val="EndNoteBibliography"/>
        <w:jc w:val="left"/>
      </w:pPr>
      <w:r w:rsidRPr="00700474">
        <w:t xml:space="preserve">Cohen, Jacqueline. 1983. "Incapacitation as a Strategy for Crime Control: Possibilities and </w:t>
      </w:r>
    </w:p>
    <w:p w14:paraId="5E2C0ACE" w14:textId="7D5B8E3E" w:rsidR="000142C5" w:rsidRPr="00700474" w:rsidRDefault="000142C5" w:rsidP="001E280F">
      <w:pPr>
        <w:pStyle w:val="EndNoteBibliography"/>
        <w:ind w:firstLine="720"/>
        <w:jc w:val="left"/>
      </w:pPr>
      <w:r w:rsidRPr="00700474">
        <w:t xml:space="preserve">Pitfalls." </w:t>
      </w:r>
      <w:r w:rsidRPr="00700474">
        <w:rPr>
          <w:i/>
        </w:rPr>
        <w:t>Crime and justice (Chicago, Ill.)</w:t>
      </w:r>
      <w:r w:rsidRPr="00700474">
        <w:t xml:space="preserve"> 5:1-84.</w:t>
      </w:r>
    </w:p>
    <w:p w14:paraId="6508C595" w14:textId="77777777" w:rsidR="000142C5" w:rsidRPr="00700474" w:rsidRDefault="000142C5" w:rsidP="001E280F">
      <w:pPr>
        <w:pStyle w:val="EndNoteBibliography"/>
        <w:jc w:val="left"/>
      </w:pPr>
      <w:r w:rsidRPr="00700474">
        <w:t xml:space="preserve">Cohen, Stanley. 2017. </w:t>
      </w:r>
      <w:r w:rsidRPr="00700474">
        <w:rPr>
          <w:i/>
        </w:rPr>
        <w:t>Against criminology</w:t>
      </w:r>
      <w:r w:rsidRPr="00700474">
        <w:t>. London: Routledge.</w:t>
      </w:r>
    </w:p>
    <w:p w14:paraId="7A39255E" w14:textId="77777777" w:rsidR="00B91AD8" w:rsidRPr="00700474" w:rsidRDefault="000142C5" w:rsidP="001E280F">
      <w:pPr>
        <w:pStyle w:val="EndNoteBibliography"/>
        <w:jc w:val="left"/>
        <w:rPr>
          <w:i/>
        </w:rPr>
      </w:pPr>
      <w:r w:rsidRPr="00700474">
        <w:t xml:space="preserve">Cullen, Francis T. 2007. "Make rehabilitation corrections guiding paradigm." </w:t>
      </w:r>
      <w:r w:rsidRPr="00700474">
        <w:rPr>
          <w:i/>
        </w:rPr>
        <w:t xml:space="preserve">Criminology &amp; </w:t>
      </w:r>
    </w:p>
    <w:p w14:paraId="79D82C4B" w14:textId="690EDCCA" w:rsidR="000142C5" w:rsidRPr="00700474" w:rsidRDefault="000142C5" w:rsidP="001E280F">
      <w:pPr>
        <w:pStyle w:val="EndNoteBibliography"/>
        <w:ind w:firstLine="720"/>
        <w:jc w:val="left"/>
      </w:pPr>
      <w:r w:rsidRPr="00700474">
        <w:rPr>
          <w:i/>
        </w:rPr>
        <w:t>Pub. Pol'y</w:t>
      </w:r>
      <w:r w:rsidRPr="00700474">
        <w:t xml:space="preserve"> 6:717.</w:t>
      </w:r>
    </w:p>
    <w:p w14:paraId="2416B82E" w14:textId="77777777" w:rsidR="000142C5" w:rsidRPr="00700474" w:rsidRDefault="000142C5" w:rsidP="001E280F">
      <w:pPr>
        <w:pStyle w:val="EndNoteBibliography"/>
        <w:jc w:val="left"/>
      </w:pPr>
      <w:r w:rsidRPr="00700474">
        <w:t xml:space="preserve">—. 2013. "Rehabilitation: Beyond nothing works." </w:t>
      </w:r>
      <w:r w:rsidRPr="00700474">
        <w:rPr>
          <w:i/>
        </w:rPr>
        <w:t>Crime and Justice</w:t>
      </w:r>
      <w:r w:rsidRPr="00700474">
        <w:t xml:space="preserve"> 42(1):299-376.</w:t>
      </w:r>
    </w:p>
    <w:p w14:paraId="40C38CD4" w14:textId="77777777" w:rsidR="000142C5" w:rsidRPr="00700474" w:rsidRDefault="000142C5" w:rsidP="001E280F">
      <w:pPr>
        <w:pStyle w:val="EndNoteBibliography"/>
        <w:jc w:val="left"/>
      </w:pPr>
      <w:r w:rsidRPr="00700474">
        <w:t xml:space="preserve">—. 2017. "Correctional rehabilitation." </w:t>
      </w:r>
      <w:r w:rsidRPr="00700474">
        <w:rPr>
          <w:i/>
        </w:rPr>
        <w:t>Academy for Justice</w:t>
      </w:r>
      <w:r w:rsidRPr="00700474">
        <w:t xml:space="preserve"> 4:235-60.</w:t>
      </w:r>
    </w:p>
    <w:p w14:paraId="2E14A51C" w14:textId="77777777" w:rsidR="00B91AD8" w:rsidRPr="00700474" w:rsidRDefault="000142C5" w:rsidP="001E280F">
      <w:pPr>
        <w:pStyle w:val="EndNoteBibliography"/>
        <w:jc w:val="left"/>
      </w:pPr>
      <w:r w:rsidRPr="00700474">
        <w:t xml:space="preserve">Cullen, Francis T, and Cheryl Lero Jonson. 2011. "Rehabilitation and treatment programs." </w:t>
      </w:r>
    </w:p>
    <w:p w14:paraId="46D5A88E" w14:textId="5FFDFE60" w:rsidR="000142C5" w:rsidRPr="00700474" w:rsidRDefault="000142C5" w:rsidP="001E280F">
      <w:pPr>
        <w:pStyle w:val="EndNoteBibliography"/>
        <w:ind w:firstLine="720"/>
        <w:jc w:val="left"/>
      </w:pPr>
      <w:r w:rsidRPr="00700474">
        <w:rPr>
          <w:i/>
        </w:rPr>
        <w:t>Crime and public policy</w:t>
      </w:r>
      <w:r w:rsidRPr="00700474">
        <w:t>:293-344.</w:t>
      </w:r>
    </w:p>
    <w:p w14:paraId="6C33984D" w14:textId="77777777" w:rsidR="00B91AD8" w:rsidRPr="00700474" w:rsidRDefault="000142C5" w:rsidP="001E280F">
      <w:pPr>
        <w:pStyle w:val="EndNoteBibliography"/>
        <w:jc w:val="left"/>
      </w:pPr>
      <w:r w:rsidRPr="00700474">
        <w:t xml:space="preserve">Dako-Gyeke, Mavis, and Frank Darkwa Baffour. 2016. "We are like devils in their eyes: </w:t>
      </w:r>
    </w:p>
    <w:p w14:paraId="07FDEF16" w14:textId="77777777" w:rsidR="00B91AD8" w:rsidRPr="00700474" w:rsidRDefault="000142C5" w:rsidP="001E280F">
      <w:pPr>
        <w:pStyle w:val="EndNoteBibliography"/>
        <w:ind w:firstLine="720"/>
        <w:jc w:val="left"/>
      </w:pPr>
      <w:r w:rsidRPr="00700474">
        <w:t xml:space="preserve">Perceptions and experiences of stigmatization and discrimination against recidivists in </w:t>
      </w:r>
    </w:p>
    <w:p w14:paraId="3CD86DC0" w14:textId="33C9CE59" w:rsidR="000142C5" w:rsidRPr="00700474" w:rsidRDefault="000142C5" w:rsidP="001E280F">
      <w:pPr>
        <w:pStyle w:val="EndNoteBibliography"/>
        <w:ind w:firstLine="720"/>
        <w:jc w:val="left"/>
      </w:pPr>
      <w:r w:rsidRPr="00700474">
        <w:t xml:space="preserve">Ghana." </w:t>
      </w:r>
      <w:r w:rsidRPr="00700474">
        <w:rPr>
          <w:i/>
        </w:rPr>
        <w:t>Journal of Offender Rehabilitation</w:t>
      </w:r>
      <w:r w:rsidRPr="00700474">
        <w:t xml:space="preserve"> 55(4):235-53.</w:t>
      </w:r>
    </w:p>
    <w:p w14:paraId="5524FA26" w14:textId="77777777" w:rsidR="00B91AD8" w:rsidRPr="00700474" w:rsidRDefault="000142C5" w:rsidP="001E280F">
      <w:pPr>
        <w:pStyle w:val="EndNoteBibliography"/>
        <w:jc w:val="left"/>
      </w:pPr>
      <w:r w:rsidRPr="00700474">
        <w:t xml:space="preserve">DeCorse, Christopher R. 1992. "Culture contact, continuity, and change on the Gold Coast, AD </w:t>
      </w:r>
    </w:p>
    <w:p w14:paraId="062C2296" w14:textId="165EFD38" w:rsidR="000142C5" w:rsidRPr="00700474" w:rsidRDefault="000142C5" w:rsidP="001E280F">
      <w:pPr>
        <w:pStyle w:val="EndNoteBibliography"/>
        <w:ind w:firstLine="720"/>
        <w:jc w:val="left"/>
      </w:pPr>
      <w:r w:rsidRPr="00700474">
        <w:t xml:space="preserve">1400–1900." </w:t>
      </w:r>
      <w:r w:rsidRPr="00700474">
        <w:rPr>
          <w:i/>
        </w:rPr>
        <w:t>African Archaeological Review</w:t>
      </w:r>
      <w:r w:rsidRPr="00700474">
        <w:t xml:space="preserve"> 10(1):163-96.</w:t>
      </w:r>
    </w:p>
    <w:p w14:paraId="64CC8D8B" w14:textId="77777777" w:rsidR="00B91AD8" w:rsidRPr="00700474" w:rsidRDefault="000142C5" w:rsidP="001E280F">
      <w:pPr>
        <w:pStyle w:val="EndNoteBibliography"/>
        <w:jc w:val="left"/>
      </w:pPr>
      <w:r w:rsidRPr="00700474">
        <w:t xml:space="preserve">Durkheim, Émile. [1897] 1951. </w:t>
      </w:r>
      <w:r w:rsidRPr="00700474">
        <w:rPr>
          <w:i/>
          <w:iCs/>
        </w:rPr>
        <w:t>Suicide: A Study in Sociology.</w:t>
      </w:r>
      <w:r w:rsidRPr="00700474">
        <w:t xml:space="preserve"> Translated by John A. Spaulding </w:t>
      </w:r>
    </w:p>
    <w:p w14:paraId="7B3A08D5" w14:textId="747FC59A" w:rsidR="000142C5" w:rsidRPr="00700474" w:rsidRDefault="000142C5" w:rsidP="001E280F">
      <w:pPr>
        <w:pStyle w:val="EndNoteBibliography"/>
        <w:ind w:firstLine="720"/>
        <w:jc w:val="left"/>
      </w:pPr>
      <w:r w:rsidRPr="00700474">
        <w:t>and George Simpson. New York: Free Press.</w:t>
      </w:r>
    </w:p>
    <w:p w14:paraId="4807F646" w14:textId="77777777" w:rsidR="00B91AD8" w:rsidRPr="00700474" w:rsidRDefault="000142C5" w:rsidP="001E280F">
      <w:pPr>
        <w:pStyle w:val="EndNoteBibliography"/>
        <w:jc w:val="left"/>
      </w:pPr>
      <w:r w:rsidRPr="00700474">
        <w:t xml:space="preserve">Duker, Marius, and Marijke Malsch. 2012. "Incapacitation: Trends and New Perspectives." Pp. </w:t>
      </w:r>
    </w:p>
    <w:p w14:paraId="341FA047" w14:textId="38FFCA7D" w:rsidR="000142C5" w:rsidRPr="00700474" w:rsidRDefault="000142C5" w:rsidP="001E280F">
      <w:pPr>
        <w:pStyle w:val="EndNoteBibliography"/>
        <w:ind w:firstLine="720"/>
        <w:jc w:val="left"/>
      </w:pPr>
      <w:r w:rsidRPr="00700474">
        <w:t>237-51. United Kingdom: Routledge.</w:t>
      </w:r>
    </w:p>
    <w:p w14:paraId="496DB28B" w14:textId="77777777" w:rsidR="00B91AD8" w:rsidRPr="00700474" w:rsidRDefault="00091893" w:rsidP="001E280F">
      <w:pPr>
        <w:pStyle w:val="EndNoteBibliography"/>
        <w:jc w:val="left"/>
        <w:rPr>
          <w:i/>
          <w:iCs/>
        </w:rPr>
      </w:pPr>
      <w:r w:rsidRPr="00700474">
        <w:t xml:space="preserve">Dumett, Raymond E. 1998. </w:t>
      </w:r>
      <w:r w:rsidRPr="00700474">
        <w:rPr>
          <w:i/>
          <w:iCs/>
        </w:rPr>
        <w:t xml:space="preserve">El Dorado in West Africa: The Gold-Mining Frontier, African Labor, </w:t>
      </w:r>
    </w:p>
    <w:p w14:paraId="66DFF67B" w14:textId="77777777" w:rsidR="00B91AD8" w:rsidRPr="00700474" w:rsidRDefault="00091893" w:rsidP="001E280F">
      <w:pPr>
        <w:pStyle w:val="EndNoteBibliography"/>
        <w:ind w:firstLine="720"/>
        <w:jc w:val="left"/>
      </w:pPr>
      <w:r w:rsidRPr="00700474">
        <w:rPr>
          <w:i/>
          <w:iCs/>
        </w:rPr>
        <w:t>and Colonial Capitalism in the Gold Coast, 1875–1900</w:t>
      </w:r>
      <w:r w:rsidRPr="00700474">
        <w:t xml:space="preserve">. Athens, OH: Ohio University </w:t>
      </w:r>
    </w:p>
    <w:p w14:paraId="245A07A1" w14:textId="106752CB" w:rsidR="00091893" w:rsidRPr="00700474" w:rsidRDefault="00091893" w:rsidP="001E280F">
      <w:pPr>
        <w:pStyle w:val="EndNoteBibliography"/>
        <w:ind w:firstLine="720"/>
        <w:jc w:val="left"/>
      </w:pPr>
      <w:r w:rsidRPr="00700474">
        <w:lastRenderedPageBreak/>
        <w:t>Press.</w:t>
      </w:r>
    </w:p>
    <w:p w14:paraId="49FA343C" w14:textId="77777777" w:rsidR="00B91AD8" w:rsidRPr="00700474" w:rsidRDefault="000142C5" w:rsidP="001E280F">
      <w:pPr>
        <w:pStyle w:val="EndNoteBibliography"/>
        <w:jc w:val="left"/>
      </w:pPr>
      <w:r w:rsidRPr="00700474">
        <w:t xml:space="preserve">Dzivenu, Setri. 2008. "The politics of inclusion and exclusion of traditional authorities in Africa: </w:t>
      </w:r>
    </w:p>
    <w:p w14:paraId="111410DC" w14:textId="77566F56" w:rsidR="000142C5" w:rsidRPr="00700474" w:rsidRDefault="000142C5" w:rsidP="001E280F">
      <w:pPr>
        <w:pStyle w:val="EndNoteBibliography"/>
        <w:ind w:firstLine="720"/>
        <w:jc w:val="left"/>
      </w:pPr>
      <w:r w:rsidRPr="00700474">
        <w:t xml:space="preserve">chiefs and justice administration in Botswana and Ghana." </w:t>
      </w:r>
      <w:r w:rsidRPr="00700474">
        <w:rPr>
          <w:i/>
        </w:rPr>
        <w:t>Political Perspectives</w:t>
      </w:r>
      <w:r w:rsidRPr="00700474">
        <w:t>.</w:t>
      </w:r>
    </w:p>
    <w:p w14:paraId="1B54608B" w14:textId="77777777" w:rsidR="00B91AD8" w:rsidRPr="00700474" w:rsidRDefault="000142C5" w:rsidP="001E280F">
      <w:pPr>
        <w:pStyle w:val="EndNoteBibliography"/>
        <w:jc w:val="left"/>
        <w:rPr>
          <w:i/>
          <w:iCs/>
        </w:rPr>
      </w:pPr>
      <w:r w:rsidRPr="00700474">
        <w:t xml:space="preserve">Eklu, Dominic S. 2023. </w:t>
      </w:r>
      <w:r w:rsidRPr="00700474">
        <w:rPr>
          <w:i/>
          <w:iCs/>
        </w:rPr>
        <w:t xml:space="preserve">A Qualitative Content Analysis of Public Complaints Against Police </w:t>
      </w:r>
    </w:p>
    <w:p w14:paraId="6C66358D" w14:textId="56627CA3" w:rsidR="000142C5" w:rsidRPr="00700474" w:rsidRDefault="000142C5" w:rsidP="001E280F">
      <w:pPr>
        <w:pStyle w:val="EndNoteBibliography"/>
        <w:ind w:firstLine="720"/>
        <w:jc w:val="left"/>
      </w:pPr>
      <w:r w:rsidRPr="00700474">
        <w:rPr>
          <w:i/>
          <w:iCs/>
        </w:rPr>
        <w:t>Officers in Ghana.</w:t>
      </w:r>
      <w:r w:rsidRPr="00700474">
        <w:t xml:space="preserve"> PhD diss., University of Education, Winneba.</w:t>
      </w:r>
    </w:p>
    <w:p w14:paraId="7EF9F615" w14:textId="77777777" w:rsidR="00B91AD8" w:rsidRPr="00700474" w:rsidRDefault="000142C5" w:rsidP="001E280F">
      <w:pPr>
        <w:pStyle w:val="EndNoteBibliography"/>
        <w:rPr>
          <w:i/>
          <w:iCs/>
        </w:rPr>
      </w:pPr>
      <w:r w:rsidRPr="00700474">
        <w:t xml:space="preserve">Enns, Peter K. 2016. </w:t>
      </w:r>
      <w:r w:rsidRPr="00700474">
        <w:rPr>
          <w:i/>
          <w:iCs/>
        </w:rPr>
        <w:t xml:space="preserve">Incarceration Nation: How the United States Became the Most Punitive </w:t>
      </w:r>
    </w:p>
    <w:p w14:paraId="1F5D344D" w14:textId="5CCEA76D" w:rsidR="000142C5" w:rsidRPr="00700474" w:rsidRDefault="000142C5" w:rsidP="001E280F">
      <w:pPr>
        <w:pStyle w:val="EndNoteBibliography"/>
        <w:ind w:firstLine="720"/>
      </w:pPr>
      <w:r w:rsidRPr="00700474">
        <w:rPr>
          <w:i/>
          <w:iCs/>
        </w:rPr>
        <w:t>Democracy in the World</w:t>
      </w:r>
      <w:r w:rsidRPr="00700474">
        <w:t>. New York: Cambridge University Press.</w:t>
      </w:r>
    </w:p>
    <w:p w14:paraId="381A1CC6" w14:textId="77777777" w:rsidR="00B91AD8" w:rsidRPr="00700474" w:rsidRDefault="000142C5" w:rsidP="001E280F">
      <w:pPr>
        <w:pStyle w:val="EndNoteBibliography"/>
      </w:pPr>
      <w:r w:rsidRPr="00700474">
        <w:t xml:space="preserve">Erikson, Robert S., Michael B. MacKuen, and James A. Stimson. 2002. </w:t>
      </w:r>
      <w:r w:rsidRPr="00700474">
        <w:rPr>
          <w:i/>
          <w:iCs/>
        </w:rPr>
        <w:t>The Macro Polity</w:t>
      </w:r>
      <w:r w:rsidRPr="00700474">
        <w:t xml:space="preserve">. New </w:t>
      </w:r>
    </w:p>
    <w:p w14:paraId="5E105D81" w14:textId="15C816A9" w:rsidR="000142C5" w:rsidRPr="00700474" w:rsidRDefault="000142C5" w:rsidP="001E280F">
      <w:pPr>
        <w:pStyle w:val="EndNoteBibliography"/>
        <w:ind w:firstLine="720"/>
      </w:pPr>
      <w:r w:rsidRPr="00700474">
        <w:t>York: Cambridge University Press.</w:t>
      </w:r>
    </w:p>
    <w:p w14:paraId="0339D07E" w14:textId="77777777" w:rsidR="00B91AD8" w:rsidRPr="00700474" w:rsidRDefault="000142C5" w:rsidP="001E280F">
      <w:pPr>
        <w:pStyle w:val="EndNoteBibliography"/>
        <w:jc w:val="left"/>
      </w:pPr>
      <w:r w:rsidRPr="00700474">
        <w:t xml:space="preserve">Eyong, Emmanuel Ikpi. 2018. "Attitude of Teachers Towards the Use of Corporal Punishment on </w:t>
      </w:r>
    </w:p>
    <w:p w14:paraId="0BE14298" w14:textId="77777777" w:rsidR="00B91AD8" w:rsidRPr="00700474" w:rsidRDefault="000142C5" w:rsidP="001E280F">
      <w:pPr>
        <w:pStyle w:val="EndNoteBibliography"/>
        <w:ind w:firstLine="720"/>
        <w:jc w:val="left"/>
      </w:pPr>
      <w:r w:rsidRPr="00700474">
        <w:t xml:space="preserve">Primary School Pupils in Calabar Municipality of Cross River State, Nigeria: Implication </w:t>
      </w:r>
    </w:p>
    <w:p w14:paraId="19817090" w14:textId="77777777" w:rsidR="00B91AD8" w:rsidRPr="00700474" w:rsidRDefault="000142C5" w:rsidP="001E280F">
      <w:pPr>
        <w:pStyle w:val="EndNoteBibliography"/>
        <w:ind w:firstLine="720"/>
        <w:jc w:val="left"/>
        <w:rPr>
          <w:i/>
          <w:iCs/>
        </w:rPr>
      </w:pPr>
      <w:r w:rsidRPr="00700474">
        <w:t xml:space="preserve">on Classroom Assessment and Evaluation." </w:t>
      </w:r>
      <w:r w:rsidRPr="00700474">
        <w:rPr>
          <w:i/>
          <w:iCs/>
        </w:rPr>
        <w:t xml:space="preserve">International Research Journal of Education </w:t>
      </w:r>
    </w:p>
    <w:p w14:paraId="1025BAF2" w14:textId="5BC46C73" w:rsidR="000142C5" w:rsidRPr="00700474" w:rsidRDefault="000142C5" w:rsidP="001E280F">
      <w:pPr>
        <w:pStyle w:val="EndNoteBibliography"/>
        <w:ind w:firstLine="720"/>
        <w:jc w:val="left"/>
      </w:pPr>
      <w:r w:rsidRPr="00700474">
        <w:rPr>
          <w:i/>
          <w:iCs/>
        </w:rPr>
        <w:t>and Technology</w:t>
      </w:r>
      <w:r w:rsidRPr="00700474">
        <w:t xml:space="preserve"> 1(10):37–50.</w:t>
      </w:r>
    </w:p>
    <w:p w14:paraId="773260EA" w14:textId="77777777" w:rsidR="00B91AD8" w:rsidRPr="00700474" w:rsidRDefault="000142C5" w:rsidP="001E280F">
      <w:pPr>
        <w:pStyle w:val="EndNoteBibliography"/>
        <w:jc w:val="left"/>
      </w:pPr>
      <w:r w:rsidRPr="00700474">
        <w:t xml:space="preserve">Frank, Arthur W. 2010. </w:t>
      </w:r>
      <w:r w:rsidRPr="00700474">
        <w:rPr>
          <w:i/>
          <w:iCs/>
        </w:rPr>
        <w:t>Letting Stories Breathe: A Socio-narratology.</w:t>
      </w:r>
      <w:r w:rsidRPr="00700474">
        <w:t xml:space="preserve"> Chicago: University of </w:t>
      </w:r>
    </w:p>
    <w:p w14:paraId="0D10A38F" w14:textId="03DE0354" w:rsidR="000142C5" w:rsidRPr="00700474" w:rsidRDefault="000142C5" w:rsidP="001E280F">
      <w:pPr>
        <w:pStyle w:val="EndNoteBibliography"/>
        <w:ind w:firstLine="720"/>
        <w:jc w:val="left"/>
      </w:pPr>
      <w:r w:rsidRPr="00700474">
        <w:t>Chicago Press.</w:t>
      </w:r>
    </w:p>
    <w:p w14:paraId="46BD0501" w14:textId="77777777" w:rsidR="00B91AD8" w:rsidRPr="00700474" w:rsidRDefault="000142C5" w:rsidP="001E280F">
      <w:pPr>
        <w:pStyle w:val="EndNoteBibliography"/>
        <w:jc w:val="left"/>
      </w:pPr>
      <w:r w:rsidRPr="00700474">
        <w:t xml:space="preserve">Ghana  Statistical Service (GSS). 2018. "Multiple Indicator Cluster Survey (Mics2017/18), </w:t>
      </w:r>
    </w:p>
    <w:p w14:paraId="2D4EF09A" w14:textId="5D9F639A" w:rsidR="000142C5" w:rsidRPr="00700474" w:rsidRDefault="000142C5" w:rsidP="001E280F">
      <w:pPr>
        <w:pStyle w:val="EndNoteBibliography"/>
        <w:ind w:firstLine="720"/>
        <w:jc w:val="left"/>
      </w:pPr>
      <w:r w:rsidRPr="00700474">
        <w:t>Survey Findings Report." Vol.  Accra, Ghana: GSS.</w:t>
      </w:r>
    </w:p>
    <w:p w14:paraId="0DDC75C9" w14:textId="77777777" w:rsidR="00B91AD8" w:rsidRPr="00700474" w:rsidRDefault="000142C5" w:rsidP="001E280F">
      <w:pPr>
        <w:pStyle w:val="EndNoteBibliography"/>
        <w:jc w:val="left"/>
        <w:rPr>
          <w:i/>
          <w:iCs/>
        </w:rPr>
      </w:pPr>
      <w:r w:rsidRPr="00700474">
        <w:t xml:space="preserve">Glaeser, Edward L., and Bruce </w:t>
      </w:r>
      <w:bookmarkStart w:id="51" w:name="_Hlk178914585"/>
      <w:r w:rsidRPr="00700474">
        <w:t>Sacerdote</w:t>
      </w:r>
      <w:bookmarkEnd w:id="51"/>
      <w:r w:rsidRPr="00700474">
        <w:t>. 2000. </w:t>
      </w:r>
      <w:r w:rsidRPr="00700474">
        <w:rPr>
          <w:i/>
          <w:iCs/>
        </w:rPr>
        <w:t xml:space="preserve">The Determinants of Punishment: Deterrence, </w:t>
      </w:r>
    </w:p>
    <w:p w14:paraId="05E56A8C" w14:textId="4D35391A" w:rsidR="00B91AD8" w:rsidRPr="00700474" w:rsidRDefault="000142C5" w:rsidP="001E280F">
      <w:pPr>
        <w:pStyle w:val="EndNoteBibliography"/>
        <w:ind w:firstLine="720"/>
        <w:jc w:val="left"/>
      </w:pPr>
      <w:r w:rsidRPr="00700474">
        <w:rPr>
          <w:i/>
          <w:iCs/>
        </w:rPr>
        <w:t>Incapacitation and</w:t>
      </w:r>
      <w:r w:rsidRPr="00700474">
        <w:t xml:space="preserve">. and vengeance. Working Paper 7676, National Bureau of Economic </w:t>
      </w:r>
    </w:p>
    <w:p w14:paraId="3304228F" w14:textId="4B68933D" w:rsidR="000142C5" w:rsidRPr="00700474" w:rsidRDefault="000142C5" w:rsidP="001E280F">
      <w:pPr>
        <w:pStyle w:val="EndNoteBibliography"/>
        <w:ind w:firstLine="720"/>
        <w:jc w:val="left"/>
      </w:pPr>
      <w:r w:rsidRPr="00700474">
        <w:t>Research, Cambridge, MA.</w:t>
      </w:r>
    </w:p>
    <w:p w14:paraId="05B6A13D" w14:textId="77777777" w:rsidR="00B91AD8" w:rsidRPr="00700474" w:rsidRDefault="000142C5" w:rsidP="001E280F">
      <w:pPr>
        <w:pStyle w:val="EndNoteBibliography"/>
        <w:jc w:val="left"/>
      </w:pPr>
      <w:r w:rsidRPr="00700474">
        <w:t xml:space="preserve">Global Initiative to End All Corporal Punishment of Children. 2017. "Corporal Punishment of </w:t>
      </w:r>
    </w:p>
    <w:p w14:paraId="061FD875" w14:textId="1E76B774" w:rsidR="000142C5" w:rsidRPr="00700474" w:rsidRDefault="000142C5" w:rsidP="001E280F">
      <w:pPr>
        <w:pStyle w:val="EndNoteBibliography"/>
        <w:ind w:left="720"/>
        <w:jc w:val="left"/>
      </w:pPr>
      <w:r w:rsidRPr="00700474">
        <w:t>Children in Ghana." Retrieved April 4, 2024 (https://endcorporalpunishment.org/reports-on-every-state-and-territory/ghana/).</w:t>
      </w:r>
    </w:p>
    <w:p w14:paraId="406A39A3" w14:textId="77777777" w:rsidR="00B91AD8" w:rsidRPr="00700474" w:rsidRDefault="000142C5" w:rsidP="001E280F">
      <w:pPr>
        <w:pStyle w:val="EndNoteBibliography"/>
        <w:jc w:val="left"/>
      </w:pPr>
      <w:r w:rsidRPr="00700474">
        <w:lastRenderedPageBreak/>
        <w:t xml:space="preserve">Govindan, Divya. 2022. Retribution, Rehabilitation and Restoration-Working towards the Goals </w:t>
      </w:r>
    </w:p>
    <w:p w14:paraId="69578DA6" w14:textId="0CF22460" w:rsidR="000142C5" w:rsidRPr="00700474" w:rsidRDefault="000142C5" w:rsidP="001E280F">
      <w:pPr>
        <w:pStyle w:val="EndNoteBibliography"/>
        <w:ind w:firstLine="720"/>
        <w:jc w:val="left"/>
      </w:pPr>
      <w:r w:rsidRPr="00700474">
        <w:t>of Criminal Justice. </w:t>
      </w:r>
      <w:r w:rsidRPr="00700474">
        <w:rPr>
          <w:i/>
          <w:iCs/>
        </w:rPr>
        <w:t>Part 1 Indian Journal of Integrated Research. Law.</w:t>
      </w:r>
      <w:r w:rsidRPr="00700474">
        <w:t> </w:t>
      </w:r>
      <w:r w:rsidRPr="00700474">
        <w:rPr>
          <w:i/>
          <w:iCs/>
        </w:rPr>
        <w:t>2</w:t>
      </w:r>
      <w:r w:rsidRPr="00700474">
        <w:t>(1).</w:t>
      </w:r>
    </w:p>
    <w:p w14:paraId="09975059" w14:textId="77777777" w:rsidR="00B91AD8" w:rsidRPr="00700474" w:rsidRDefault="000142C5" w:rsidP="001E280F">
      <w:pPr>
        <w:pStyle w:val="EndNoteBibliography"/>
        <w:jc w:val="left"/>
      </w:pPr>
      <w:r w:rsidRPr="00700474">
        <w:t xml:space="preserve">Hadley, Michael L. 2001. </w:t>
      </w:r>
      <w:r w:rsidRPr="00700474">
        <w:rPr>
          <w:i/>
        </w:rPr>
        <w:t>The spiritual roots of restorative justice</w:t>
      </w:r>
      <w:r w:rsidRPr="00700474">
        <w:t xml:space="preserve">. Albany: State University of </w:t>
      </w:r>
    </w:p>
    <w:p w14:paraId="218F3232" w14:textId="24270FD6" w:rsidR="000142C5" w:rsidRPr="00700474" w:rsidRDefault="000142C5" w:rsidP="001E280F">
      <w:pPr>
        <w:pStyle w:val="EndNoteBibliography"/>
        <w:ind w:firstLine="720"/>
        <w:jc w:val="left"/>
      </w:pPr>
      <w:r w:rsidRPr="00700474">
        <w:t>New York Press.</w:t>
      </w:r>
    </w:p>
    <w:p w14:paraId="588C946D" w14:textId="77777777" w:rsidR="00B91AD8" w:rsidRPr="00700474" w:rsidRDefault="000142C5" w:rsidP="001E280F">
      <w:pPr>
        <w:pStyle w:val="EndNoteBibliography"/>
        <w:jc w:val="left"/>
      </w:pPr>
      <w:r w:rsidRPr="00700474">
        <w:t xml:space="preserve">Halm, Emmanuel. 2020. "Non-Custodial Sentence as an Alternative to Imprisonment in Ghana " </w:t>
      </w:r>
    </w:p>
    <w:p w14:paraId="531BD197" w14:textId="471A571B" w:rsidR="000142C5" w:rsidRPr="00700474" w:rsidRDefault="000142C5" w:rsidP="001E280F">
      <w:pPr>
        <w:pStyle w:val="EndNoteBibliography"/>
        <w:ind w:firstLine="720"/>
        <w:jc w:val="left"/>
      </w:pPr>
      <w:r w:rsidRPr="00700474">
        <w:t xml:space="preserve">in </w:t>
      </w:r>
      <w:r w:rsidRPr="00700474">
        <w:rPr>
          <w:i/>
        </w:rPr>
        <w:t>Department of Sociology and Anthropology</w:t>
      </w:r>
      <w:r w:rsidRPr="00700474">
        <w:t>: University of Cape Coast.</w:t>
      </w:r>
    </w:p>
    <w:p w14:paraId="75701C24" w14:textId="77777777" w:rsidR="000142C5" w:rsidRPr="00700474" w:rsidRDefault="000142C5" w:rsidP="001E280F">
      <w:pPr>
        <w:pStyle w:val="EndNoteBibliography"/>
        <w:jc w:val="left"/>
      </w:pPr>
      <w:r w:rsidRPr="00700474">
        <w:t xml:space="preserve">Igbinovia, Patrick. Edobor. 1989. "Criminology in Africa." </w:t>
      </w:r>
      <w:r w:rsidRPr="00700474">
        <w:rPr>
          <w:i/>
        </w:rPr>
        <w:t>International journal of offender therapy and comparative criminology</w:t>
      </w:r>
      <w:r w:rsidRPr="00700474">
        <w:t xml:space="preserve"> 33(89):v-x.</w:t>
      </w:r>
    </w:p>
    <w:p w14:paraId="09A446D6" w14:textId="77777777" w:rsidR="000142C5" w:rsidRPr="00700474" w:rsidRDefault="000142C5" w:rsidP="001E280F">
      <w:pPr>
        <w:pStyle w:val="EndNoteBibliography"/>
        <w:jc w:val="left"/>
        <w:rPr>
          <w:i/>
          <w:iCs/>
        </w:rPr>
      </w:pPr>
      <w:r w:rsidRPr="00700474">
        <w:t xml:space="preserve">Indermaur, David, and Mike Hough. 2013. </w:t>
      </w:r>
      <w:r w:rsidRPr="00700474">
        <w:rPr>
          <w:i/>
          <w:iCs/>
        </w:rPr>
        <w:t xml:space="preserve">Understanding Public Attitudes to Criminal </w:t>
      </w:r>
    </w:p>
    <w:p w14:paraId="7E3E4486" w14:textId="77777777" w:rsidR="000142C5" w:rsidRPr="00700474" w:rsidRDefault="000142C5" w:rsidP="001E280F">
      <w:pPr>
        <w:pStyle w:val="EndNoteBibliography"/>
        <w:jc w:val="left"/>
      </w:pPr>
      <w:r w:rsidRPr="00700474">
        <w:rPr>
          <w:i/>
          <w:iCs/>
        </w:rPr>
        <w:t>Justice</w:t>
      </w:r>
      <w:r w:rsidRPr="00700474">
        <w:t>. Maidenhead, UK: Open University Press</w:t>
      </w:r>
    </w:p>
    <w:p w14:paraId="30CCA8A9" w14:textId="77777777" w:rsidR="000142C5" w:rsidRPr="00700474" w:rsidRDefault="000142C5" w:rsidP="001E280F">
      <w:pPr>
        <w:pStyle w:val="EndNoteBibliography"/>
        <w:jc w:val="left"/>
      </w:pPr>
      <w:r w:rsidRPr="00700474">
        <w:t xml:space="preserve">Kyei-Gyamfi, Sylvester. 2011. "Corporal Punishment in Ghana." Pp. 77-99 in </w:t>
      </w:r>
      <w:r w:rsidRPr="00700474">
        <w:rPr>
          <w:i/>
        </w:rPr>
        <w:t xml:space="preserve">Children’s Rights in Ghana: Reality or Rhetoric </w:t>
      </w:r>
      <w:r w:rsidRPr="00700474">
        <w:t xml:space="preserve">edited by D. L. A. Robert Kwame Ame, and Nana Araba Apt. Lanham, MD: Lexington Books. </w:t>
      </w:r>
    </w:p>
    <w:p w14:paraId="6420678B" w14:textId="77777777" w:rsidR="000142C5" w:rsidRPr="00700474" w:rsidRDefault="000142C5" w:rsidP="001E280F">
      <w:pPr>
        <w:pStyle w:val="EndNoteBibliography"/>
        <w:jc w:val="left"/>
      </w:pPr>
      <w:r w:rsidRPr="00700474">
        <w:t xml:space="preserve">Kumar, R. S., and F. Teklu. 2018. "Students' Experience and Attitude Towards Corporal Punishment in the Elementary Schools of the Central Zone of Tigray Region in Ethiopia." </w:t>
      </w:r>
      <w:r w:rsidRPr="00700474">
        <w:rPr>
          <w:i/>
          <w:iCs/>
        </w:rPr>
        <w:t>Eastern Africa Social Science Research Review</w:t>
      </w:r>
      <w:r w:rsidRPr="00700474">
        <w:t xml:space="preserve"> 34(1):207–229.</w:t>
      </w:r>
    </w:p>
    <w:p w14:paraId="5BF5C3C3" w14:textId="77777777" w:rsidR="000142C5" w:rsidRPr="00700474" w:rsidRDefault="000142C5" w:rsidP="001E280F">
      <w:pPr>
        <w:pStyle w:val="EndNoteBibliography"/>
        <w:jc w:val="left"/>
      </w:pPr>
      <w:r w:rsidRPr="00700474">
        <w:t xml:space="preserve">Kaukinen, Catherine, and Andrea Colavecchia. 1999. "Public Perceptions of the Courts: </w:t>
      </w:r>
    </w:p>
    <w:p w14:paraId="7E63F524" w14:textId="77777777" w:rsidR="000142C5" w:rsidRPr="00700474" w:rsidRDefault="000142C5" w:rsidP="001E280F">
      <w:pPr>
        <w:pStyle w:val="EndNoteBibliography"/>
        <w:jc w:val="left"/>
        <w:rPr>
          <w:i/>
          <w:iCs/>
        </w:rPr>
      </w:pPr>
      <w:r w:rsidRPr="00700474">
        <w:t xml:space="preserve">An Examination of Attitudes toward the Treatment of Victims and Accused." </w:t>
      </w:r>
      <w:r w:rsidRPr="00700474">
        <w:rPr>
          <w:i/>
          <w:iCs/>
        </w:rPr>
        <w:t xml:space="preserve">The </w:t>
      </w:r>
    </w:p>
    <w:p w14:paraId="5BC05618" w14:textId="77777777" w:rsidR="000142C5" w:rsidRPr="00700474" w:rsidRDefault="000142C5" w:rsidP="001E280F">
      <w:pPr>
        <w:pStyle w:val="EndNoteBibliography"/>
        <w:jc w:val="left"/>
      </w:pPr>
      <w:r w:rsidRPr="00700474">
        <w:rPr>
          <w:i/>
          <w:iCs/>
        </w:rPr>
        <w:t>Justice System Journal</w:t>
      </w:r>
      <w:r w:rsidRPr="00700474">
        <w:t xml:space="preserve"> 20(2):193–216.</w:t>
      </w:r>
    </w:p>
    <w:p w14:paraId="17B98AE5" w14:textId="77777777" w:rsidR="000142C5" w:rsidRPr="00700474" w:rsidRDefault="000142C5" w:rsidP="001E280F">
      <w:pPr>
        <w:pStyle w:val="EndNoteBibliography"/>
        <w:jc w:val="left"/>
      </w:pPr>
      <w:r w:rsidRPr="00700474">
        <w:t xml:space="preserve">Presser, Lois. 2013. </w:t>
      </w:r>
      <w:r w:rsidRPr="00700474">
        <w:rPr>
          <w:i/>
          <w:iCs/>
        </w:rPr>
        <w:t>Why We Harm</w:t>
      </w:r>
      <w:r w:rsidRPr="00700474">
        <w:t>. New Brunswick, NJ: Rutgers University Press.</w:t>
      </w:r>
    </w:p>
    <w:p w14:paraId="0A2B1FB9" w14:textId="77777777" w:rsidR="000142C5" w:rsidRPr="00700474" w:rsidRDefault="000142C5" w:rsidP="001E280F">
      <w:pPr>
        <w:pStyle w:val="EndNoteBibliography"/>
        <w:jc w:val="left"/>
        <w:rPr>
          <w:i/>
          <w:iCs/>
        </w:rPr>
      </w:pPr>
      <w:r w:rsidRPr="00700474">
        <w:t xml:space="preserve">Presser, Lois, and Sverre Sandberg. 2015. "Narrative Criminology: Understanding Stories of Crime." </w:t>
      </w:r>
      <w:r w:rsidRPr="00700474">
        <w:rPr>
          <w:i/>
          <w:iCs/>
        </w:rPr>
        <w:t>New York: New York University Press.</w:t>
      </w:r>
    </w:p>
    <w:p w14:paraId="336CBD05" w14:textId="77777777" w:rsidR="000142C5" w:rsidRPr="00700474" w:rsidRDefault="000142C5" w:rsidP="001E280F">
      <w:pPr>
        <w:pStyle w:val="EndNoteBibliography"/>
        <w:jc w:val="left"/>
      </w:pPr>
    </w:p>
    <w:p w14:paraId="6D9C4739" w14:textId="77777777" w:rsidR="000142C5" w:rsidRPr="00700474" w:rsidRDefault="000142C5" w:rsidP="001E280F">
      <w:pPr>
        <w:pStyle w:val="EndNoteBibliography"/>
        <w:jc w:val="left"/>
      </w:pPr>
      <w:r w:rsidRPr="00700474">
        <w:lastRenderedPageBreak/>
        <w:t>Lab, Steven P. 2013. Crime Prevention: Approahes, Practices and Evaluations. 8</w:t>
      </w:r>
      <w:r w:rsidRPr="00700474">
        <w:rPr>
          <w:vertAlign w:val="superscript"/>
        </w:rPr>
        <w:t>th</w:t>
      </w:r>
      <w:r w:rsidRPr="00700474">
        <w:t xml:space="preserve"> ed. London: Taylor &amp; Francis Group.</w:t>
      </w:r>
    </w:p>
    <w:p w14:paraId="0CDA2630" w14:textId="77777777" w:rsidR="000142C5" w:rsidRPr="00700474" w:rsidRDefault="000142C5" w:rsidP="001E280F">
      <w:pPr>
        <w:pStyle w:val="EndNoteBibliography"/>
        <w:jc w:val="left"/>
      </w:pPr>
      <w:r w:rsidRPr="00700474">
        <w:t xml:space="preserve">Lawer, Richard A. 2019. "Teachers and Students’ Attitudes Towards the Abolition of Caning in </w:t>
      </w:r>
    </w:p>
    <w:p w14:paraId="27F7C51F" w14:textId="77777777" w:rsidR="000142C5" w:rsidRPr="00700474" w:rsidRDefault="000142C5" w:rsidP="001E280F">
      <w:pPr>
        <w:pStyle w:val="EndNoteBibliography"/>
        <w:jc w:val="left"/>
      </w:pPr>
      <w:r w:rsidRPr="00700474">
        <w:t>Ghanaian Schools: A Case of Fodoa Community Senior High School." Post-Graduate Diploma in Education, Centre for Distance Education, Institute for Development and E-Learning (Idel), University of Education.</w:t>
      </w:r>
    </w:p>
    <w:p w14:paraId="3218AB72" w14:textId="77777777" w:rsidR="000142C5" w:rsidRPr="00700474" w:rsidRDefault="000142C5" w:rsidP="001E280F">
      <w:pPr>
        <w:pStyle w:val="EndNoteBibliography"/>
        <w:jc w:val="left"/>
      </w:pPr>
      <w:r w:rsidRPr="00700474">
        <w:t xml:space="preserve">Link, Bruce G., and Jo C. Phelan. 2001. “Conceptualizing Stigma.” </w:t>
      </w:r>
      <w:r w:rsidRPr="00700474">
        <w:rPr>
          <w:i/>
          <w:iCs/>
        </w:rPr>
        <w:t>Annual Review of Sociology</w:t>
      </w:r>
      <w:r w:rsidRPr="00700474">
        <w:t xml:space="preserve"> 27:363–85.</w:t>
      </w:r>
    </w:p>
    <w:p w14:paraId="032DF1E8" w14:textId="77777777" w:rsidR="000142C5" w:rsidRPr="00700474" w:rsidRDefault="000142C5" w:rsidP="001E280F">
      <w:pPr>
        <w:pStyle w:val="EndNoteBibliography"/>
        <w:jc w:val="left"/>
      </w:pPr>
      <w:r w:rsidRPr="00700474">
        <w:t xml:space="preserve">Lipsey, Mark W., and Francis T. Cullen. 2007. "The Effectiveness of Correctional Rehabilitation: A Review of Systematic Reviews." </w:t>
      </w:r>
      <w:r w:rsidRPr="00700474">
        <w:rPr>
          <w:i/>
        </w:rPr>
        <w:t>Annual review of law and social science</w:t>
      </w:r>
      <w:r w:rsidRPr="00700474">
        <w:t xml:space="preserve"> 3(1):297-320.</w:t>
      </w:r>
    </w:p>
    <w:p w14:paraId="191B318C" w14:textId="45357F4E" w:rsidR="00091893" w:rsidRPr="00700474" w:rsidRDefault="00091893" w:rsidP="001E280F">
      <w:pPr>
        <w:pStyle w:val="EndNoteBibliography"/>
        <w:jc w:val="left"/>
      </w:pPr>
      <w:r w:rsidRPr="00700474">
        <w:t xml:space="preserve">Lovejoy, Paul E. 2000. </w:t>
      </w:r>
      <w:r w:rsidRPr="00700474">
        <w:rPr>
          <w:i/>
          <w:iCs/>
        </w:rPr>
        <w:t>Transformations in Slavery: A History of Slavery in Africa</w:t>
      </w:r>
      <w:r w:rsidRPr="00700474">
        <w:t>. Cambridge: Cambridge University Press.</w:t>
      </w:r>
    </w:p>
    <w:p w14:paraId="16D5E742" w14:textId="01E4E370" w:rsidR="00A31387" w:rsidRPr="00700474" w:rsidRDefault="00A31387" w:rsidP="001E280F">
      <w:pPr>
        <w:pStyle w:val="EndNoteBibliography"/>
        <w:jc w:val="left"/>
      </w:pPr>
      <w:r w:rsidRPr="00700474">
        <w:t xml:space="preserve">Mamdani, Mahmood. 1996. </w:t>
      </w:r>
      <w:r w:rsidRPr="00700474">
        <w:rPr>
          <w:i/>
          <w:iCs/>
        </w:rPr>
        <w:t>Citizen and Subject: Contemporary Africa and the Legacy of Late Colonialism</w:t>
      </w:r>
      <w:r w:rsidRPr="00700474">
        <w:t>. Princeton, NJ: Princeton University Press.</w:t>
      </w:r>
    </w:p>
    <w:p w14:paraId="405C14CA" w14:textId="77777777" w:rsidR="000142C5" w:rsidRPr="00700474" w:rsidRDefault="000142C5" w:rsidP="001E280F">
      <w:pPr>
        <w:pStyle w:val="EndNoteBibliography"/>
        <w:jc w:val="left"/>
      </w:pPr>
      <w:r w:rsidRPr="00700474">
        <w:t xml:space="preserve">Maruna, Shadd, and Marieke Liem. 2021. "Where Is This Story Going? A Critical Analysis of the Emerging Field of Narrative Criminology." </w:t>
      </w:r>
      <w:r w:rsidRPr="00700474">
        <w:rPr>
          <w:i/>
          <w:iCs/>
        </w:rPr>
        <w:t>Annual Review of Criminology</w:t>
      </w:r>
      <w:r w:rsidRPr="00700474">
        <w:t xml:space="preserve"> 4(1):125–46.</w:t>
      </w:r>
    </w:p>
    <w:p w14:paraId="4E3B80F5" w14:textId="77777777" w:rsidR="000142C5" w:rsidRPr="00700474" w:rsidRDefault="000142C5" w:rsidP="001E280F">
      <w:pPr>
        <w:pStyle w:val="EndNoteBibliography"/>
        <w:jc w:val="left"/>
      </w:pPr>
      <w:r w:rsidRPr="00700474">
        <w:t xml:space="preserve">Murphy, Jeffrie G. 2007. "Legal Moralism and Retribution Revisited." </w:t>
      </w:r>
      <w:r w:rsidRPr="00700474">
        <w:rPr>
          <w:i/>
          <w:iCs/>
        </w:rPr>
        <w:t>Criminal Law and Philosophy</w:t>
      </w:r>
      <w:r w:rsidRPr="00700474">
        <w:t xml:space="preserve"> 1:5–20.</w:t>
      </w:r>
    </w:p>
    <w:p w14:paraId="334FCE6D" w14:textId="77777777" w:rsidR="000142C5" w:rsidRPr="00700474" w:rsidRDefault="000142C5" w:rsidP="001E280F">
      <w:pPr>
        <w:pStyle w:val="EndNoteBibliography"/>
        <w:jc w:val="left"/>
      </w:pPr>
      <w:r w:rsidRPr="00700474">
        <w:t xml:space="preserve">Mgumiro, B. 2015. </w:t>
      </w:r>
      <w:r w:rsidRPr="00700474">
        <w:rPr>
          <w:i/>
          <w:iCs/>
        </w:rPr>
        <w:t>Community Attitudes Towards Community Service Programme for Offenders in Tanzania</w:t>
      </w:r>
      <w:r w:rsidRPr="00700474">
        <w:t>. PhD diss., The Open University of Tanzania.</w:t>
      </w:r>
    </w:p>
    <w:p w14:paraId="2C403B99" w14:textId="77777777" w:rsidR="000142C5" w:rsidRPr="00700474" w:rsidRDefault="000142C5" w:rsidP="001E280F">
      <w:pPr>
        <w:pStyle w:val="EndNoteBibliography"/>
        <w:jc w:val="left"/>
      </w:pPr>
      <w:r w:rsidRPr="00700474">
        <w:t xml:space="preserve">Montgomery, Phyllis, and Patricia H. Bailey. 2007. "Field Notes and Theoretical Memos in Grounded Theory." </w:t>
      </w:r>
      <w:r w:rsidRPr="00700474">
        <w:rPr>
          <w:i/>
          <w:iCs/>
        </w:rPr>
        <w:t>Western Journal of Nursing Research</w:t>
      </w:r>
      <w:r w:rsidRPr="00700474">
        <w:t xml:space="preserve"> 29(1):65–79.</w:t>
      </w:r>
    </w:p>
    <w:p w14:paraId="75F6FB27" w14:textId="77777777" w:rsidR="000142C5" w:rsidRPr="00700474" w:rsidRDefault="000142C5" w:rsidP="001E280F">
      <w:pPr>
        <w:pStyle w:val="EndNoteBibliography"/>
        <w:jc w:val="left"/>
      </w:pPr>
      <w:r w:rsidRPr="00700474">
        <w:lastRenderedPageBreak/>
        <w:t xml:space="preserve">Mushanga, Tibamanya Mwene. 1976. </w:t>
      </w:r>
      <w:r w:rsidRPr="00700474">
        <w:rPr>
          <w:i/>
          <w:iCs/>
        </w:rPr>
        <w:t>Crime and Deviance.</w:t>
      </w:r>
      <w:r w:rsidRPr="00700474">
        <w:t xml:space="preserve"> Nairobi: East Africa Literature Bureau.</w:t>
      </w:r>
    </w:p>
    <w:p w14:paraId="7782C1BD" w14:textId="77777777" w:rsidR="000142C5" w:rsidRPr="00700474" w:rsidRDefault="000142C5" w:rsidP="001E280F">
      <w:pPr>
        <w:pStyle w:val="EndNoteBibliography"/>
        <w:jc w:val="left"/>
      </w:pPr>
      <w:r w:rsidRPr="00700474">
        <w:t xml:space="preserve">Ningard, Holly. 2018. </w:t>
      </w:r>
      <w:r w:rsidRPr="00700474">
        <w:rPr>
          <w:i/>
          <w:iCs/>
        </w:rPr>
        <w:t>Attorney Stories of Environmental Crime: Harms, Agents, and Ideal Cases.</w:t>
      </w:r>
      <w:r w:rsidRPr="00700474">
        <w:t xml:space="preserve"> PhD diss., University of Tennessee. Retrieved from </w:t>
      </w:r>
      <w:hyperlink r:id="rId10" w:tgtFrame="_new" w:history="1">
        <w:r w:rsidRPr="00700474">
          <w:rPr>
            <w:rStyle w:val="Hyperlink"/>
            <w:color w:val="000000" w:themeColor="text1"/>
          </w:rPr>
          <w:t>https://trace.tennessee.edu/utk_graddiss/5283</w:t>
        </w:r>
      </w:hyperlink>
      <w:r w:rsidRPr="00700474">
        <w:t>.</w:t>
      </w:r>
    </w:p>
    <w:p w14:paraId="0648A200" w14:textId="1A8D97A7" w:rsidR="00460431" w:rsidRPr="00700474" w:rsidRDefault="00460431" w:rsidP="001E280F">
      <w:pPr>
        <w:pStyle w:val="EndNoteBibliography"/>
        <w:jc w:val="left"/>
      </w:pPr>
      <w:r w:rsidRPr="00700474">
        <w:t xml:space="preserve">Ntiamoah, Michael Kwadwo, and Elysium Orison Ameyibor. 2023. “Shrines and Social Order in Ghana: A Study of Ŋuveh Shrine in Peki, Volta Region, Ghana.” </w:t>
      </w:r>
      <w:r w:rsidRPr="00700474">
        <w:rPr>
          <w:i/>
          <w:iCs/>
        </w:rPr>
        <w:t>E-Journal of Humanities, Arts and Social Sciences</w:t>
      </w:r>
      <w:r w:rsidRPr="00700474">
        <w:t xml:space="preserve"> 4(2):128–139.</w:t>
      </w:r>
    </w:p>
    <w:p w14:paraId="74AF0F34" w14:textId="77777777" w:rsidR="000142C5" w:rsidRPr="00700474" w:rsidRDefault="000142C5" w:rsidP="001E280F">
      <w:pPr>
        <w:pStyle w:val="EndNoteBibliography"/>
        <w:jc w:val="left"/>
      </w:pPr>
      <w:r w:rsidRPr="00700474">
        <w:t>Odo, Jonathan C. "Counter-Colonial Criminology: A Critique of Imperialist Reason." </w:t>
      </w:r>
      <w:r w:rsidRPr="00700474">
        <w:rPr>
          <w:i/>
          <w:iCs/>
        </w:rPr>
        <w:t>African Journal of Criminology and Justice Studies: AJCJS</w:t>
      </w:r>
      <w:r w:rsidRPr="00700474">
        <w:t> 1, no. 1 (2005): 74.</w:t>
      </w:r>
    </w:p>
    <w:p w14:paraId="142EF181" w14:textId="77777777" w:rsidR="000142C5" w:rsidRPr="00700474" w:rsidRDefault="000142C5" w:rsidP="001E280F">
      <w:pPr>
        <w:pStyle w:val="EndNoteBibliography"/>
        <w:jc w:val="left"/>
      </w:pPr>
      <w:r w:rsidRPr="00700474">
        <w:t xml:space="preserve">Ofori-Dua, Kwadwo, Kofi Akuoko, Jonas Barnie, John Kwarteng, and John Forkuor. 2015. "Prison without Walls: Perception about Community Service as an Alternative to Imprisonment in Kumasi Metropolis, Ashanti Region, Ghana." </w:t>
      </w:r>
      <w:r w:rsidRPr="00700474">
        <w:rPr>
          <w:i/>
        </w:rPr>
        <w:t>International Journal of Social Science Studies</w:t>
      </w:r>
      <w:r w:rsidRPr="00700474">
        <w:t xml:space="preserve"> 3.</w:t>
      </w:r>
    </w:p>
    <w:p w14:paraId="06E2FA36" w14:textId="77777777" w:rsidR="000142C5" w:rsidRPr="00700474" w:rsidRDefault="000142C5" w:rsidP="001E280F">
      <w:pPr>
        <w:pStyle w:val="EndNoteBibliography"/>
        <w:jc w:val="left"/>
      </w:pPr>
      <w:r w:rsidRPr="00700474">
        <w:t xml:space="preserve">Parimah, Feikoab, Joseph Osafo, and Kingsley Nyarko. 2016. “Community Sentencing of Petty Offenders: An Exploration of Stakeholders’ Attitudes in Accra, Ghana.” </w:t>
      </w:r>
      <w:r w:rsidRPr="00700474">
        <w:rPr>
          <w:i/>
          <w:iCs/>
        </w:rPr>
        <w:t>IFE PsychologIA: An International Journal</w:t>
      </w:r>
      <w:r w:rsidRPr="00700474">
        <w:t xml:space="preserve"> 24(2):47–57.</w:t>
      </w:r>
    </w:p>
    <w:p w14:paraId="0A15218C" w14:textId="77777777" w:rsidR="000142C5" w:rsidRPr="00700474" w:rsidRDefault="000142C5" w:rsidP="001E280F">
      <w:pPr>
        <w:pStyle w:val="EndNoteBibliography"/>
        <w:jc w:val="left"/>
      </w:pPr>
      <w:r w:rsidRPr="00700474">
        <w:t xml:space="preserve">Pickett, Justin T. 2019. "Public Opinion and Criminal Justice Policy: Theory and Research." </w:t>
      </w:r>
    </w:p>
    <w:p w14:paraId="67B4B1A1" w14:textId="77777777" w:rsidR="000142C5" w:rsidRPr="00700474" w:rsidRDefault="000142C5" w:rsidP="001E280F">
      <w:pPr>
        <w:pStyle w:val="EndNoteBibliography"/>
        <w:jc w:val="left"/>
      </w:pPr>
      <w:r w:rsidRPr="00700474">
        <w:rPr>
          <w:i/>
          <w:iCs/>
        </w:rPr>
        <w:t>Annual Review of Criminology</w:t>
      </w:r>
      <w:r w:rsidRPr="00700474">
        <w:t xml:space="preserve"> 2(1):405–428. doi:10.1146/annurev-criminol-011518-</w:t>
      </w:r>
    </w:p>
    <w:p w14:paraId="1A0F490E" w14:textId="77777777" w:rsidR="000142C5" w:rsidRPr="00700474" w:rsidRDefault="000142C5" w:rsidP="001E280F">
      <w:pPr>
        <w:pStyle w:val="EndNoteBibliography"/>
        <w:jc w:val="left"/>
      </w:pPr>
      <w:r w:rsidRPr="00700474">
        <w:t>024601.</w:t>
      </w:r>
    </w:p>
    <w:p w14:paraId="577C1550" w14:textId="77777777" w:rsidR="000142C5" w:rsidRPr="00700474" w:rsidRDefault="000142C5" w:rsidP="001E280F">
      <w:pPr>
        <w:pStyle w:val="EndNoteBibliography"/>
        <w:jc w:val="left"/>
      </w:pPr>
      <w:r w:rsidRPr="00700474">
        <w:t xml:space="preserve">Pitfield, Doreen Jennie. 1997. </w:t>
      </w:r>
      <w:r w:rsidRPr="00700474">
        <w:rPr>
          <w:i/>
          <w:iCs/>
        </w:rPr>
        <w:t>Public Opinion on Sentencing in Pretoria</w:t>
      </w:r>
      <w:r w:rsidRPr="00700474">
        <w:t>. PhD diss., University of South Africa.</w:t>
      </w:r>
    </w:p>
    <w:p w14:paraId="1973AFC4" w14:textId="77777777" w:rsidR="000142C5" w:rsidRPr="00700474" w:rsidRDefault="000142C5" w:rsidP="001E280F">
      <w:pPr>
        <w:pStyle w:val="EndNoteBibliography"/>
        <w:jc w:val="left"/>
      </w:pPr>
      <w:r w:rsidRPr="00700474">
        <w:lastRenderedPageBreak/>
        <w:t>Quansah, Joseph YD, Solace Kudadze, and William Agoke. 2023. The ban on corporal punishment in a senior high school in Ghana: The perspicacity of teachers at Northern School of Business. </w:t>
      </w:r>
      <w:r w:rsidRPr="00700474">
        <w:rPr>
          <w:i/>
          <w:iCs/>
        </w:rPr>
        <w:t>Children &amp; Society</w:t>
      </w:r>
      <w:r w:rsidRPr="00700474">
        <w:t>, </w:t>
      </w:r>
      <w:r w:rsidRPr="00700474">
        <w:rPr>
          <w:i/>
          <w:iCs/>
        </w:rPr>
        <w:t>37</w:t>
      </w:r>
      <w:r w:rsidRPr="00700474">
        <w:t>(2), pp.544-561.</w:t>
      </w:r>
    </w:p>
    <w:p w14:paraId="7CCD6F6C" w14:textId="15635B4E" w:rsidR="00091893" w:rsidRPr="00700474" w:rsidRDefault="00091893" w:rsidP="001E280F">
      <w:pPr>
        <w:pStyle w:val="EndNoteBibliography"/>
        <w:jc w:val="left"/>
      </w:pPr>
      <w:r w:rsidRPr="00700474">
        <w:t xml:space="preserve">Rathbone, Richard. 2000. </w:t>
      </w:r>
      <w:r w:rsidRPr="00700474">
        <w:rPr>
          <w:i/>
          <w:iCs/>
        </w:rPr>
        <w:t>Nkrumah &amp; the Chiefs: The Politics of Chieftaincy in Ghana 1951–60</w:t>
      </w:r>
      <w:r w:rsidRPr="00700474">
        <w:t>. Athens, OH: Ohio University Press.</w:t>
      </w:r>
    </w:p>
    <w:p w14:paraId="2EC68301" w14:textId="77777777" w:rsidR="000142C5" w:rsidRPr="00700474" w:rsidRDefault="000142C5" w:rsidP="001E280F">
      <w:pPr>
        <w:pStyle w:val="EndNoteBibliography"/>
        <w:jc w:val="left"/>
      </w:pPr>
      <w:r w:rsidRPr="00700474">
        <w:t xml:space="preserve">Rathbone, Richard. 1982. "F. K. Buah, A History of Ghana, London: Macmillan Educational, 1980, 229 pp." </w:t>
      </w:r>
      <w:r w:rsidRPr="00700474">
        <w:rPr>
          <w:i/>
        </w:rPr>
        <w:t>Africa (London. 1928)</w:t>
      </w:r>
      <w:r w:rsidRPr="00700474">
        <w:t xml:space="preserve"> 52(2):123-23.</w:t>
      </w:r>
    </w:p>
    <w:p w14:paraId="5E62259A" w14:textId="77777777" w:rsidR="000142C5" w:rsidRPr="00700474" w:rsidRDefault="000142C5" w:rsidP="001E280F">
      <w:pPr>
        <w:pStyle w:val="EndNoteBibliography"/>
      </w:pPr>
      <w:r w:rsidRPr="00700474">
        <w:t xml:space="preserve">Ramirez, Mark D. 2013. "Punitive Sentiment." </w:t>
      </w:r>
      <w:r w:rsidRPr="00700474">
        <w:rPr>
          <w:i/>
          <w:iCs/>
        </w:rPr>
        <w:t>Political Psychology</w:t>
      </w:r>
      <w:r w:rsidRPr="00700474">
        <w:t xml:space="preserve"> 34(6):895–910. </w:t>
      </w:r>
      <w:hyperlink r:id="rId11" w:history="1">
        <w:r w:rsidRPr="00700474">
          <w:rPr>
            <w:rStyle w:val="Hyperlink"/>
            <w:color w:val="000000" w:themeColor="text1"/>
          </w:rPr>
          <w:t>https://doi.org/10.1111/pops.12027</w:t>
        </w:r>
      </w:hyperlink>
    </w:p>
    <w:p w14:paraId="7919476E" w14:textId="77777777" w:rsidR="000142C5" w:rsidRPr="00700474" w:rsidRDefault="000142C5" w:rsidP="001E280F">
      <w:pPr>
        <w:pStyle w:val="EndNoteBibliography"/>
        <w:jc w:val="left"/>
      </w:pPr>
      <w:r w:rsidRPr="00700474">
        <w:t xml:space="preserve">Rush, Michael, and Suleman Ibrahim Lazarus. 2018. “‘Troubling’ Chastisement: A Comparative Historical Analysis of Child Punishment in Ghana and Ireland.” </w:t>
      </w:r>
      <w:r w:rsidRPr="00700474">
        <w:rPr>
          <w:i/>
          <w:iCs/>
        </w:rPr>
        <w:t>Sociological Research Online</w:t>
      </w:r>
      <w:r w:rsidRPr="00700474">
        <w:t xml:space="preserve"> 23(1):177–196.</w:t>
      </w:r>
    </w:p>
    <w:p w14:paraId="08811588" w14:textId="77777777" w:rsidR="000142C5" w:rsidRPr="00700474" w:rsidRDefault="000142C5" w:rsidP="001E280F">
      <w:pPr>
        <w:pStyle w:val="EndNoteBibliography"/>
        <w:jc w:val="left"/>
      </w:pPr>
      <w:r w:rsidRPr="00700474">
        <w:t xml:space="preserve">Salihu, Habeeb Abdulrauf, and Hossein Gholami. 2018. "Mob Justice, Corrupt and Unproductive Justice System in Nigeria: An Empirical Analysis." </w:t>
      </w:r>
      <w:r w:rsidRPr="00700474">
        <w:rPr>
          <w:i/>
          <w:iCs/>
        </w:rPr>
        <w:t>International Journal of Law, Crime and Justice</w:t>
      </w:r>
      <w:r w:rsidRPr="00700474">
        <w:t xml:space="preserve"> 55:40–51.</w:t>
      </w:r>
    </w:p>
    <w:p w14:paraId="03EB91F1" w14:textId="77777777" w:rsidR="000142C5" w:rsidRPr="00700474" w:rsidRDefault="000142C5" w:rsidP="001E280F">
      <w:pPr>
        <w:pStyle w:val="EndNoteBibliography"/>
        <w:jc w:val="left"/>
      </w:pPr>
      <w:r w:rsidRPr="00700474">
        <w:t xml:space="preserve">Schifter, Deborah E., and Icek Ajzen. 1985. "Intention, Perceived Control, and Weight Loss: An Application of the Theory of Planned Behavior." </w:t>
      </w:r>
      <w:r w:rsidRPr="00700474">
        <w:rPr>
          <w:i/>
          <w:iCs/>
        </w:rPr>
        <w:t>Journal of Personality and Social Psychology</w:t>
      </w:r>
      <w:r w:rsidRPr="00700474">
        <w:t xml:space="preserve"> 49(3):843–851.</w:t>
      </w:r>
    </w:p>
    <w:p w14:paraId="678F8730" w14:textId="77777777" w:rsidR="000142C5" w:rsidRPr="00700474" w:rsidRDefault="000142C5" w:rsidP="001E280F">
      <w:pPr>
        <w:pStyle w:val="EndNoteBibliography"/>
        <w:jc w:val="left"/>
      </w:pPr>
      <w:bookmarkStart w:id="52" w:name="_Hlk178818100"/>
      <w:r w:rsidRPr="00700474">
        <w:t xml:space="preserve">Seidman, Robert B. 1966. "The Ghana Prison System: An Historical Perspective." </w:t>
      </w:r>
      <w:r w:rsidRPr="00700474">
        <w:rPr>
          <w:i/>
        </w:rPr>
        <w:t>U. Ghana LJ</w:t>
      </w:r>
      <w:r w:rsidRPr="00700474">
        <w:t xml:space="preserve"> 3:89.</w:t>
      </w:r>
    </w:p>
    <w:p w14:paraId="27E0F438" w14:textId="0AE5A848" w:rsidR="007F60B4" w:rsidRPr="00700474" w:rsidRDefault="007F60B4" w:rsidP="001E280F">
      <w:pPr>
        <w:pStyle w:val="EndNoteBibliography"/>
        <w:jc w:val="left"/>
      </w:pPr>
      <w:r w:rsidRPr="00700474">
        <w:t xml:space="preserve">Seidman, Robert B., and J. D. Abaka-Eyison. 2024. “The Ghana Prison System: An Historical Perspective.” Pp. 70–100 in </w:t>
      </w:r>
      <w:r w:rsidRPr="00700474">
        <w:rPr>
          <w:i/>
          <w:iCs/>
        </w:rPr>
        <w:t>African Penal Systems</w:t>
      </w:r>
      <w:r w:rsidRPr="00700474">
        <w:t>, edited by Alan Milner. London: Taylor &amp; Francis.</w:t>
      </w:r>
    </w:p>
    <w:p w14:paraId="6D03D4F1" w14:textId="77777777" w:rsidR="000142C5" w:rsidRPr="00700474" w:rsidRDefault="000142C5" w:rsidP="001E280F">
      <w:pPr>
        <w:pStyle w:val="EndNoteBibliography"/>
        <w:jc w:val="left"/>
      </w:pPr>
      <w:r w:rsidRPr="00700474">
        <w:lastRenderedPageBreak/>
        <w:t xml:space="preserve">Sutton, John R. 2000. </w:t>
      </w:r>
      <w:r w:rsidRPr="00700474">
        <w:rPr>
          <w:i/>
          <w:iCs/>
        </w:rPr>
        <w:t>Law/Society: Origins, Interactions and Change.</w:t>
      </w:r>
      <w:r w:rsidRPr="00700474">
        <w:t xml:space="preserve"> Thousand Oaks, CA: Sage Publications.</w:t>
      </w:r>
    </w:p>
    <w:bookmarkEnd w:id="52"/>
    <w:p w14:paraId="5BBE12EA" w14:textId="77777777" w:rsidR="000142C5" w:rsidRPr="00700474" w:rsidRDefault="000142C5" w:rsidP="001E280F">
      <w:pPr>
        <w:pStyle w:val="EndNoteBibliography"/>
        <w:jc w:val="left"/>
      </w:pPr>
      <w:r w:rsidRPr="00700474">
        <w:t xml:space="preserve">Tankebe, Justice, Kofi E. Boakye, and Atudiwe P. Atupare. 2015. "Public Opinion on the Death Penalty in Ghana." </w:t>
      </w:r>
      <w:r w:rsidRPr="00700474">
        <w:rPr>
          <w:i/>
        </w:rPr>
        <w:t>Centre for Criminology and Criminal Justice</w:t>
      </w:r>
      <w:r w:rsidRPr="00700474">
        <w:t>:35-40.</w:t>
      </w:r>
    </w:p>
    <w:p w14:paraId="25E87A9E" w14:textId="77777777" w:rsidR="000142C5" w:rsidRPr="00700474" w:rsidRDefault="000142C5" w:rsidP="001E280F">
      <w:pPr>
        <w:pStyle w:val="EndNoteBibliography"/>
        <w:jc w:val="left"/>
      </w:pPr>
      <w:r w:rsidRPr="00700474">
        <w:t xml:space="preserve">Tyler, Tom R. 2003. “Procedural Justice, Legitimacy, and the Effective Rule of Law.” </w:t>
      </w:r>
      <w:r w:rsidRPr="00700474">
        <w:rPr>
          <w:i/>
          <w:iCs/>
        </w:rPr>
        <w:t>Crime and Justice</w:t>
      </w:r>
      <w:r w:rsidRPr="00700474">
        <w:t xml:space="preserve"> 30:283–357.</w:t>
      </w:r>
    </w:p>
    <w:p w14:paraId="4DB159D5" w14:textId="77777777" w:rsidR="000142C5" w:rsidRPr="00700474" w:rsidRDefault="000142C5" w:rsidP="001E280F">
      <w:pPr>
        <w:pStyle w:val="EndNoteBibliography"/>
        <w:jc w:val="left"/>
      </w:pPr>
      <w:r w:rsidRPr="00700474">
        <w:t>Tei, Daniel. 2020. "Mob Justice in Contemporary Ghana." M.S., Northern Arizona University, United States -- Arizona. Retrieved from ProQuest Dissertations &amp; Theses Global, 27962772.</w:t>
      </w:r>
    </w:p>
    <w:p w14:paraId="781FCA44" w14:textId="77777777" w:rsidR="000142C5" w:rsidRPr="00700474" w:rsidRDefault="000142C5" w:rsidP="001E280F">
      <w:pPr>
        <w:pStyle w:val="EndNoteBibliography"/>
        <w:jc w:val="left"/>
      </w:pPr>
      <w:r w:rsidRPr="00700474">
        <w:t xml:space="preserve">Teklu, F., and R. S. Kumar. 2014. "Teachers’ Attitude Towards Corporal Punishment: Elementary Schools of the Central Zone of Tigray Region in Ethiopia in Focus." </w:t>
      </w:r>
      <w:r w:rsidRPr="00700474">
        <w:rPr>
          <w:i/>
          <w:iCs/>
        </w:rPr>
        <w:t>Ethiopian Journal of the Social Sciences and Humanities</w:t>
      </w:r>
      <w:r w:rsidRPr="00700474">
        <w:t xml:space="preserve"> 10(2):51–74.</w:t>
      </w:r>
    </w:p>
    <w:p w14:paraId="583820DD" w14:textId="7A93BBC5" w:rsidR="00632973" w:rsidRPr="00700474" w:rsidRDefault="00632973" w:rsidP="001E280F">
      <w:pPr>
        <w:pStyle w:val="EndNoteBibliography"/>
        <w:jc w:val="left"/>
      </w:pPr>
      <w:r w:rsidRPr="00700474">
        <w:t xml:space="preserve">Tennessee Code Annotated. 1979. </w:t>
      </w:r>
      <w:r w:rsidRPr="00700474">
        <w:rPr>
          <w:i/>
          <w:iCs/>
        </w:rPr>
        <w:t>School Discipline Act</w:t>
      </w:r>
      <w:r w:rsidRPr="00700474">
        <w:t>, TCA § 49-6-4101 et seq. Nashville, TN: Tennessee General Assembly.</w:t>
      </w:r>
    </w:p>
    <w:p w14:paraId="64718D67" w14:textId="77777777" w:rsidR="000142C5" w:rsidRPr="00700474" w:rsidRDefault="000142C5" w:rsidP="001E280F">
      <w:pPr>
        <w:pStyle w:val="EndNoteBibliography"/>
        <w:jc w:val="left"/>
      </w:pPr>
      <w:r w:rsidRPr="00700474">
        <w:t xml:space="preserve">Thomas, Harold B. 1944. "Native Tribunals in the Gold Coast Colony." </w:t>
      </w:r>
      <w:r w:rsidRPr="00700474">
        <w:rPr>
          <w:i/>
        </w:rPr>
        <w:t>J. Comp. Legis. &amp; Int'l L. 3d ser.</w:t>
      </w:r>
      <w:r w:rsidRPr="00700474">
        <w:t xml:space="preserve"> 26:30.</w:t>
      </w:r>
    </w:p>
    <w:p w14:paraId="107EC118" w14:textId="008FF885" w:rsidR="000142C5" w:rsidRPr="00700474" w:rsidRDefault="000142C5" w:rsidP="001E280F">
      <w:pPr>
        <w:pStyle w:val="EndNoteBibliography"/>
        <w:jc w:val="left"/>
      </w:pPr>
      <w:r w:rsidRPr="00700474">
        <w:t>Tweneboah, Seth. 2021. "Religion, Law, and Politics in Ghana: Duab</w:t>
      </w:r>
      <w:r w:rsidR="005E215C" w:rsidRPr="00700474">
        <w:t>o</w:t>
      </w:r>
      <w:r w:rsidRPr="00700474">
        <w:t xml:space="preserve"> (Imprecation) as Spiritual Justice in the Public Sphere." </w:t>
      </w:r>
      <w:r w:rsidRPr="00700474">
        <w:rPr>
          <w:i/>
        </w:rPr>
        <w:t>African Journal of Legal Studies</w:t>
      </w:r>
      <w:r w:rsidRPr="00700474">
        <w:t xml:space="preserve"> 14(2):209-29.</w:t>
      </w:r>
    </w:p>
    <w:p w14:paraId="028CE534" w14:textId="353222A9" w:rsidR="000142C5" w:rsidRPr="00700474" w:rsidRDefault="000142C5" w:rsidP="001E280F">
      <w:pPr>
        <w:pStyle w:val="EndNoteBibliography"/>
        <w:jc w:val="left"/>
      </w:pPr>
      <w:r w:rsidRPr="00700474">
        <w:t>Twumasi, Ismael. 2023. Ban on corporal punishment in schools the views of basic school teachers in Wassa Amenfi West Municipality, Ghana.Doctoral dissertation, University of Education, Winneba.</w:t>
      </w:r>
    </w:p>
    <w:p w14:paraId="5EA94709" w14:textId="77777777" w:rsidR="000142C5" w:rsidRPr="00700474" w:rsidRDefault="000142C5" w:rsidP="001E280F">
      <w:pPr>
        <w:pStyle w:val="EndNoteBibliography"/>
        <w:jc w:val="left"/>
      </w:pPr>
      <w:r w:rsidRPr="00700474">
        <w:t xml:space="preserve">Ukala, Chinyere Catherine. 2018. "Students’ Perception of Discipline in Public Secondary Schools in Rivers State, Nigeria." </w:t>
      </w:r>
      <w:r w:rsidRPr="00700474">
        <w:rPr>
          <w:i/>
          <w:iCs/>
        </w:rPr>
        <w:t>European Journal of Research in Social Sciences</w:t>
      </w:r>
      <w:r w:rsidRPr="00700474">
        <w:t xml:space="preserve"> 6(3).</w:t>
      </w:r>
    </w:p>
    <w:p w14:paraId="50FF7FC1" w14:textId="77777777" w:rsidR="000142C5" w:rsidRPr="00700474" w:rsidRDefault="000142C5" w:rsidP="001E280F">
      <w:pPr>
        <w:pStyle w:val="EndNoteBibliography"/>
        <w:jc w:val="left"/>
      </w:pPr>
      <w:r w:rsidRPr="00700474">
        <w:lastRenderedPageBreak/>
        <w:t xml:space="preserve">Vold, George B., Thomas J. Bernard, Jeffrey B. Snipes, and Alexander L. Gerould. 2010. </w:t>
      </w:r>
      <w:r w:rsidRPr="00700474">
        <w:rPr>
          <w:i/>
          <w:iCs/>
        </w:rPr>
        <w:t>Vold's Theoretical Criminology.</w:t>
      </w:r>
      <w:r w:rsidRPr="00700474">
        <w:t xml:space="preserve"> 6th ed. New York: Oxford University Press.</w:t>
      </w:r>
    </w:p>
    <w:p w14:paraId="2A7A81F7" w14:textId="77777777" w:rsidR="000142C5" w:rsidRPr="00700474" w:rsidRDefault="000142C5" w:rsidP="001E280F">
      <w:pPr>
        <w:pStyle w:val="EndNoteBibliography"/>
      </w:pPr>
      <w:r w:rsidRPr="00700474">
        <w:t xml:space="preserve">Vallerand, Robert J., Paul Deshaies, Jean-Pierre Cuerrier, Luc G. Pelletier, and Claude Mongeau. 1992. “Ajzen and Fishbein's Theory of Reasoned Action as Applied to Moral Behavior: A Confirmatory Analysis.” </w:t>
      </w:r>
      <w:r w:rsidRPr="00700474">
        <w:rPr>
          <w:i/>
          <w:iCs/>
        </w:rPr>
        <w:t>Journal of Personality and Social Psychology</w:t>
      </w:r>
      <w:r w:rsidRPr="00700474">
        <w:t xml:space="preserve"> 62(1):98–109</w:t>
      </w:r>
    </w:p>
    <w:p w14:paraId="6A77E75E" w14:textId="77777777" w:rsidR="000142C5" w:rsidRPr="00700474" w:rsidRDefault="000142C5" w:rsidP="001E280F">
      <w:pPr>
        <w:pStyle w:val="EndNoteBibliography"/>
        <w:jc w:val="left"/>
      </w:pPr>
      <w:r w:rsidRPr="00700474">
        <w:t xml:space="preserve">Wiafe, Emmanuel Agyapong. 2021. "Willingness of employers to employ ex-convicts among selected SMEs in the western region of Ghana." </w:t>
      </w:r>
      <w:r w:rsidRPr="00700474">
        <w:rPr>
          <w:i/>
        </w:rPr>
        <w:t>Cogent social sciences</w:t>
      </w:r>
      <w:r w:rsidRPr="00700474">
        <w:t xml:space="preserve"> 7(1).</w:t>
      </w:r>
    </w:p>
    <w:p w14:paraId="6E9CFA1C" w14:textId="77777777" w:rsidR="000142C5" w:rsidRPr="00700474" w:rsidRDefault="000142C5" w:rsidP="001E280F">
      <w:pPr>
        <w:pStyle w:val="EndNoteBibliography"/>
        <w:jc w:val="left"/>
      </w:pPr>
      <w:r w:rsidRPr="00700474">
        <w:t xml:space="preserve">Winterdyk, John. 2022. "Comparative Criminology and Criminal Justice within the African Continent." </w:t>
      </w:r>
      <w:r w:rsidRPr="00700474">
        <w:rPr>
          <w:i/>
          <w:iCs/>
        </w:rPr>
        <w:t>Strathmore Law Journal</w:t>
      </w:r>
      <w:r w:rsidRPr="00700474">
        <w:t xml:space="preserve"> 6(1):47–70. </w:t>
      </w:r>
      <w:hyperlink r:id="rId12" w:tgtFrame="_new" w:history="1">
        <w:r w:rsidRPr="00700474">
          <w:rPr>
            <w:rStyle w:val="Hyperlink"/>
            <w:color w:val="000000" w:themeColor="text1"/>
          </w:rPr>
          <w:t>https://doi.org/10.52907/slj.v6i1.157</w:t>
        </w:r>
      </w:hyperlink>
    </w:p>
    <w:p w14:paraId="3D31DB51" w14:textId="77777777" w:rsidR="000142C5" w:rsidRPr="00700474" w:rsidRDefault="000142C5" w:rsidP="001E280F">
      <w:pPr>
        <w:pStyle w:val="EndNoteBibliography"/>
        <w:jc w:val="left"/>
      </w:pPr>
      <w:r w:rsidRPr="00700474">
        <w:t>Yeboah, Douglas. 2020. Teachers' perceptions of the abolition of caning in Ghanaian schools. </w:t>
      </w:r>
      <w:r w:rsidRPr="00700474">
        <w:rPr>
          <w:i/>
          <w:iCs/>
        </w:rPr>
        <w:t>Issues in Educational Research</w:t>
      </w:r>
      <w:r w:rsidRPr="00700474">
        <w:t>, </w:t>
      </w:r>
      <w:r w:rsidRPr="00700474">
        <w:rPr>
          <w:i/>
          <w:iCs/>
        </w:rPr>
        <w:t>30</w:t>
      </w:r>
      <w:r w:rsidRPr="00700474">
        <w:t>(1), pp.379-395.</w:t>
      </w:r>
    </w:p>
    <w:p w14:paraId="6A27EBE1" w14:textId="77777777" w:rsidR="000142C5" w:rsidRPr="00700474" w:rsidRDefault="000142C5" w:rsidP="001E280F">
      <w:pPr>
        <w:pStyle w:val="EndNoteBibliography"/>
        <w:jc w:val="left"/>
      </w:pPr>
      <w:r w:rsidRPr="00700474">
        <w:t xml:space="preserve">Yeboah-Assiamah, Emmanuel and Thomas Agyekum Kyeremeh. 2014. "A Critical Assessment of Public Administration and Civil Disobedience in Developing African Democracies: An Institutional Analysis of Mob Justice in Ghana." </w:t>
      </w:r>
      <w:r w:rsidRPr="00700474">
        <w:rPr>
          <w:i/>
        </w:rPr>
        <w:t>Journal of Law, Policy and Globalization</w:t>
      </w:r>
      <w:r w:rsidRPr="00700474">
        <w:t xml:space="preserve"> 28:1-11.</w:t>
      </w:r>
    </w:p>
    <w:p w14:paraId="0F04E5ED" w14:textId="77777777" w:rsidR="000142C5" w:rsidRPr="00700474" w:rsidRDefault="000142C5" w:rsidP="001E280F">
      <w:pPr>
        <w:pStyle w:val="EndNoteBibliography"/>
        <w:jc w:val="left"/>
      </w:pPr>
      <w:r w:rsidRPr="00700474">
        <w:t xml:space="preserve">Zhang, Peihua, and Fung Fai Ng. 2012. "Attitude Toward Knowledge Sharing in Construction Teams." </w:t>
      </w:r>
      <w:r w:rsidRPr="00700474">
        <w:rPr>
          <w:i/>
          <w:iCs/>
        </w:rPr>
        <w:t>Industrial Management &amp; Data Systems</w:t>
      </w:r>
      <w:r w:rsidRPr="00700474">
        <w:t xml:space="preserve"> 112(9):1326–1347.</w:t>
      </w:r>
    </w:p>
    <w:p w14:paraId="69A21F94" w14:textId="77777777" w:rsidR="000142C5" w:rsidRPr="00700474" w:rsidRDefault="000142C5" w:rsidP="001E280F">
      <w:pPr>
        <w:pStyle w:val="EndNoteBibliography"/>
        <w:jc w:val="left"/>
      </w:pPr>
      <w:r w:rsidRPr="00700474">
        <w:t>Zehr, Howard. 1990. Changing Lenses: A New Focus for Crime and Justice: Herald Press.</w:t>
      </w:r>
    </w:p>
    <w:p w14:paraId="34B96A03" w14:textId="6989102D" w:rsidR="000142C5" w:rsidRDefault="000142C5" w:rsidP="00F52300">
      <w:pPr>
        <w:pStyle w:val="EndNoteBibliography"/>
        <w:jc w:val="left"/>
      </w:pPr>
      <w:r w:rsidRPr="00700474">
        <w:fldChar w:fldCharType="end"/>
      </w:r>
    </w:p>
    <w:p w14:paraId="57D3A3BD" w14:textId="77777777" w:rsidR="00F52300" w:rsidRDefault="00F52300" w:rsidP="00F52300">
      <w:pPr>
        <w:pStyle w:val="EndNoteBibliography"/>
        <w:jc w:val="left"/>
      </w:pPr>
    </w:p>
    <w:p w14:paraId="6658A018" w14:textId="77777777" w:rsidR="00F52300" w:rsidRPr="00700474" w:rsidRDefault="00F52300" w:rsidP="00F52300">
      <w:pPr>
        <w:pStyle w:val="EndNoteBibliography"/>
        <w:jc w:val="left"/>
      </w:pPr>
    </w:p>
    <w:p w14:paraId="483FE554" w14:textId="77777777" w:rsidR="000142C5" w:rsidRPr="00700474" w:rsidRDefault="000142C5" w:rsidP="001E280F">
      <w:pPr>
        <w:spacing w:line="240" w:lineRule="auto"/>
        <w:jc w:val="both"/>
      </w:pPr>
    </w:p>
    <w:p w14:paraId="343D5C18" w14:textId="77777777" w:rsidR="001E280F" w:rsidRPr="00700474" w:rsidRDefault="001E280F" w:rsidP="001E280F">
      <w:pPr>
        <w:spacing w:line="240" w:lineRule="auto"/>
        <w:jc w:val="both"/>
      </w:pPr>
    </w:p>
    <w:p w14:paraId="46E5484E" w14:textId="77777777" w:rsidR="001E280F" w:rsidRPr="00700474" w:rsidRDefault="001E280F" w:rsidP="001E280F">
      <w:pPr>
        <w:spacing w:after="160" w:line="259" w:lineRule="auto"/>
        <w:rPr>
          <w:b/>
          <w:bCs/>
        </w:rPr>
      </w:pPr>
    </w:p>
    <w:p w14:paraId="0D4F6F50" w14:textId="5F687F37" w:rsidR="002B2A02" w:rsidRPr="00700474" w:rsidRDefault="005A68CE" w:rsidP="00F52300">
      <w:pPr>
        <w:rPr>
          <w:rFonts w:eastAsiaTheme="majorEastAsia"/>
          <w:spacing w:val="-10"/>
          <w:kern w:val="28"/>
        </w:rPr>
      </w:pPr>
      <w:r w:rsidRPr="00700474">
        <w:rPr>
          <w:b/>
          <w:bCs/>
        </w:rPr>
        <w:lastRenderedPageBreak/>
        <w:t>APPENDIX</w:t>
      </w:r>
    </w:p>
    <w:p w14:paraId="647DAD6A" w14:textId="1952707C" w:rsidR="002B2A02" w:rsidRPr="00700474" w:rsidRDefault="005A68CE" w:rsidP="00F52300">
      <w:pPr>
        <w:pStyle w:val="Heading1"/>
        <w:spacing w:before="0" w:after="0"/>
        <w:rPr>
          <w:rFonts w:ascii="Times New Roman" w:hAnsi="Times New Roman" w:cs="Times New Roman"/>
          <w:b/>
          <w:bCs/>
          <w:color w:val="000000" w:themeColor="text1"/>
          <w:sz w:val="24"/>
          <w:szCs w:val="24"/>
          <w:shd w:val="clear" w:color="auto" w:fill="FFFFFF"/>
        </w:rPr>
      </w:pPr>
      <w:bookmarkStart w:id="53" w:name="_Toc204092881"/>
      <w:r w:rsidRPr="00700474">
        <w:rPr>
          <w:rFonts w:ascii="Times New Roman" w:hAnsi="Times New Roman" w:cs="Times New Roman"/>
          <w:b/>
          <w:bCs/>
          <w:color w:val="000000" w:themeColor="text1"/>
          <w:sz w:val="24"/>
          <w:szCs w:val="24"/>
          <w:shd w:val="clear" w:color="auto" w:fill="FFFFFF"/>
        </w:rPr>
        <w:t>APPENDIX A</w:t>
      </w:r>
      <w:bookmarkEnd w:id="53"/>
    </w:p>
    <w:p w14:paraId="6DC4A9F2" w14:textId="73F3A354" w:rsidR="002B2A02" w:rsidRPr="00700474" w:rsidRDefault="005A68CE" w:rsidP="00F52300">
      <w:pPr>
        <w:pStyle w:val="Heading1"/>
        <w:spacing w:before="0" w:after="0"/>
        <w:rPr>
          <w:rFonts w:ascii="Times New Roman" w:hAnsi="Times New Roman" w:cs="Times New Roman"/>
          <w:b/>
          <w:bCs/>
          <w:color w:val="000000" w:themeColor="text1"/>
          <w:sz w:val="24"/>
          <w:szCs w:val="24"/>
        </w:rPr>
      </w:pPr>
      <w:bookmarkStart w:id="54" w:name="_Toc204092882"/>
      <w:r w:rsidRPr="00700474">
        <w:rPr>
          <w:rFonts w:ascii="Times New Roman" w:hAnsi="Times New Roman" w:cs="Times New Roman"/>
          <w:b/>
          <w:bCs/>
          <w:color w:val="000000" w:themeColor="text1"/>
          <w:sz w:val="24"/>
          <w:szCs w:val="24"/>
          <w:shd w:val="clear" w:color="auto" w:fill="FFFFFF"/>
        </w:rPr>
        <w:t>R</w:t>
      </w:r>
      <w:r w:rsidRPr="00700474">
        <w:rPr>
          <w:rFonts w:ascii="Times New Roman" w:hAnsi="Times New Roman" w:cs="Times New Roman"/>
          <w:b/>
          <w:bCs/>
          <w:color w:val="000000" w:themeColor="text1"/>
          <w:sz w:val="24"/>
          <w:szCs w:val="24"/>
        </w:rPr>
        <w:t>ECRUITMENT STATEMENT</w:t>
      </w:r>
      <w:bookmarkEnd w:id="54"/>
    </w:p>
    <w:p w14:paraId="3FAA9EC5" w14:textId="38238EC3" w:rsidR="002B2A02" w:rsidRPr="00700474" w:rsidRDefault="002B2A02" w:rsidP="00A965CC">
      <w:pPr>
        <w:pStyle w:val="ListParagraph"/>
        <w:spacing w:line="240" w:lineRule="auto"/>
        <w:jc w:val="left"/>
      </w:pPr>
      <w:r w:rsidRPr="00700474">
        <w:t xml:space="preserve">I am inviting you to be a part of my research titled Ghana’s Punitiveness: A Narrative Criminological Approach. The purpose of this research is to explore attitudes/opinions about the punitive culture of punishment in Ghana. To participate in this research, you must be a Ghanaian, resident </w:t>
      </w:r>
      <w:r w:rsidRPr="00700474">
        <w:rPr>
          <w:rFonts w:eastAsia="Times New Roman"/>
          <w:kern w:val="0"/>
          <w14:ligatures w14:val="none"/>
        </w:rPr>
        <w:t xml:space="preserve">in Ghana </w:t>
      </w:r>
      <w:r w:rsidRPr="00700474">
        <w:t>and 18 years or older. If you agree to be in the study, you will be interviewed, and this interview will last between 25-45mins. This research is being conducted in partial fulfillment of a Ph.D. degree at the University of Tennessee, Knoxville. If you have questions or concerns about this research or have experienced a research-related problem or injury, contact the researcher:</w:t>
      </w:r>
    </w:p>
    <w:p w14:paraId="0F99D212" w14:textId="77777777" w:rsidR="002B2A02" w:rsidRPr="00700474" w:rsidRDefault="002B2A02" w:rsidP="00A965CC">
      <w:pPr>
        <w:pStyle w:val="ListParagraph"/>
        <w:numPr>
          <w:ilvl w:val="0"/>
          <w:numId w:val="3"/>
        </w:numPr>
        <w:spacing w:line="240" w:lineRule="auto"/>
        <w:jc w:val="left"/>
      </w:pPr>
      <w:r w:rsidRPr="00700474">
        <w:t>Researcher’s Contact Details:</w:t>
      </w:r>
    </w:p>
    <w:p w14:paraId="1B1CC299" w14:textId="77777777" w:rsidR="002B2A02" w:rsidRPr="00700474" w:rsidRDefault="002B2A02" w:rsidP="00A965CC">
      <w:pPr>
        <w:spacing w:line="240" w:lineRule="auto"/>
        <w:jc w:val="left"/>
      </w:pPr>
    </w:p>
    <w:p w14:paraId="39623B0E" w14:textId="77777777" w:rsidR="002B2A02" w:rsidRPr="00700474" w:rsidRDefault="002B2A02" w:rsidP="00A965CC">
      <w:pPr>
        <w:spacing w:line="240" w:lineRule="auto"/>
        <w:jc w:val="left"/>
      </w:pPr>
      <w:r w:rsidRPr="00700474">
        <w:t>Primary Investigator: Stella Korleki Ashong</w:t>
      </w:r>
    </w:p>
    <w:p w14:paraId="088048E7" w14:textId="77777777" w:rsidR="002B2A02" w:rsidRPr="00700474" w:rsidRDefault="002B2A02" w:rsidP="00A965CC">
      <w:pPr>
        <w:spacing w:line="240" w:lineRule="auto"/>
        <w:jc w:val="left"/>
      </w:pPr>
      <w:r w:rsidRPr="00700474">
        <w:t>Email: Sapenkro@vols.utk.edu</w:t>
      </w:r>
    </w:p>
    <w:p w14:paraId="3C797DF7" w14:textId="77777777" w:rsidR="002B2A02" w:rsidRPr="00700474" w:rsidRDefault="002B2A02" w:rsidP="00A965CC">
      <w:pPr>
        <w:spacing w:line="240" w:lineRule="auto"/>
        <w:jc w:val="left"/>
      </w:pPr>
      <w:r w:rsidRPr="00700474">
        <w:t xml:space="preserve">Telephone: 9282254578/ 233246185315 </w:t>
      </w:r>
    </w:p>
    <w:p w14:paraId="1BE2417A" w14:textId="77777777" w:rsidR="002B2A02" w:rsidRPr="00700474" w:rsidRDefault="002B2A02" w:rsidP="00A965CC">
      <w:pPr>
        <w:spacing w:line="240" w:lineRule="auto"/>
        <w:jc w:val="left"/>
      </w:pPr>
      <w:r w:rsidRPr="00700474">
        <w:t xml:space="preserve">                       Or</w:t>
      </w:r>
    </w:p>
    <w:p w14:paraId="51F6A981" w14:textId="77777777" w:rsidR="002B2A02" w:rsidRPr="00700474" w:rsidRDefault="002B2A02" w:rsidP="00A965CC">
      <w:pPr>
        <w:pStyle w:val="ListParagraph"/>
        <w:numPr>
          <w:ilvl w:val="0"/>
          <w:numId w:val="9"/>
        </w:numPr>
        <w:spacing w:line="240" w:lineRule="auto"/>
        <w:jc w:val="left"/>
      </w:pPr>
      <w:r w:rsidRPr="00700474">
        <w:t>Faculty Advisor:</w:t>
      </w:r>
    </w:p>
    <w:p w14:paraId="7ED19EF0" w14:textId="77777777" w:rsidR="002B2A02" w:rsidRPr="00700474" w:rsidRDefault="002B2A02" w:rsidP="00A965CC">
      <w:pPr>
        <w:spacing w:line="240" w:lineRule="auto"/>
        <w:jc w:val="left"/>
      </w:pPr>
      <w:r w:rsidRPr="00700474">
        <w:t>Faculty Advisor: Dr. Lois Presser</w:t>
      </w:r>
    </w:p>
    <w:p w14:paraId="7D861FC5" w14:textId="0171B264" w:rsidR="002B2A02" w:rsidRPr="00700474" w:rsidRDefault="002B2A02" w:rsidP="00A965CC">
      <w:pPr>
        <w:spacing w:line="240" w:lineRule="auto"/>
        <w:jc w:val="left"/>
      </w:pPr>
      <w:r w:rsidRPr="00700474">
        <w:t xml:space="preserve">Email: </w:t>
      </w:r>
      <w:hyperlink r:id="rId13" w:history="1">
        <w:r w:rsidRPr="00700474">
          <w:rPr>
            <w:rStyle w:val="Hyperlink"/>
            <w:color w:val="000000" w:themeColor="text1"/>
          </w:rPr>
          <w:t>lpresser@utk.edu</w:t>
        </w:r>
      </w:hyperlink>
    </w:p>
    <w:p w14:paraId="0F6401AE" w14:textId="77777777" w:rsidR="00A965CC" w:rsidRPr="00700474" w:rsidRDefault="00A965CC" w:rsidP="00825D8A">
      <w:pPr>
        <w:jc w:val="left"/>
      </w:pPr>
    </w:p>
    <w:p w14:paraId="6486A13A" w14:textId="77777777" w:rsidR="00A965CC" w:rsidRPr="00700474" w:rsidRDefault="00A965CC" w:rsidP="00825D8A">
      <w:pPr>
        <w:jc w:val="left"/>
      </w:pPr>
    </w:p>
    <w:p w14:paraId="1A02A9E6" w14:textId="77777777" w:rsidR="00A965CC" w:rsidRPr="00700474" w:rsidRDefault="00A965CC" w:rsidP="00825D8A">
      <w:pPr>
        <w:jc w:val="left"/>
      </w:pPr>
    </w:p>
    <w:p w14:paraId="7745BF5E" w14:textId="77777777" w:rsidR="00A965CC" w:rsidRPr="00700474" w:rsidRDefault="00A965CC" w:rsidP="00825D8A">
      <w:pPr>
        <w:jc w:val="left"/>
      </w:pPr>
    </w:p>
    <w:p w14:paraId="1A636CD4" w14:textId="77777777" w:rsidR="00A965CC" w:rsidRPr="00700474" w:rsidRDefault="00A965CC">
      <w:pPr>
        <w:spacing w:after="160" w:line="259" w:lineRule="auto"/>
        <w:jc w:val="left"/>
      </w:pPr>
      <w:r w:rsidRPr="00700474">
        <w:br w:type="page"/>
      </w:r>
    </w:p>
    <w:p w14:paraId="1D7DCA0C" w14:textId="49CB6160" w:rsidR="002B2A02" w:rsidRPr="00700474" w:rsidRDefault="005A68CE" w:rsidP="00F52300">
      <w:pPr>
        <w:pStyle w:val="Heading1"/>
        <w:spacing w:before="0" w:after="0"/>
        <w:rPr>
          <w:rFonts w:ascii="Times New Roman" w:hAnsi="Times New Roman" w:cs="Times New Roman"/>
          <w:b/>
          <w:bCs/>
          <w:color w:val="000000" w:themeColor="text1"/>
          <w:sz w:val="24"/>
          <w:szCs w:val="24"/>
        </w:rPr>
      </w:pPr>
      <w:bookmarkStart w:id="55" w:name="_Toc204092883"/>
      <w:r w:rsidRPr="00700474">
        <w:rPr>
          <w:rFonts w:ascii="Times New Roman" w:hAnsi="Times New Roman" w:cs="Times New Roman"/>
          <w:b/>
          <w:bCs/>
          <w:color w:val="000000" w:themeColor="text1"/>
          <w:sz w:val="24"/>
          <w:szCs w:val="24"/>
        </w:rPr>
        <w:lastRenderedPageBreak/>
        <w:t>APPENDIX B</w:t>
      </w:r>
      <w:bookmarkEnd w:id="55"/>
    </w:p>
    <w:p w14:paraId="5178A8B1" w14:textId="563DB2AF" w:rsidR="002B2A02" w:rsidRPr="00700474" w:rsidRDefault="005A68CE" w:rsidP="00F52300">
      <w:pPr>
        <w:pStyle w:val="Heading1"/>
        <w:spacing w:before="0" w:after="0"/>
        <w:rPr>
          <w:rFonts w:ascii="Times New Roman" w:hAnsi="Times New Roman" w:cs="Times New Roman"/>
          <w:b/>
          <w:bCs/>
          <w:color w:val="000000" w:themeColor="text1"/>
          <w:sz w:val="24"/>
          <w:szCs w:val="24"/>
        </w:rPr>
      </w:pPr>
      <w:r w:rsidRPr="00700474">
        <w:rPr>
          <w:rFonts w:ascii="Times New Roman" w:hAnsi="Times New Roman" w:cs="Times New Roman"/>
          <w:b/>
          <w:bCs/>
          <w:color w:val="000000" w:themeColor="text1"/>
          <w:sz w:val="24"/>
          <w:szCs w:val="24"/>
        </w:rPr>
        <w:t xml:space="preserve"> </w:t>
      </w:r>
      <w:bookmarkStart w:id="56" w:name="_Toc204092884"/>
      <w:r w:rsidRPr="00700474">
        <w:rPr>
          <w:rFonts w:ascii="Times New Roman" w:hAnsi="Times New Roman" w:cs="Times New Roman"/>
          <w:b/>
          <w:bCs/>
          <w:color w:val="000000" w:themeColor="text1"/>
          <w:sz w:val="24"/>
          <w:szCs w:val="24"/>
        </w:rPr>
        <w:t>CONSENT FORM</w:t>
      </w:r>
      <w:bookmarkEnd w:id="56"/>
    </w:p>
    <w:p w14:paraId="33A0878C" w14:textId="7352C965" w:rsidR="002B2A02" w:rsidRPr="00700474" w:rsidRDefault="005A68CE" w:rsidP="00F52300">
      <w:pPr>
        <w:pStyle w:val="Heading1"/>
        <w:spacing w:before="0" w:after="0"/>
        <w:rPr>
          <w:rFonts w:ascii="Times New Roman" w:hAnsi="Times New Roman" w:cs="Times New Roman"/>
          <w:b/>
          <w:bCs/>
          <w:color w:val="000000" w:themeColor="text1"/>
          <w:sz w:val="24"/>
          <w:szCs w:val="24"/>
        </w:rPr>
      </w:pPr>
      <w:bookmarkStart w:id="57" w:name="_Toc204092885"/>
      <w:r w:rsidRPr="00700474">
        <w:rPr>
          <w:rFonts w:ascii="Times New Roman" w:hAnsi="Times New Roman" w:cs="Times New Roman"/>
          <w:b/>
          <w:bCs/>
          <w:color w:val="000000" w:themeColor="text1"/>
          <w:sz w:val="24"/>
          <w:szCs w:val="24"/>
        </w:rPr>
        <w:t>CONSENT FOR RESEARCH PARTICIPATION</w:t>
      </w:r>
      <w:bookmarkEnd w:id="57"/>
    </w:p>
    <w:p w14:paraId="307CC493" w14:textId="76A5A193" w:rsidR="002B2A02" w:rsidRPr="00700474" w:rsidRDefault="002B2A02" w:rsidP="00A965CC">
      <w:pPr>
        <w:spacing w:line="240" w:lineRule="auto"/>
        <w:jc w:val="left"/>
      </w:pPr>
      <w:r w:rsidRPr="00700474">
        <w:rPr>
          <w:b/>
          <w:bCs/>
        </w:rPr>
        <w:t>Research Study Title:</w:t>
      </w:r>
      <w:r w:rsidRPr="00700474">
        <w:t xml:space="preserve"> Unpacking Ghana’s Punitiveness: A Narrative </w:t>
      </w:r>
    </w:p>
    <w:p w14:paraId="3D8E1684" w14:textId="77777777" w:rsidR="002B2A02" w:rsidRPr="00700474" w:rsidRDefault="002B2A02" w:rsidP="00A965CC">
      <w:pPr>
        <w:spacing w:line="240" w:lineRule="auto"/>
        <w:jc w:val="left"/>
      </w:pPr>
      <w:r w:rsidRPr="00700474">
        <w:rPr>
          <w:b/>
          <w:bCs/>
        </w:rPr>
        <w:t>Researcher:</w:t>
      </w:r>
      <w:r w:rsidRPr="00700474">
        <w:t xml:space="preserve"> Stella Korleki Ashong, University of Tennessee, Knoxville</w:t>
      </w:r>
    </w:p>
    <w:p w14:paraId="0F029B00" w14:textId="77777777" w:rsidR="002B2A02" w:rsidRPr="00700474" w:rsidRDefault="002B2A02" w:rsidP="00A965CC">
      <w:pPr>
        <w:spacing w:line="240" w:lineRule="auto"/>
        <w:jc w:val="left"/>
      </w:pPr>
      <w:r w:rsidRPr="00700474">
        <w:rPr>
          <w:b/>
          <w:bCs/>
        </w:rPr>
        <w:t>Faculty Advisor:</w:t>
      </w:r>
      <w:r w:rsidRPr="00700474">
        <w:t xml:space="preserve"> Dr. Lois Presser, University of Tennessee, Knoxville       </w:t>
      </w:r>
    </w:p>
    <w:p w14:paraId="720108B1" w14:textId="77777777" w:rsidR="002B2A02" w:rsidRPr="00700474" w:rsidRDefault="002B2A02" w:rsidP="00A965CC">
      <w:pPr>
        <w:spacing w:line="240" w:lineRule="auto"/>
        <w:jc w:val="left"/>
      </w:pPr>
    </w:p>
    <w:p w14:paraId="2CB76942" w14:textId="77777777" w:rsidR="002B2A02" w:rsidRPr="00700474" w:rsidRDefault="002B2A02" w:rsidP="00A965CC">
      <w:pPr>
        <w:spacing w:line="240" w:lineRule="auto"/>
        <w:jc w:val="left"/>
      </w:pPr>
    </w:p>
    <w:p w14:paraId="134DE5AA" w14:textId="77777777" w:rsidR="002B2A02" w:rsidRPr="00700474" w:rsidRDefault="002B2A02" w:rsidP="00A965CC">
      <w:pPr>
        <w:spacing w:line="240" w:lineRule="auto"/>
        <w:jc w:val="left"/>
      </w:pPr>
      <w:r w:rsidRPr="00700474">
        <w:t>I am asking you to be in this research study because you are either a citizen of  and resident in Ghana and are 18 years or older. The information in this consent form is to help you decide if you want to be in this research study. Please take your time reading this form and contact the researcher to ask questions if there is anything you do not understand.</w:t>
      </w:r>
    </w:p>
    <w:p w14:paraId="2E7078AF" w14:textId="77777777" w:rsidR="002B2A02" w:rsidRPr="00700474" w:rsidRDefault="002B2A02" w:rsidP="00A965CC">
      <w:pPr>
        <w:spacing w:line="240" w:lineRule="auto"/>
        <w:jc w:val="left"/>
      </w:pPr>
    </w:p>
    <w:p w14:paraId="4B7CD963" w14:textId="38CA5A1A" w:rsidR="002B2A02" w:rsidRPr="00700474" w:rsidRDefault="002B2A02" w:rsidP="00A965CC">
      <w:pPr>
        <w:spacing w:line="240" w:lineRule="auto"/>
        <w:jc w:val="left"/>
      </w:pPr>
      <w:r w:rsidRPr="00700474">
        <w:t>Why is the research being done?</w:t>
      </w:r>
    </w:p>
    <w:p w14:paraId="0FAC8A5A" w14:textId="77777777" w:rsidR="002B2A02" w:rsidRPr="00700474" w:rsidRDefault="002B2A02" w:rsidP="00A965CC">
      <w:pPr>
        <w:spacing w:line="240" w:lineRule="auto"/>
        <w:jc w:val="left"/>
      </w:pPr>
      <w:r w:rsidRPr="00700474">
        <w:t>The purpose of this study to ascertain (a) why Ghana’s punishment culture is punitive. The research is framed by narrative criminology in its attention to how stories constitute harm and, in this context, how stories ground punitiveness on so-called offenders/deviants in Ghana.</w:t>
      </w:r>
    </w:p>
    <w:p w14:paraId="26E4F1F8" w14:textId="77777777" w:rsidR="005A68CE" w:rsidRPr="00700474" w:rsidRDefault="005A68CE" w:rsidP="00A965CC">
      <w:pPr>
        <w:spacing w:line="240" w:lineRule="auto"/>
        <w:jc w:val="left"/>
      </w:pPr>
    </w:p>
    <w:p w14:paraId="7E618486" w14:textId="47BFDF43" w:rsidR="002B2A02" w:rsidRPr="00700474" w:rsidRDefault="002B2A02" w:rsidP="00A965CC">
      <w:pPr>
        <w:spacing w:line="240" w:lineRule="auto"/>
        <w:jc w:val="left"/>
      </w:pPr>
      <w:r w:rsidRPr="00700474">
        <w:t>What will I do in this study?</w:t>
      </w:r>
    </w:p>
    <w:p w14:paraId="7E25F2A0" w14:textId="77777777" w:rsidR="002B2A02" w:rsidRPr="00700474" w:rsidRDefault="002B2A02" w:rsidP="00A965CC">
      <w:pPr>
        <w:spacing w:line="240" w:lineRule="auto"/>
        <w:jc w:val="left"/>
      </w:pPr>
    </w:p>
    <w:p w14:paraId="1133469D" w14:textId="123489CD" w:rsidR="002B2A02" w:rsidRPr="00700474" w:rsidRDefault="002B2A02" w:rsidP="00A965CC">
      <w:pPr>
        <w:pStyle w:val="NormalWeb"/>
        <w:spacing w:line="240" w:lineRule="auto"/>
        <w:jc w:val="left"/>
      </w:pPr>
      <w:r w:rsidRPr="00700474">
        <w:t>If you agree to be in this study, an interview will be conducted, and I will ask you to share your thoughts on Ghana punitiveness.</w:t>
      </w:r>
    </w:p>
    <w:p w14:paraId="77289F71" w14:textId="77777777" w:rsidR="002B2A02" w:rsidRPr="00700474" w:rsidRDefault="002B2A02" w:rsidP="00A965CC">
      <w:pPr>
        <w:pStyle w:val="ListParagraph"/>
        <w:numPr>
          <w:ilvl w:val="0"/>
          <w:numId w:val="7"/>
        </w:numPr>
        <w:spacing w:line="240" w:lineRule="auto"/>
        <w:jc w:val="left"/>
      </w:pPr>
      <w:r w:rsidRPr="00700474">
        <w:t xml:space="preserve">The date and location of the interview will be at your own choosing/convenience(private space such as your home or a space of your choosing) </w:t>
      </w:r>
    </w:p>
    <w:p w14:paraId="6C79AAE8" w14:textId="77777777" w:rsidR="002B2A02" w:rsidRPr="00700474" w:rsidRDefault="002B2A02" w:rsidP="00A965CC">
      <w:pPr>
        <w:pStyle w:val="ListParagraph"/>
        <w:numPr>
          <w:ilvl w:val="0"/>
          <w:numId w:val="7"/>
        </w:numPr>
        <w:spacing w:line="240" w:lineRule="auto"/>
        <w:jc w:val="left"/>
      </w:pPr>
      <w:r w:rsidRPr="00700474">
        <w:t>There will be an audio recording of the interview.</w:t>
      </w:r>
    </w:p>
    <w:p w14:paraId="2046798A" w14:textId="77777777" w:rsidR="005A68CE" w:rsidRPr="00700474" w:rsidRDefault="002B2A02" w:rsidP="00A965CC">
      <w:pPr>
        <w:pStyle w:val="ListParagraph"/>
        <w:numPr>
          <w:ilvl w:val="0"/>
          <w:numId w:val="7"/>
        </w:numPr>
        <w:spacing w:line="240" w:lineRule="auto"/>
        <w:jc w:val="left"/>
      </w:pPr>
      <w:r w:rsidRPr="00700474">
        <w:t>At the end of the interview, I would ask you to refer someone you know who is a Ghanaian, resides in Ghana, and is 18 years and above to participate in this researc</w:t>
      </w:r>
      <w:r w:rsidR="005A68CE" w:rsidRPr="00700474">
        <w:t>H</w:t>
      </w:r>
      <w:r w:rsidRPr="00700474">
        <w:tab/>
      </w:r>
      <w:r w:rsidRPr="00700474">
        <w:tab/>
      </w:r>
      <w:r w:rsidRPr="00700474">
        <w:tab/>
      </w:r>
      <w:r w:rsidRPr="00700474">
        <w:tab/>
      </w:r>
      <w:r w:rsidRPr="00700474">
        <w:tab/>
      </w:r>
      <w:r w:rsidRPr="00700474">
        <w:tab/>
      </w:r>
    </w:p>
    <w:p w14:paraId="6688D591" w14:textId="4A9D5E39" w:rsidR="002B2A02" w:rsidRPr="00700474" w:rsidRDefault="002B2A02" w:rsidP="00A965CC">
      <w:pPr>
        <w:spacing w:line="240" w:lineRule="auto"/>
        <w:jc w:val="left"/>
      </w:pPr>
      <w:r w:rsidRPr="00700474">
        <w:t>How long will I be in the research study?</w:t>
      </w:r>
    </w:p>
    <w:p w14:paraId="2A7614C3" w14:textId="77777777" w:rsidR="002B2A02" w:rsidRPr="00700474" w:rsidRDefault="002B2A02" w:rsidP="00A965CC">
      <w:pPr>
        <w:spacing w:line="240" w:lineRule="auto"/>
        <w:jc w:val="left"/>
      </w:pPr>
      <w:r w:rsidRPr="00700474">
        <w:t>If you agree to be in the study, your participation will last for 1 hour(maximum). However, the planned duration for the interview is between 25-45 minutes.</w:t>
      </w:r>
    </w:p>
    <w:p w14:paraId="276B1650" w14:textId="77777777" w:rsidR="00A965CC" w:rsidRPr="00700474" w:rsidRDefault="00A965CC" w:rsidP="00A965CC">
      <w:pPr>
        <w:spacing w:line="240" w:lineRule="auto"/>
        <w:jc w:val="left"/>
      </w:pPr>
    </w:p>
    <w:p w14:paraId="0F0744B3" w14:textId="4E7CDE5B" w:rsidR="002B2A02" w:rsidRPr="00700474" w:rsidRDefault="002B2A02" w:rsidP="00A965CC">
      <w:pPr>
        <w:spacing w:line="240" w:lineRule="auto"/>
        <w:jc w:val="left"/>
      </w:pPr>
      <w:r w:rsidRPr="00700474">
        <w:t xml:space="preserve">Can I say “No”? </w:t>
      </w:r>
    </w:p>
    <w:p w14:paraId="24E341EC" w14:textId="77777777" w:rsidR="002B2A02" w:rsidRPr="00700474" w:rsidRDefault="002B2A02" w:rsidP="00A965CC">
      <w:pPr>
        <w:spacing w:line="240" w:lineRule="auto"/>
        <w:jc w:val="left"/>
      </w:pPr>
      <w:r w:rsidRPr="00700474">
        <w:t>Being in this study is up to you. You can say no now or leave the study later. Either way, your decision won’t affect your relationship with the researcher.</w:t>
      </w:r>
    </w:p>
    <w:p w14:paraId="3D64CBBB" w14:textId="77777777" w:rsidR="002B2A02" w:rsidRPr="00700474" w:rsidRDefault="002B2A02" w:rsidP="00A965CC">
      <w:pPr>
        <w:spacing w:line="240" w:lineRule="auto"/>
        <w:jc w:val="left"/>
      </w:pPr>
      <w:r w:rsidRPr="00700474">
        <w:t xml:space="preserve">What happens if I say “Yes” but change my mind later? </w:t>
      </w:r>
    </w:p>
    <w:p w14:paraId="5EE8AC55" w14:textId="77777777" w:rsidR="002B2A02" w:rsidRPr="00700474" w:rsidRDefault="002B2A02" w:rsidP="00A965CC">
      <w:pPr>
        <w:spacing w:line="240" w:lineRule="auto"/>
        <w:jc w:val="left"/>
      </w:pPr>
      <w:r w:rsidRPr="00700474">
        <w:t xml:space="preserve">Even if you decide to be in the study now, you can change your mind and stop at any time. If you decide to stop before the study is completed, contact the researcher. However, if the information to discontinue is communicated to the researcher after data are de-identified and the code key is </w:t>
      </w:r>
      <w:r w:rsidRPr="00700474">
        <w:lastRenderedPageBreak/>
        <w:t xml:space="preserve">destroyed or after anonymous data are submitted, the information provided will still be processed. </w:t>
      </w:r>
    </w:p>
    <w:p w14:paraId="527617F2" w14:textId="77777777" w:rsidR="005A68CE" w:rsidRPr="00700474" w:rsidRDefault="005A68CE" w:rsidP="00A965CC">
      <w:pPr>
        <w:spacing w:line="240" w:lineRule="auto"/>
        <w:jc w:val="left"/>
      </w:pPr>
    </w:p>
    <w:p w14:paraId="6334428B" w14:textId="472ADD3C" w:rsidR="002B2A02" w:rsidRPr="00700474" w:rsidRDefault="002B2A02" w:rsidP="00A965CC">
      <w:pPr>
        <w:spacing w:line="240" w:lineRule="auto"/>
        <w:jc w:val="left"/>
      </w:pPr>
      <w:r w:rsidRPr="00700474">
        <w:t>Are there any risks to me?</w:t>
      </w:r>
    </w:p>
    <w:p w14:paraId="2F97DE23" w14:textId="0ECB4455" w:rsidR="002B2A02" w:rsidRPr="00700474" w:rsidRDefault="002B2A02" w:rsidP="00A965CC">
      <w:pPr>
        <w:spacing w:line="240" w:lineRule="auto"/>
        <w:jc w:val="left"/>
      </w:pPr>
      <w:r w:rsidRPr="00700474">
        <w:t xml:space="preserve">It is possible that someone could find out you were in this study or see your study information, but I believe this risk is small because of the procedures used to protect your information. These procedures are described later in this form. Beyond this risk, I don’t know of any risks to you from being in the study that are greater than the risks you encounter in everyday life. </w:t>
      </w:r>
    </w:p>
    <w:p w14:paraId="11089338" w14:textId="77777777" w:rsidR="00A965CC" w:rsidRPr="00700474" w:rsidRDefault="00A965CC" w:rsidP="00A965CC">
      <w:pPr>
        <w:spacing w:line="240" w:lineRule="auto"/>
        <w:jc w:val="left"/>
      </w:pPr>
    </w:p>
    <w:p w14:paraId="7031A85F" w14:textId="44C6932A" w:rsidR="002B2A02" w:rsidRPr="00700474" w:rsidRDefault="002B2A02" w:rsidP="00A965CC">
      <w:pPr>
        <w:spacing w:line="240" w:lineRule="auto"/>
        <w:jc w:val="left"/>
      </w:pPr>
      <w:r w:rsidRPr="00700474">
        <w:t>Are there any benefits to me?</w:t>
      </w:r>
    </w:p>
    <w:p w14:paraId="171990E2" w14:textId="2490CB0F" w:rsidR="002B2A02" w:rsidRPr="00700474" w:rsidRDefault="002B2A02" w:rsidP="00A965CC">
      <w:pPr>
        <w:spacing w:line="240" w:lineRule="auto"/>
        <w:jc w:val="left"/>
      </w:pPr>
      <w:r w:rsidRPr="00700474">
        <w:t xml:space="preserve">I do not expect you to benefit from being in this study. However, your participation may help us to learn more about the punitive culture of punishment in Ghana. I hope the knowledge gained from this study will benefit others in the future. </w:t>
      </w:r>
    </w:p>
    <w:p w14:paraId="74C14D1D" w14:textId="77777777" w:rsidR="00A965CC" w:rsidRPr="00700474" w:rsidRDefault="00A965CC" w:rsidP="00A965CC">
      <w:pPr>
        <w:spacing w:line="240" w:lineRule="auto"/>
        <w:jc w:val="left"/>
      </w:pPr>
    </w:p>
    <w:p w14:paraId="4AD7E819" w14:textId="61CAD54A" w:rsidR="002B2A02" w:rsidRPr="00700474" w:rsidRDefault="002B2A02" w:rsidP="00A965CC">
      <w:pPr>
        <w:spacing w:line="240" w:lineRule="auto"/>
        <w:jc w:val="left"/>
      </w:pPr>
      <w:r w:rsidRPr="00700474">
        <w:t>What will happen with the information collected for this study?</w:t>
      </w:r>
    </w:p>
    <w:p w14:paraId="57EFD12F" w14:textId="77777777" w:rsidR="002B2A02" w:rsidRPr="00700474" w:rsidRDefault="002B2A02" w:rsidP="00A965CC">
      <w:pPr>
        <w:spacing w:line="240" w:lineRule="auto"/>
        <w:jc w:val="left"/>
      </w:pPr>
      <w:r w:rsidRPr="00700474">
        <w:t xml:space="preserve">I will protect the confidentiality of your information by using password-protected files and encryption when sending information over the Internet. </w:t>
      </w:r>
    </w:p>
    <w:p w14:paraId="55FCAA3D" w14:textId="77777777" w:rsidR="00A965CC" w:rsidRPr="00700474" w:rsidRDefault="00A965CC" w:rsidP="00A965CC">
      <w:pPr>
        <w:spacing w:line="240" w:lineRule="auto"/>
        <w:jc w:val="left"/>
      </w:pPr>
    </w:p>
    <w:p w14:paraId="2638EA91" w14:textId="77777777" w:rsidR="002B2A02" w:rsidRPr="00700474" w:rsidRDefault="002B2A02" w:rsidP="00A965CC">
      <w:pPr>
        <w:spacing w:line="240" w:lineRule="auto"/>
        <w:jc w:val="left"/>
      </w:pPr>
      <w:r w:rsidRPr="00700474">
        <w:t>If information from this study is published or presented at scientific meetings, your name and other personal information will not be used. Pseudonyms will be utilized.</w:t>
      </w:r>
    </w:p>
    <w:p w14:paraId="708B8521" w14:textId="77777777" w:rsidR="002B2A02" w:rsidRPr="00700474" w:rsidRDefault="002B2A02" w:rsidP="00A965CC">
      <w:pPr>
        <w:spacing w:line="240" w:lineRule="auto"/>
        <w:jc w:val="left"/>
      </w:pPr>
      <w:r w:rsidRPr="00700474">
        <w:t xml:space="preserve"> I will make every effort to prevent anyone who is not on the research team from knowing that you gave me information or what information came from you. Although it is unlikely, there are times when others may need to see the information collected about you. These include: </w:t>
      </w:r>
    </w:p>
    <w:p w14:paraId="337F35A1" w14:textId="77777777" w:rsidR="002B2A02" w:rsidRPr="00700474" w:rsidRDefault="002B2A02" w:rsidP="00A965CC">
      <w:pPr>
        <w:pStyle w:val="ListParagraph"/>
        <w:numPr>
          <w:ilvl w:val="0"/>
          <w:numId w:val="8"/>
        </w:numPr>
        <w:spacing w:line="240" w:lineRule="auto"/>
        <w:jc w:val="left"/>
      </w:pPr>
      <w:r w:rsidRPr="00700474">
        <w:t>Government agencies (such as the Office for Human Research Protections in the U.S.</w:t>
      </w:r>
    </w:p>
    <w:p w14:paraId="32393808" w14:textId="77777777" w:rsidR="002B2A02" w:rsidRPr="00700474" w:rsidRDefault="002B2A02" w:rsidP="00A965CC">
      <w:pPr>
        <w:pStyle w:val="ListParagraph"/>
        <w:numPr>
          <w:ilvl w:val="0"/>
          <w:numId w:val="8"/>
        </w:numPr>
        <w:spacing w:line="240" w:lineRule="auto"/>
        <w:jc w:val="left"/>
      </w:pPr>
      <w:r w:rsidRPr="00700474">
        <w:t xml:space="preserve">Department of Health and Human Services), and others responsible for watching over the safety, effectiveness, and conduct of the research </w:t>
      </w:r>
    </w:p>
    <w:p w14:paraId="7922F2A2" w14:textId="67434596" w:rsidR="002B2A02" w:rsidRPr="00700474" w:rsidRDefault="002B2A02" w:rsidP="00A965CC">
      <w:pPr>
        <w:pStyle w:val="ListParagraph"/>
        <w:numPr>
          <w:ilvl w:val="0"/>
          <w:numId w:val="8"/>
        </w:numPr>
        <w:spacing w:line="240" w:lineRule="auto"/>
        <w:jc w:val="left"/>
      </w:pPr>
      <w:r w:rsidRPr="00700474">
        <w:t>If a law or court requires us to share the information, we would have to follow that law or final court ruling.</w:t>
      </w:r>
    </w:p>
    <w:p w14:paraId="1773BF41" w14:textId="77777777" w:rsidR="00A965CC" w:rsidRPr="00700474" w:rsidRDefault="00A965CC" w:rsidP="00A965CC">
      <w:pPr>
        <w:pStyle w:val="ListParagraph"/>
        <w:spacing w:line="240" w:lineRule="auto"/>
        <w:jc w:val="left"/>
      </w:pPr>
    </w:p>
    <w:p w14:paraId="4CC33B52" w14:textId="77777777" w:rsidR="002B2A02" w:rsidRPr="00700474" w:rsidRDefault="002B2A02" w:rsidP="00A965CC">
      <w:pPr>
        <w:spacing w:line="240" w:lineRule="auto"/>
        <w:jc w:val="left"/>
      </w:pPr>
      <w:r w:rsidRPr="00700474">
        <w:t>What will happen to my information after this study is over?</w:t>
      </w:r>
    </w:p>
    <w:p w14:paraId="78C78609" w14:textId="77777777" w:rsidR="002B2A02" w:rsidRPr="00700474" w:rsidRDefault="002B2A02" w:rsidP="00A965CC">
      <w:pPr>
        <w:spacing w:line="240" w:lineRule="auto"/>
        <w:jc w:val="left"/>
      </w:pPr>
      <w:r w:rsidRPr="00700474">
        <w:t xml:space="preserve">I will not keep your information to use for future research or other purpose. Your name and other information that can directly identify you will be deleted from the research data collected as part of the study. </w:t>
      </w:r>
    </w:p>
    <w:p w14:paraId="0B1B43D5" w14:textId="77777777" w:rsidR="00A965CC" w:rsidRPr="00700474" w:rsidRDefault="00A965CC" w:rsidP="00A965CC">
      <w:pPr>
        <w:spacing w:line="240" w:lineRule="auto"/>
        <w:jc w:val="left"/>
      </w:pPr>
    </w:p>
    <w:p w14:paraId="196E11E4" w14:textId="77777777" w:rsidR="002B2A02" w:rsidRPr="00700474" w:rsidRDefault="002B2A02" w:rsidP="00A965CC">
      <w:pPr>
        <w:spacing w:line="240" w:lineRule="auto"/>
        <w:jc w:val="left"/>
      </w:pPr>
      <w:r w:rsidRPr="00700474">
        <w:t xml:space="preserve">Who can answer my questions about this research study? </w:t>
      </w:r>
    </w:p>
    <w:p w14:paraId="2EB10CCE" w14:textId="77777777" w:rsidR="002B2A02" w:rsidRPr="00700474" w:rsidRDefault="002B2A02" w:rsidP="00A965CC">
      <w:pPr>
        <w:spacing w:line="240" w:lineRule="auto"/>
        <w:jc w:val="left"/>
      </w:pPr>
      <w:r w:rsidRPr="00700474">
        <w:t xml:space="preserve">If you have questions or concerns about this study or have experienced a research-related problem or injury, contact the researcher: </w:t>
      </w:r>
    </w:p>
    <w:p w14:paraId="5944FE6C" w14:textId="77777777" w:rsidR="002B2A02" w:rsidRPr="00700474" w:rsidRDefault="002B2A02" w:rsidP="00A965CC">
      <w:pPr>
        <w:spacing w:line="240" w:lineRule="auto"/>
        <w:jc w:val="left"/>
      </w:pPr>
      <w:r w:rsidRPr="00700474">
        <w:t>Primary Investigator: Stella Korleki Ashong</w:t>
      </w:r>
    </w:p>
    <w:p w14:paraId="46E148EE" w14:textId="77777777" w:rsidR="002B2A02" w:rsidRPr="00700474" w:rsidRDefault="002B2A02" w:rsidP="00A965CC">
      <w:pPr>
        <w:spacing w:line="240" w:lineRule="auto"/>
        <w:jc w:val="left"/>
      </w:pPr>
      <w:r w:rsidRPr="00700474">
        <w:t>Email: Sapenkro@vols.utk.edu</w:t>
      </w:r>
    </w:p>
    <w:p w14:paraId="4BB7A82E" w14:textId="77777777" w:rsidR="002B2A02" w:rsidRPr="00700474" w:rsidRDefault="002B2A02" w:rsidP="00A965CC">
      <w:pPr>
        <w:spacing w:line="240" w:lineRule="auto"/>
        <w:jc w:val="left"/>
      </w:pPr>
      <w:r w:rsidRPr="00700474">
        <w:t>Telephone: 9282254578/ 233246185315</w:t>
      </w:r>
    </w:p>
    <w:p w14:paraId="5FBBBEC1" w14:textId="77777777" w:rsidR="002B2A02" w:rsidRPr="00700474" w:rsidRDefault="002B2A02" w:rsidP="00A965CC">
      <w:pPr>
        <w:spacing w:line="240" w:lineRule="auto"/>
        <w:jc w:val="left"/>
      </w:pPr>
      <w:r w:rsidRPr="00700474">
        <w:t xml:space="preserve">                 or</w:t>
      </w:r>
    </w:p>
    <w:p w14:paraId="4091EE58" w14:textId="77777777" w:rsidR="002B2A02" w:rsidRPr="00700474" w:rsidRDefault="002B2A02" w:rsidP="00A965CC">
      <w:pPr>
        <w:spacing w:line="240" w:lineRule="auto"/>
        <w:jc w:val="left"/>
      </w:pPr>
      <w:r w:rsidRPr="00700474">
        <w:t>Faculty Advisor: Dr. Lois Presser</w:t>
      </w:r>
    </w:p>
    <w:p w14:paraId="397185F4" w14:textId="77777777" w:rsidR="002B2A02" w:rsidRPr="00700474" w:rsidRDefault="002B2A02" w:rsidP="00A965CC">
      <w:pPr>
        <w:spacing w:line="240" w:lineRule="auto"/>
        <w:jc w:val="left"/>
      </w:pPr>
      <w:r w:rsidRPr="00700474">
        <w:t>Email: lpresser@utk.edu</w:t>
      </w:r>
    </w:p>
    <w:p w14:paraId="532CAF44" w14:textId="77777777" w:rsidR="002B2A02" w:rsidRPr="00700474" w:rsidRDefault="002B2A02" w:rsidP="00A965CC">
      <w:pPr>
        <w:spacing w:line="240" w:lineRule="auto"/>
        <w:jc w:val="left"/>
      </w:pPr>
      <w:r w:rsidRPr="00700474">
        <w:t xml:space="preserve">For questions or concerns about your rights or to speak with someone other than the research team about the study, please contact: </w:t>
      </w:r>
    </w:p>
    <w:p w14:paraId="744CA46F" w14:textId="77777777" w:rsidR="002B2A02" w:rsidRPr="00700474" w:rsidRDefault="002B2A02" w:rsidP="00A965CC">
      <w:pPr>
        <w:spacing w:line="240" w:lineRule="auto"/>
        <w:jc w:val="left"/>
      </w:pPr>
      <w:r w:rsidRPr="00700474">
        <w:lastRenderedPageBreak/>
        <w:t>Institutional Review Board</w:t>
      </w:r>
    </w:p>
    <w:p w14:paraId="3B4D2345" w14:textId="77777777" w:rsidR="002B2A02" w:rsidRPr="00700474" w:rsidRDefault="002B2A02" w:rsidP="00A965CC">
      <w:pPr>
        <w:spacing w:line="240" w:lineRule="auto"/>
        <w:jc w:val="left"/>
      </w:pPr>
      <w:r w:rsidRPr="00700474">
        <w:t>The University of Tennessee, Knoxville Phone: 865-974-7697</w:t>
      </w:r>
    </w:p>
    <w:p w14:paraId="194EEC1B" w14:textId="77777777" w:rsidR="002B2A02" w:rsidRPr="00700474" w:rsidRDefault="002B2A02" w:rsidP="00A965CC">
      <w:pPr>
        <w:spacing w:line="240" w:lineRule="auto"/>
        <w:jc w:val="left"/>
      </w:pPr>
      <w:r w:rsidRPr="00700474">
        <w:t xml:space="preserve">Email: utkirb@utk.edu </w:t>
      </w:r>
    </w:p>
    <w:p w14:paraId="237E13E9" w14:textId="1AD18926" w:rsidR="002B2A02" w:rsidRPr="00700474" w:rsidRDefault="002B2A02" w:rsidP="00A965CC">
      <w:pPr>
        <w:spacing w:line="240" w:lineRule="auto"/>
        <w:jc w:val="left"/>
      </w:pPr>
      <w:r w:rsidRPr="00700474">
        <w:t>Statement of Consent</w:t>
      </w:r>
    </w:p>
    <w:p w14:paraId="36CE8E7D" w14:textId="77777777" w:rsidR="002B2A02" w:rsidRPr="00700474" w:rsidRDefault="002B2A02" w:rsidP="00A965CC">
      <w:pPr>
        <w:spacing w:line="240" w:lineRule="auto"/>
        <w:jc w:val="left"/>
      </w:pPr>
      <w:r w:rsidRPr="00700474">
        <w:t xml:space="preserve">I have read this form and been given the chance to ask questions and have my questions answered. If I have more questions, I have been told who to contact. I understand that I am agreeing to be in this study. I can keep a copy of this consent information for future reference. If I do not want to be in this study, I do not need to do anything else. </w:t>
      </w:r>
    </w:p>
    <w:p w14:paraId="72823E57" w14:textId="77777777" w:rsidR="005A68CE" w:rsidRPr="00700474" w:rsidRDefault="005A68CE" w:rsidP="00825D8A">
      <w:pPr>
        <w:jc w:val="left"/>
      </w:pPr>
    </w:p>
    <w:p w14:paraId="7009007A" w14:textId="77777777" w:rsidR="00A965CC" w:rsidRPr="00700474" w:rsidRDefault="00A965CC">
      <w:pPr>
        <w:spacing w:after="160" w:line="259" w:lineRule="auto"/>
        <w:jc w:val="left"/>
      </w:pPr>
      <w:r w:rsidRPr="00700474">
        <w:br w:type="page"/>
      </w:r>
    </w:p>
    <w:p w14:paraId="7850A201" w14:textId="3005F807" w:rsidR="002B2A02" w:rsidRPr="00700474" w:rsidRDefault="005A68CE" w:rsidP="00F52300">
      <w:pPr>
        <w:pStyle w:val="Heading1"/>
        <w:spacing w:before="0" w:after="0"/>
        <w:rPr>
          <w:rFonts w:ascii="Times New Roman" w:hAnsi="Times New Roman" w:cs="Times New Roman"/>
          <w:b/>
          <w:bCs/>
          <w:color w:val="000000" w:themeColor="text1"/>
          <w:sz w:val="24"/>
          <w:szCs w:val="24"/>
        </w:rPr>
      </w:pPr>
      <w:bookmarkStart w:id="58" w:name="_Toc204092886"/>
      <w:r w:rsidRPr="00700474">
        <w:rPr>
          <w:rFonts w:ascii="Times New Roman" w:hAnsi="Times New Roman" w:cs="Times New Roman"/>
          <w:b/>
          <w:bCs/>
          <w:color w:val="000000" w:themeColor="text1"/>
          <w:sz w:val="24"/>
          <w:szCs w:val="24"/>
        </w:rPr>
        <w:lastRenderedPageBreak/>
        <w:t>APPENDIX C</w:t>
      </w:r>
      <w:bookmarkEnd w:id="58"/>
    </w:p>
    <w:p w14:paraId="411D197D" w14:textId="6D80F5FE" w:rsidR="002B2A02" w:rsidRPr="00700474" w:rsidRDefault="005A68CE" w:rsidP="00F52300">
      <w:pPr>
        <w:pStyle w:val="Heading1"/>
        <w:spacing w:before="0" w:after="0"/>
        <w:rPr>
          <w:rFonts w:ascii="Times New Roman" w:hAnsi="Times New Roman" w:cs="Times New Roman"/>
          <w:b/>
          <w:bCs/>
          <w:color w:val="000000" w:themeColor="text1"/>
          <w:sz w:val="24"/>
          <w:szCs w:val="24"/>
        </w:rPr>
      </w:pPr>
      <w:bookmarkStart w:id="59" w:name="_Toc204092887"/>
      <w:r w:rsidRPr="00700474">
        <w:rPr>
          <w:rFonts w:ascii="Times New Roman" w:hAnsi="Times New Roman" w:cs="Times New Roman"/>
          <w:b/>
          <w:bCs/>
          <w:color w:val="000000" w:themeColor="text1"/>
          <w:sz w:val="24"/>
          <w:szCs w:val="24"/>
        </w:rPr>
        <w:t>INTERVIEW GUIDE</w:t>
      </w:r>
      <w:bookmarkEnd w:id="59"/>
    </w:p>
    <w:p w14:paraId="14679965" w14:textId="08A9640A" w:rsidR="002B2A02" w:rsidRPr="00700474" w:rsidRDefault="005A68CE" w:rsidP="00F52300">
      <w:pPr>
        <w:pStyle w:val="Heading1"/>
        <w:spacing w:before="0" w:after="0"/>
        <w:rPr>
          <w:rFonts w:ascii="Times New Roman" w:hAnsi="Times New Roman" w:cs="Times New Roman"/>
          <w:b/>
          <w:bCs/>
          <w:color w:val="000000" w:themeColor="text1"/>
          <w:sz w:val="24"/>
          <w:szCs w:val="24"/>
        </w:rPr>
      </w:pPr>
      <w:bookmarkStart w:id="60" w:name="_Toc204092888"/>
      <w:r w:rsidRPr="00700474">
        <w:rPr>
          <w:rFonts w:ascii="Times New Roman" w:hAnsi="Times New Roman" w:cs="Times New Roman"/>
          <w:b/>
          <w:bCs/>
          <w:color w:val="000000" w:themeColor="text1"/>
          <w:sz w:val="24"/>
          <w:szCs w:val="24"/>
        </w:rPr>
        <w:t>DEMOGRAPHICS</w:t>
      </w:r>
      <w:bookmarkEnd w:id="60"/>
    </w:p>
    <w:p w14:paraId="65746805" w14:textId="77777777" w:rsidR="002B2A02" w:rsidRPr="00700474" w:rsidRDefault="002B2A02" w:rsidP="00825D8A">
      <w:pPr>
        <w:jc w:val="left"/>
      </w:pPr>
    </w:p>
    <w:p w14:paraId="3DC767BA" w14:textId="77777777" w:rsidR="002B2A02" w:rsidRPr="00700474" w:rsidRDefault="002B2A02" w:rsidP="00A965CC">
      <w:pPr>
        <w:spacing w:line="240" w:lineRule="auto"/>
        <w:jc w:val="left"/>
      </w:pPr>
      <w:r w:rsidRPr="00700474">
        <w:t xml:space="preserve">Age: </w:t>
      </w:r>
    </w:p>
    <w:p w14:paraId="25E3113B" w14:textId="77777777" w:rsidR="002B2A02" w:rsidRPr="00700474" w:rsidRDefault="002B2A02" w:rsidP="00A965CC">
      <w:pPr>
        <w:spacing w:line="240" w:lineRule="auto"/>
        <w:jc w:val="left"/>
      </w:pPr>
      <w:r w:rsidRPr="00700474">
        <w:t xml:space="preserve">Nationality: </w:t>
      </w:r>
    </w:p>
    <w:p w14:paraId="1318C2ED" w14:textId="77777777" w:rsidR="002B2A02" w:rsidRPr="00700474" w:rsidRDefault="002B2A02" w:rsidP="00A965CC">
      <w:pPr>
        <w:spacing w:line="240" w:lineRule="auto"/>
        <w:jc w:val="left"/>
      </w:pPr>
      <w:r w:rsidRPr="00700474">
        <w:t xml:space="preserve">Occupation: </w:t>
      </w:r>
    </w:p>
    <w:p w14:paraId="37FAC44E" w14:textId="77777777" w:rsidR="002B2A02" w:rsidRPr="00700474" w:rsidRDefault="002B2A02" w:rsidP="00A965CC">
      <w:pPr>
        <w:spacing w:line="240" w:lineRule="auto"/>
        <w:jc w:val="left"/>
      </w:pPr>
      <w:r w:rsidRPr="00700474">
        <w:t xml:space="preserve">Gender: </w:t>
      </w:r>
    </w:p>
    <w:p w14:paraId="2A49C5BF" w14:textId="77777777" w:rsidR="002B2A02" w:rsidRPr="00700474" w:rsidRDefault="002B2A02" w:rsidP="00A965CC">
      <w:pPr>
        <w:spacing w:line="240" w:lineRule="auto"/>
        <w:jc w:val="left"/>
      </w:pPr>
      <w:r w:rsidRPr="00700474">
        <w:t xml:space="preserve">Level of Education: </w:t>
      </w:r>
    </w:p>
    <w:p w14:paraId="6B33E8F5" w14:textId="77777777" w:rsidR="002B2A02" w:rsidRPr="00700474" w:rsidRDefault="002B2A02" w:rsidP="00A965CC">
      <w:pPr>
        <w:spacing w:line="240" w:lineRule="auto"/>
        <w:jc w:val="left"/>
      </w:pPr>
    </w:p>
    <w:p w14:paraId="417CDE2A" w14:textId="77777777" w:rsidR="002B2A02" w:rsidRPr="00700474" w:rsidRDefault="002B2A02" w:rsidP="00A965CC">
      <w:pPr>
        <w:spacing w:line="240" w:lineRule="auto"/>
        <w:jc w:val="left"/>
      </w:pPr>
      <w:r w:rsidRPr="00700474">
        <w:t>Question Guide</w:t>
      </w:r>
    </w:p>
    <w:p w14:paraId="6E63BF1B" w14:textId="77777777" w:rsidR="002B2A02" w:rsidRPr="00700474" w:rsidRDefault="002B2A02" w:rsidP="00A965CC">
      <w:pPr>
        <w:spacing w:line="240" w:lineRule="auto"/>
        <w:jc w:val="left"/>
      </w:pPr>
    </w:p>
    <w:p w14:paraId="03A76473" w14:textId="77777777" w:rsidR="002B2A02" w:rsidRPr="00700474" w:rsidRDefault="002B2A02" w:rsidP="00A965CC">
      <w:pPr>
        <w:pStyle w:val="ListParagraph"/>
        <w:numPr>
          <w:ilvl w:val="0"/>
          <w:numId w:val="4"/>
        </w:numPr>
        <w:spacing w:line="240" w:lineRule="auto"/>
        <w:jc w:val="left"/>
      </w:pPr>
      <w:r w:rsidRPr="00700474">
        <w:t>Can you tell me any experience with punishment? Perhaps someone you know?</w:t>
      </w:r>
    </w:p>
    <w:p w14:paraId="47C54A25" w14:textId="77777777" w:rsidR="002B2A02" w:rsidRPr="00700474" w:rsidRDefault="002B2A02" w:rsidP="00A965CC">
      <w:pPr>
        <w:pStyle w:val="ListParagraph"/>
        <w:numPr>
          <w:ilvl w:val="0"/>
          <w:numId w:val="6"/>
        </w:numPr>
        <w:spacing w:line="240" w:lineRule="auto"/>
        <w:jc w:val="left"/>
      </w:pPr>
      <w:r w:rsidRPr="00700474">
        <w:t>I am sorry to hear you had to go through such an experience</w:t>
      </w:r>
    </w:p>
    <w:p w14:paraId="76BA5A62" w14:textId="77777777" w:rsidR="002B2A02" w:rsidRPr="00700474" w:rsidRDefault="002B2A02" w:rsidP="00A965CC">
      <w:pPr>
        <w:pStyle w:val="ListParagraph"/>
        <w:numPr>
          <w:ilvl w:val="0"/>
          <w:numId w:val="6"/>
        </w:numPr>
        <w:spacing w:line="240" w:lineRule="auto"/>
        <w:jc w:val="left"/>
      </w:pPr>
      <w:r w:rsidRPr="00700474">
        <w:t>I am sorry to hear you had to go through such an experience</w:t>
      </w:r>
    </w:p>
    <w:p w14:paraId="662A65D9" w14:textId="77777777" w:rsidR="002B2A02" w:rsidRPr="00700474" w:rsidRDefault="002B2A02" w:rsidP="00A965CC">
      <w:pPr>
        <w:pStyle w:val="ListParagraph"/>
        <w:numPr>
          <w:ilvl w:val="0"/>
          <w:numId w:val="6"/>
        </w:numPr>
        <w:spacing w:line="240" w:lineRule="auto"/>
        <w:jc w:val="left"/>
      </w:pPr>
      <w:r w:rsidRPr="00700474">
        <w:t>How long or recent is this?</w:t>
      </w:r>
    </w:p>
    <w:p w14:paraId="0392269A" w14:textId="77777777" w:rsidR="002B2A02" w:rsidRPr="00700474" w:rsidRDefault="002B2A02" w:rsidP="00A965CC">
      <w:pPr>
        <w:pStyle w:val="ListParagraph"/>
        <w:numPr>
          <w:ilvl w:val="0"/>
          <w:numId w:val="4"/>
        </w:numPr>
        <w:spacing w:line="240" w:lineRule="auto"/>
        <w:jc w:val="left"/>
      </w:pPr>
      <w:r w:rsidRPr="00700474">
        <w:t>In your opinion what should be the aim of punishment?</w:t>
      </w:r>
    </w:p>
    <w:p w14:paraId="18DFA396" w14:textId="77777777" w:rsidR="002B2A02" w:rsidRPr="00700474" w:rsidRDefault="002B2A02" w:rsidP="00A965CC">
      <w:pPr>
        <w:pStyle w:val="ListParagraph"/>
        <w:numPr>
          <w:ilvl w:val="0"/>
          <w:numId w:val="10"/>
        </w:numPr>
        <w:spacing w:line="240" w:lineRule="auto"/>
        <w:jc w:val="left"/>
      </w:pPr>
      <w:r w:rsidRPr="00700474">
        <w:t>Can you throw more light on that?</w:t>
      </w:r>
    </w:p>
    <w:p w14:paraId="56936976" w14:textId="77777777" w:rsidR="002B2A02" w:rsidRPr="00700474" w:rsidRDefault="002B2A02" w:rsidP="00A965CC">
      <w:pPr>
        <w:pStyle w:val="ListParagraph"/>
        <w:numPr>
          <w:ilvl w:val="0"/>
          <w:numId w:val="10"/>
        </w:numPr>
        <w:spacing w:line="240" w:lineRule="auto"/>
        <w:jc w:val="left"/>
      </w:pPr>
      <w:r w:rsidRPr="00700474">
        <w:t>Why this choice?</w:t>
      </w:r>
    </w:p>
    <w:p w14:paraId="7041C801" w14:textId="77777777" w:rsidR="002B2A02" w:rsidRPr="00700474" w:rsidRDefault="002B2A02" w:rsidP="00A965CC">
      <w:pPr>
        <w:pStyle w:val="ListParagraph"/>
        <w:numPr>
          <w:ilvl w:val="0"/>
          <w:numId w:val="4"/>
        </w:numPr>
        <w:spacing w:line="240" w:lineRule="auto"/>
        <w:jc w:val="left"/>
      </w:pPr>
      <w:r w:rsidRPr="00700474">
        <w:t>Can you discuss any experience/practice that has influenced this thinking?</w:t>
      </w:r>
    </w:p>
    <w:p w14:paraId="26A2BD09" w14:textId="77777777" w:rsidR="002B2A02" w:rsidRPr="00700474" w:rsidRDefault="002B2A02" w:rsidP="00A965CC">
      <w:pPr>
        <w:pStyle w:val="ListParagraph"/>
        <w:numPr>
          <w:ilvl w:val="0"/>
          <w:numId w:val="11"/>
        </w:numPr>
        <w:spacing w:line="240" w:lineRule="auto"/>
        <w:jc w:val="left"/>
      </w:pPr>
      <w:r w:rsidRPr="00700474">
        <w:t xml:space="preserve">Are there other experiences influencing this thinking? </w:t>
      </w:r>
    </w:p>
    <w:p w14:paraId="4C3AC0AF" w14:textId="77777777" w:rsidR="002B2A02" w:rsidRPr="00700474" w:rsidRDefault="002B2A02" w:rsidP="00A965CC">
      <w:pPr>
        <w:pStyle w:val="ListParagraph"/>
        <w:numPr>
          <w:ilvl w:val="0"/>
          <w:numId w:val="11"/>
        </w:numPr>
        <w:spacing w:line="240" w:lineRule="auto"/>
        <w:jc w:val="left"/>
      </w:pPr>
      <w:r w:rsidRPr="00700474">
        <w:t>Can you throw more light on that?</w:t>
      </w:r>
    </w:p>
    <w:p w14:paraId="04FEDF2E" w14:textId="77777777" w:rsidR="002B2A02" w:rsidRPr="00700474" w:rsidRDefault="002B2A02" w:rsidP="00A965CC">
      <w:pPr>
        <w:pStyle w:val="ListParagraph"/>
        <w:numPr>
          <w:ilvl w:val="0"/>
          <w:numId w:val="4"/>
        </w:numPr>
        <w:spacing w:line="240" w:lineRule="auto"/>
        <w:jc w:val="left"/>
      </w:pPr>
      <w:r w:rsidRPr="00700474">
        <w:t>What do you make of the use of harsh or innovative forms of punishment?</w:t>
      </w:r>
    </w:p>
    <w:p w14:paraId="40C4A6E0" w14:textId="77777777" w:rsidR="002B2A02" w:rsidRPr="00700474" w:rsidRDefault="002B2A02" w:rsidP="00A965CC">
      <w:pPr>
        <w:pStyle w:val="ListParagraph"/>
        <w:numPr>
          <w:ilvl w:val="0"/>
          <w:numId w:val="5"/>
        </w:numPr>
        <w:spacing w:line="240" w:lineRule="auto"/>
        <w:jc w:val="left"/>
      </w:pPr>
      <w:r w:rsidRPr="00700474">
        <w:t>What has influenced this thinking?</w:t>
      </w:r>
    </w:p>
    <w:p w14:paraId="5342BDEF" w14:textId="77777777" w:rsidR="002B2A02" w:rsidRPr="00700474" w:rsidRDefault="002B2A02" w:rsidP="00A965CC">
      <w:pPr>
        <w:pStyle w:val="ListParagraph"/>
        <w:numPr>
          <w:ilvl w:val="0"/>
          <w:numId w:val="4"/>
        </w:numPr>
        <w:spacing w:line="240" w:lineRule="auto"/>
        <w:jc w:val="left"/>
      </w:pPr>
      <w:r w:rsidRPr="00700474">
        <w:t>What else could be done to… (whatever they said is the aim of punishment)?</w:t>
      </w:r>
    </w:p>
    <w:p w14:paraId="427D5C81" w14:textId="77777777" w:rsidR="002B2A02" w:rsidRPr="00700474" w:rsidRDefault="002B2A02" w:rsidP="00A965CC">
      <w:pPr>
        <w:pStyle w:val="ListParagraph"/>
        <w:numPr>
          <w:ilvl w:val="0"/>
          <w:numId w:val="4"/>
        </w:numPr>
        <w:spacing w:line="240" w:lineRule="auto"/>
        <w:jc w:val="left"/>
      </w:pPr>
      <w:r w:rsidRPr="00700474">
        <w:t>What do you think of citizens imposing punishments themselves?</w:t>
      </w:r>
    </w:p>
    <w:p w14:paraId="5E52A32B" w14:textId="77777777" w:rsidR="002B2A02" w:rsidRPr="00700474" w:rsidRDefault="002B2A02" w:rsidP="00A965CC">
      <w:pPr>
        <w:pStyle w:val="ListParagraph"/>
        <w:numPr>
          <w:ilvl w:val="0"/>
          <w:numId w:val="5"/>
        </w:numPr>
        <w:spacing w:line="240" w:lineRule="auto"/>
        <w:jc w:val="left"/>
      </w:pPr>
      <w:r w:rsidRPr="00700474">
        <w:t>What has influenced this thinking?</w:t>
      </w:r>
    </w:p>
    <w:p w14:paraId="234A8E73" w14:textId="77777777" w:rsidR="002B2A02" w:rsidRPr="00700474" w:rsidRDefault="002B2A02" w:rsidP="00A965CC">
      <w:pPr>
        <w:pStyle w:val="ListParagraph"/>
        <w:numPr>
          <w:ilvl w:val="0"/>
          <w:numId w:val="4"/>
        </w:numPr>
        <w:spacing w:line="240" w:lineRule="auto"/>
        <w:jc w:val="left"/>
      </w:pPr>
      <w:r w:rsidRPr="00700474">
        <w:t>Can you tell me any experiences with being victimized?</w:t>
      </w:r>
    </w:p>
    <w:p w14:paraId="7E47A5D8" w14:textId="77777777" w:rsidR="002B2A02" w:rsidRPr="00700474" w:rsidRDefault="002B2A02" w:rsidP="00A965CC">
      <w:pPr>
        <w:pStyle w:val="ListParagraph"/>
        <w:numPr>
          <w:ilvl w:val="0"/>
          <w:numId w:val="5"/>
        </w:numPr>
        <w:spacing w:line="240" w:lineRule="auto"/>
        <w:jc w:val="left"/>
        <w:rPr>
          <w:shd w:val="clear" w:color="auto" w:fill="FFFFFF"/>
        </w:rPr>
      </w:pPr>
      <w:r w:rsidRPr="00700474">
        <w:rPr>
          <w:shd w:val="clear" w:color="auto" w:fill="FFFFFF"/>
        </w:rPr>
        <w:t>Thank you for sharing your story with me</w:t>
      </w:r>
    </w:p>
    <w:p w14:paraId="131D4B42" w14:textId="77777777" w:rsidR="002B2A02" w:rsidRPr="00700474" w:rsidRDefault="002B2A02" w:rsidP="00A965CC">
      <w:pPr>
        <w:pStyle w:val="NormalWeb"/>
        <w:spacing w:line="240" w:lineRule="auto"/>
        <w:jc w:val="left"/>
      </w:pPr>
    </w:p>
    <w:p w14:paraId="36B31F47" w14:textId="10C3B88B" w:rsidR="00187C64" w:rsidRPr="00700474" w:rsidRDefault="00187C64">
      <w:pPr>
        <w:spacing w:after="160" w:line="259" w:lineRule="auto"/>
        <w:jc w:val="left"/>
        <w:rPr>
          <w:rFonts w:eastAsia="Times New Roman"/>
          <w:kern w:val="0"/>
          <w14:ligatures w14:val="none"/>
        </w:rPr>
      </w:pPr>
      <w:r w:rsidRPr="00700474">
        <w:br w:type="page"/>
      </w:r>
    </w:p>
    <w:p w14:paraId="38130267" w14:textId="57F5B666" w:rsidR="009C4727" w:rsidRPr="00700474" w:rsidRDefault="005A68CE" w:rsidP="00D87493">
      <w:pPr>
        <w:pStyle w:val="Heading1"/>
        <w:spacing w:before="0" w:after="0"/>
        <w:rPr>
          <w:rFonts w:ascii="Times New Roman" w:hAnsi="Times New Roman" w:cs="Times New Roman"/>
          <w:b/>
          <w:bCs/>
          <w:color w:val="000000" w:themeColor="text1"/>
          <w:sz w:val="24"/>
          <w:szCs w:val="24"/>
        </w:rPr>
      </w:pPr>
      <w:bookmarkStart w:id="61" w:name="_Toc204092889"/>
      <w:r w:rsidRPr="00700474">
        <w:rPr>
          <w:rFonts w:ascii="Times New Roman" w:hAnsi="Times New Roman" w:cs="Times New Roman"/>
          <w:b/>
          <w:bCs/>
          <w:color w:val="000000" w:themeColor="text1"/>
          <w:sz w:val="24"/>
          <w:szCs w:val="24"/>
        </w:rPr>
        <w:lastRenderedPageBreak/>
        <w:t>VITA</w:t>
      </w:r>
      <w:bookmarkEnd w:id="61"/>
    </w:p>
    <w:p w14:paraId="48F7E889" w14:textId="7618C47D" w:rsidR="002B2A02" w:rsidRPr="00700474" w:rsidRDefault="00540D4A" w:rsidP="00D87493">
      <w:pPr>
        <w:pStyle w:val="NormalWeb"/>
        <w:spacing w:before="0" w:beforeAutospacing="0" w:after="0" w:afterAutospacing="0"/>
        <w:jc w:val="left"/>
      </w:pPr>
      <w:r w:rsidRPr="00700474">
        <w:t>Korleki was born in Ada-Kasseh, Greater-Accra, Ghana, to Daniel and Mercy Apenkro (both deceased). She is the second of four children, and her siblings are Stephen Apenkro, Samuel Apenkro, and Sophia Twum (Mrs). She is married to the Reverend Father Christian Nii Noi Ashong. Together, they have three children: Adrian, Aiden and Adriel Ashong. Korleki attended the University of Ghana, earning a Bachelor of Arts with a major in Sociology and a minor in The Study of Religions in the Spring of 2012. She moved to Northern Arizona to earn an M.A. in Sociology in Spring 2017. She then attended the University of Tennessee, Knoxville, joining the Department of Sociology to pursue her Doctor of Philosophy.</w:t>
      </w:r>
    </w:p>
    <w:p w14:paraId="5180EF66" w14:textId="77777777" w:rsidR="002B2A02" w:rsidRPr="00700474" w:rsidRDefault="002B2A02" w:rsidP="00825D8A">
      <w:pPr>
        <w:pStyle w:val="NormalWeb"/>
        <w:jc w:val="left"/>
      </w:pPr>
    </w:p>
    <w:p w14:paraId="20BD165C" w14:textId="77777777" w:rsidR="00815753" w:rsidRPr="00700474" w:rsidRDefault="00815753" w:rsidP="00825D8A">
      <w:pPr>
        <w:jc w:val="left"/>
      </w:pPr>
    </w:p>
    <w:sectPr w:rsidR="00815753" w:rsidRPr="00700474" w:rsidSect="00524626">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984A2" w14:textId="77777777" w:rsidR="00FF14FE" w:rsidRDefault="00FF14FE" w:rsidP="00825D8A">
      <w:r>
        <w:separator/>
      </w:r>
    </w:p>
  </w:endnote>
  <w:endnote w:type="continuationSeparator" w:id="0">
    <w:p w14:paraId="489A1522" w14:textId="77777777" w:rsidR="00FF14FE" w:rsidRDefault="00FF14FE" w:rsidP="00825D8A">
      <w:r>
        <w:continuationSeparator/>
      </w:r>
    </w:p>
  </w:endnote>
  <w:endnote w:id="1">
    <w:p w14:paraId="4377BA52" w14:textId="7AC4A7C4" w:rsidR="00BC4649" w:rsidRDefault="00BC4649">
      <w:pPr>
        <w:pStyle w:val="EndnoteText"/>
      </w:pPr>
      <w:r>
        <w:rPr>
          <w:rStyle w:val="EndnoteReference"/>
        </w:rPr>
        <w:endnoteRef/>
      </w:r>
      <w:r>
        <w:t xml:space="preserve"> </w:t>
      </w:r>
      <w:r w:rsidRPr="00BC4649">
        <w:t>Anas Aremeyaw Anas is a renowned Ghanaian investigative journalist celebrated for his undercover reporting that exposes corruption, human rights abuses, and societal injustices. Known for his anonymity, Anas often appears in public with his face concealed by beads or masks to protect his identity and ensure the safety of his work.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981127"/>
      <w:docPartObj>
        <w:docPartGallery w:val="Page Numbers (Bottom of Page)"/>
        <w:docPartUnique/>
      </w:docPartObj>
    </w:sdtPr>
    <w:sdtEndPr>
      <w:rPr>
        <w:noProof/>
      </w:rPr>
    </w:sdtEndPr>
    <w:sdtContent>
      <w:p w14:paraId="406B06C3" w14:textId="60B3AFD5" w:rsidR="001F42D4" w:rsidRDefault="001F42D4">
        <w:pPr>
          <w:pStyle w:val="Footer"/>
        </w:pPr>
        <w:r>
          <w:fldChar w:fldCharType="begin"/>
        </w:r>
        <w:r>
          <w:instrText xml:space="preserve"> PAGE   \* MERGEFORMAT </w:instrText>
        </w:r>
        <w:r>
          <w:fldChar w:fldCharType="separate"/>
        </w:r>
        <w:r>
          <w:rPr>
            <w:noProof/>
          </w:rPr>
          <w:t>2</w:t>
        </w:r>
        <w:r>
          <w:rPr>
            <w:noProof/>
          </w:rPr>
          <w:fldChar w:fldCharType="end"/>
        </w:r>
      </w:p>
    </w:sdtContent>
  </w:sdt>
  <w:p w14:paraId="489008AC" w14:textId="77777777" w:rsidR="00815753" w:rsidRDefault="00815753" w:rsidP="00825D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CDF1" w14:textId="74802F3B" w:rsidR="00B7194D" w:rsidRDefault="00B7194D">
    <w:pPr>
      <w:pStyle w:val="Footer"/>
    </w:pPr>
  </w:p>
  <w:p w14:paraId="77647CD4" w14:textId="77777777" w:rsidR="00B7194D" w:rsidRDefault="00B719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3364" w14:textId="25ECC9DD" w:rsidR="00B30117" w:rsidRDefault="00524626">
    <w:pPr>
      <w:pStyle w:val="Footer"/>
    </w:pPr>
    <w:r>
      <w:t>1</w:t>
    </w:r>
  </w:p>
  <w:p w14:paraId="369C7EF6" w14:textId="77777777" w:rsidR="00B30117" w:rsidRDefault="00B30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2348" w14:textId="77777777" w:rsidR="00FF14FE" w:rsidRDefault="00FF14FE" w:rsidP="00825D8A">
      <w:r>
        <w:separator/>
      </w:r>
    </w:p>
  </w:footnote>
  <w:footnote w:type="continuationSeparator" w:id="0">
    <w:p w14:paraId="00E54205" w14:textId="77777777" w:rsidR="00FF14FE" w:rsidRDefault="00FF14FE" w:rsidP="00825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F0C8D"/>
    <w:multiLevelType w:val="hybridMultilevel"/>
    <w:tmpl w:val="5220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E1922"/>
    <w:multiLevelType w:val="hybridMultilevel"/>
    <w:tmpl w:val="25826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0608A"/>
    <w:multiLevelType w:val="hybridMultilevel"/>
    <w:tmpl w:val="C298F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D0817"/>
    <w:multiLevelType w:val="multilevel"/>
    <w:tmpl w:val="0150C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F271E0"/>
    <w:multiLevelType w:val="hybridMultilevel"/>
    <w:tmpl w:val="8E281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86445E"/>
    <w:multiLevelType w:val="hybridMultilevel"/>
    <w:tmpl w:val="2B8E3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F661D1"/>
    <w:multiLevelType w:val="hybridMultilevel"/>
    <w:tmpl w:val="E294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0D7F"/>
    <w:multiLevelType w:val="hybridMultilevel"/>
    <w:tmpl w:val="CBCE3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110B6B"/>
    <w:multiLevelType w:val="hybridMultilevel"/>
    <w:tmpl w:val="57FE1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0F0823"/>
    <w:multiLevelType w:val="hybridMultilevel"/>
    <w:tmpl w:val="ADA66CC0"/>
    <w:lvl w:ilvl="0" w:tplc="68E8FB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C93C82"/>
    <w:multiLevelType w:val="hybridMultilevel"/>
    <w:tmpl w:val="80C0A4F2"/>
    <w:lvl w:ilvl="0" w:tplc="7B20E45A">
      <w:start w:val="1"/>
      <w:numFmt w:val="decimal"/>
      <w:lvlText w:val="%1."/>
      <w:lvlJc w:val="left"/>
      <w:pPr>
        <w:tabs>
          <w:tab w:val="num" w:pos="720"/>
        </w:tabs>
        <w:ind w:left="720" w:hanging="360"/>
      </w:pPr>
      <w:rPr>
        <w:rFonts w:ascii="Times New Roman" w:eastAsiaTheme="minorHAnsi" w:hAnsi="Times New Roman" w:cs="Times New Roman"/>
      </w:rPr>
    </w:lvl>
    <w:lvl w:ilvl="1" w:tplc="D79888A0" w:tentative="1">
      <w:start w:val="1"/>
      <w:numFmt w:val="bullet"/>
      <w:lvlText w:val="o"/>
      <w:lvlJc w:val="left"/>
      <w:pPr>
        <w:tabs>
          <w:tab w:val="num" w:pos="1440"/>
        </w:tabs>
        <w:ind w:left="1440" w:hanging="360"/>
      </w:pPr>
      <w:rPr>
        <w:rFonts w:ascii="Courier New" w:hAnsi="Courier New" w:hint="default"/>
      </w:rPr>
    </w:lvl>
    <w:lvl w:ilvl="2" w:tplc="0A4C45B2" w:tentative="1">
      <w:start w:val="1"/>
      <w:numFmt w:val="bullet"/>
      <w:lvlText w:val="o"/>
      <w:lvlJc w:val="left"/>
      <w:pPr>
        <w:tabs>
          <w:tab w:val="num" w:pos="2160"/>
        </w:tabs>
        <w:ind w:left="2160" w:hanging="360"/>
      </w:pPr>
      <w:rPr>
        <w:rFonts w:ascii="Courier New" w:hAnsi="Courier New" w:hint="default"/>
      </w:rPr>
    </w:lvl>
    <w:lvl w:ilvl="3" w:tplc="4A806A40" w:tentative="1">
      <w:start w:val="1"/>
      <w:numFmt w:val="bullet"/>
      <w:lvlText w:val="o"/>
      <w:lvlJc w:val="left"/>
      <w:pPr>
        <w:tabs>
          <w:tab w:val="num" w:pos="2880"/>
        </w:tabs>
        <w:ind w:left="2880" w:hanging="360"/>
      </w:pPr>
      <w:rPr>
        <w:rFonts w:ascii="Courier New" w:hAnsi="Courier New" w:hint="default"/>
      </w:rPr>
    </w:lvl>
    <w:lvl w:ilvl="4" w:tplc="7A604EF6" w:tentative="1">
      <w:start w:val="1"/>
      <w:numFmt w:val="bullet"/>
      <w:lvlText w:val="o"/>
      <w:lvlJc w:val="left"/>
      <w:pPr>
        <w:tabs>
          <w:tab w:val="num" w:pos="3600"/>
        </w:tabs>
        <w:ind w:left="3600" w:hanging="360"/>
      </w:pPr>
      <w:rPr>
        <w:rFonts w:ascii="Courier New" w:hAnsi="Courier New" w:hint="default"/>
      </w:rPr>
    </w:lvl>
    <w:lvl w:ilvl="5" w:tplc="A768C7EC" w:tentative="1">
      <w:start w:val="1"/>
      <w:numFmt w:val="bullet"/>
      <w:lvlText w:val="o"/>
      <w:lvlJc w:val="left"/>
      <w:pPr>
        <w:tabs>
          <w:tab w:val="num" w:pos="4320"/>
        </w:tabs>
        <w:ind w:left="4320" w:hanging="360"/>
      </w:pPr>
      <w:rPr>
        <w:rFonts w:ascii="Courier New" w:hAnsi="Courier New" w:hint="default"/>
      </w:rPr>
    </w:lvl>
    <w:lvl w:ilvl="6" w:tplc="46520D62" w:tentative="1">
      <w:start w:val="1"/>
      <w:numFmt w:val="bullet"/>
      <w:lvlText w:val="o"/>
      <w:lvlJc w:val="left"/>
      <w:pPr>
        <w:tabs>
          <w:tab w:val="num" w:pos="5040"/>
        </w:tabs>
        <w:ind w:left="5040" w:hanging="360"/>
      </w:pPr>
      <w:rPr>
        <w:rFonts w:ascii="Courier New" w:hAnsi="Courier New" w:hint="default"/>
      </w:rPr>
    </w:lvl>
    <w:lvl w:ilvl="7" w:tplc="BB1EF944" w:tentative="1">
      <w:start w:val="1"/>
      <w:numFmt w:val="bullet"/>
      <w:lvlText w:val="o"/>
      <w:lvlJc w:val="left"/>
      <w:pPr>
        <w:tabs>
          <w:tab w:val="num" w:pos="5760"/>
        </w:tabs>
        <w:ind w:left="5760" w:hanging="360"/>
      </w:pPr>
      <w:rPr>
        <w:rFonts w:ascii="Courier New" w:hAnsi="Courier New" w:hint="default"/>
      </w:rPr>
    </w:lvl>
    <w:lvl w:ilvl="8" w:tplc="2880261C"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4F385B48"/>
    <w:multiLevelType w:val="hybridMultilevel"/>
    <w:tmpl w:val="9CD28C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6E386B"/>
    <w:multiLevelType w:val="hybridMultilevel"/>
    <w:tmpl w:val="8DEAF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F5006D5"/>
    <w:multiLevelType w:val="hybridMultilevel"/>
    <w:tmpl w:val="A5067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0422762">
    <w:abstractNumId w:val="1"/>
  </w:num>
  <w:num w:numId="2" w16cid:durableId="1363937581">
    <w:abstractNumId w:val="9"/>
  </w:num>
  <w:num w:numId="3" w16cid:durableId="1580748278">
    <w:abstractNumId w:val="6"/>
  </w:num>
  <w:num w:numId="4" w16cid:durableId="1420173221">
    <w:abstractNumId w:val="12"/>
  </w:num>
  <w:num w:numId="5" w16cid:durableId="1280139701">
    <w:abstractNumId w:val="4"/>
  </w:num>
  <w:num w:numId="6" w16cid:durableId="488059287">
    <w:abstractNumId w:val="8"/>
  </w:num>
  <w:num w:numId="7" w16cid:durableId="972829929">
    <w:abstractNumId w:val="2"/>
  </w:num>
  <w:num w:numId="8" w16cid:durableId="1522739195">
    <w:abstractNumId w:val="0"/>
  </w:num>
  <w:num w:numId="9" w16cid:durableId="1120416448">
    <w:abstractNumId w:val="5"/>
  </w:num>
  <w:num w:numId="10" w16cid:durableId="1123646375">
    <w:abstractNumId w:val="13"/>
  </w:num>
  <w:num w:numId="11" w16cid:durableId="1361321236">
    <w:abstractNumId w:val="7"/>
  </w:num>
  <w:num w:numId="12" w16cid:durableId="1164585224">
    <w:abstractNumId w:val="3"/>
  </w:num>
  <w:num w:numId="13" w16cid:durableId="2087998337">
    <w:abstractNumId w:val="11"/>
  </w:num>
  <w:num w:numId="14" w16cid:durableId="9207996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E1E"/>
    <w:rsid w:val="000050FF"/>
    <w:rsid w:val="00005BD5"/>
    <w:rsid w:val="00005FD1"/>
    <w:rsid w:val="00014130"/>
    <w:rsid w:val="000142C5"/>
    <w:rsid w:val="00017835"/>
    <w:rsid w:val="000210DC"/>
    <w:rsid w:val="000227DF"/>
    <w:rsid w:val="00022967"/>
    <w:rsid w:val="00026970"/>
    <w:rsid w:val="000569CB"/>
    <w:rsid w:val="000607F8"/>
    <w:rsid w:val="00091893"/>
    <w:rsid w:val="000918A8"/>
    <w:rsid w:val="000A53DE"/>
    <w:rsid w:val="000B5AF4"/>
    <w:rsid w:val="000D32B7"/>
    <w:rsid w:val="000D5120"/>
    <w:rsid w:val="000E6B86"/>
    <w:rsid w:val="000E6E58"/>
    <w:rsid w:val="000F12C8"/>
    <w:rsid w:val="000F3A0D"/>
    <w:rsid w:val="000F55D1"/>
    <w:rsid w:val="0015464C"/>
    <w:rsid w:val="00157E60"/>
    <w:rsid w:val="00170D69"/>
    <w:rsid w:val="00174BC3"/>
    <w:rsid w:val="0017691B"/>
    <w:rsid w:val="00187C64"/>
    <w:rsid w:val="00194DF6"/>
    <w:rsid w:val="001A4119"/>
    <w:rsid w:val="001C6464"/>
    <w:rsid w:val="001C73D7"/>
    <w:rsid w:val="001C7FA3"/>
    <w:rsid w:val="001E13A9"/>
    <w:rsid w:val="001E280F"/>
    <w:rsid w:val="001E4A8C"/>
    <w:rsid w:val="001F42D4"/>
    <w:rsid w:val="00204463"/>
    <w:rsid w:val="00206FCD"/>
    <w:rsid w:val="00231940"/>
    <w:rsid w:val="00245C6F"/>
    <w:rsid w:val="00256510"/>
    <w:rsid w:val="002606A8"/>
    <w:rsid w:val="0028552F"/>
    <w:rsid w:val="002A102F"/>
    <w:rsid w:val="002A7674"/>
    <w:rsid w:val="002B1CAF"/>
    <w:rsid w:val="002B2A02"/>
    <w:rsid w:val="002D4583"/>
    <w:rsid w:val="002E605C"/>
    <w:rsid w:val="002F29E7"/>
    <w:rsid w:val="002F5573"/>
    <w:rsid w:val="00327AD0"/>
    <w:rsid w:val="00333DB7"/>
    <w:rsid w:val="00344CCA"/>
    <w:rsid w:val="00384DC5"/>
    <w:rsid w:val="00385C8D"/>
    <w:rsid w:val="0039312D"/>
    <w:rsid w:val="003972B8"/>
    <w:rsid w:val="003A7FB0"/>
    <w:rsid w:val="003B09E4"/>
    <w:rsid w:val="003B6BD0"/>
    <w:rsid w:val="003B6E74"/>
    <w:rsid w:val="003C3E60"/>
    <w:rsid w:val="003D2B3E"/>
    <w:rsid w:val="003E3F51"/>
    <w:rsid w:val="003F6A93"/>
    <w:rsid w:val="004029BB"/>
    <w:rsid w:val="0041084E"/>
    <w:rsid w:val="00410881"/>
    <w:rsid w:val="00415926"/>
    <w:rsid w:val="004220B9"/>
    <w:rsid w:val="00424033"/>
    <w:rsid w:val="0042503B"/>
    <w:rsid w:val="00434037"/>
    <w:rsid w:val="00460431"/>
    <w:rsid w:val="004A3EB5"/>
    <w:rsid w:val="004B45DC"/>
    <w:rsid w:val="004D01AD"/>
    <w:rsid w:val="004D6FEC"/>
    <w:rsid w:val="00521C62"/>
    <w:rsid w:val="00523000"/>
    <w:rsid w:val="00523C87"/>
    <w:rsid w:val="00524626"/>
    <w:rsid w:val="005254D8"/>
    <w:rsid w:val="00540D4A"/>
    <w:rsid w:val="005471FA"/>
    <w:rsid w:val="00553A2E"/>
    <w:rsid w:val="00582921"/>
    <w:rsid w:val="00584F63"/>
    <w:rsid w:val="00586958"/>
    <w:rsid w:val="00591785"/>
    <w:rsid w:val="00596ED5"/>
    <w:rsid w:val="005A6115"/>
    <w:rsid w:val="005A68CE"/>
    <w:rsid w:val="005D3EBE"/>
    <w:rsid w:val="005D7B75"/>
    <w:rsid w:val="005E215C"/>
    <w:rsid w:val="00617E03"/>
    <w:rsid w:val="00632973"/>
    <w:rsid w:val="00645162"/>
    <w:rsid w:val="00664B2F"/>
    <w:rsid w:val="006718DB"/>
    <w:rsid w:val="00674A69"/>
    <w:rsid w:val="006840A6"/>
    <w:rsid w:val="00684B9A"/>
    <w:rsid w:val="0069079C"/>
    <w:rsid w:val="006A2873"/>
    <w:rsid w:val="006C28D6"/>
    <w:rsid w:val="006D522E"/>
    <w:rsid w:val="00700474"/>
    <w:rsid w:val="007124C8"/>
    <w:rsid w:val="00713207"/>
    <w:rsid w:val="0071582B"/>
    <w:rsid w:val="00737DBB"/>
    <w:rsid w:val="00756300"/>
    <w:rsid w:val="00762AAE"/>
    <w:rsid w:val="00773FEB"/>
    <w:rsid w:val="0079045C"/>
    <w:rsid w:val="007C1112"/>
    <w:rsid w:val="007D169D"/>
    <w:rsid w:val="007E55A7"/>
    <w:rsid w:val="007F3862"/>
    <w:rsid w:val="007F60B4"/>
    <w:rsid w:val="00815753"/>
    <w:rsid w:val="00825D8A"/>
    <w:rsid w:val="0084122C"/>
    <w:rsid w:val="00845A00"/>
    <w:rsid w:val="008A6F42"/>
    <w:rsid w:val="008B1030"/>
    <w:rsid w:val="008B2DB0"/>
    <w:rsid w:val="008B5066"/>
    <w:rsid w:val="008B5B28"/>
    <w:rsid w:val="008B7371"/>
    <w:rsid w:val="008C0C4A"/>
    <w:rsid w:val="008D255C"/>
    <w:rsid w:val="008D79A8"/>
    <w:rsid w:val="008D7EBE"/>
    <w:rsid w:val="008F697F"/>
    <w:rsid w:val="00935B74"/>
    <w:rsid w:val="00937BD4"/>
    <w:rsid w:val="00965D16"/>
    <w:rsid w:val="0096613E"/>
    <w:rsid w:val="00971853"/>
    <w:rsid w:val="00983CF7"/>
    <w:rsid w:val="00984DAB"/>
    <w:rsid w:val="00992914"/>
    <w:rsid w:val="00996A8F"/>
    <w:rsid w:val="009A53D0"/>
    <w:rsid w:val="009A6BF7"/>
    <w:rsid w:val="009C2DC5"/>
    <w:rsid w:val="009C4727"/>
    <w:rsid w:val="009F0266"/>
    <w:rsid w:val="00A15C8F"/>
    <w:rsid w:val="00A31387"/>
    <w:rsid w:val="00A61186"/>
    <w:rsid w:val="00A622A0"/>
    <w:rsid w:val="00A965CC"/>
    <w:rsid w:val="00AD6487"/>
    <w:rsid w:val="00AD7A71"/>
    <w:rsid w:val="00AE40C4"/>
    <w:rsid w:val="00AE73FF"/>
    <w:rsid w:val="00AF1BC2"/>
    <w:rsid w:val="00AF28A3"/>
    <w:rsid w:val="00B0127F"/>
    <w:rsid w:val="00B06D77"/>
    <w:rsid w:val="00B10694"/>
    <w:rsid w:val="00B1119B"/>
    <w:rsid w:val="00B217D0"/>
    <w:rsid w:val="00B30117"/>
    <w:rsid w:val="00B439F4"/>
    <w:rsid w:val="00B463DC"/>
    <w:rsid w:val="00B7194D"/>
    <w:rsid w:val="00B91AD8"/>
    <w:rsid w:val="00BA18C2"/>
    <w:rsid w:val="00BA2B85"/>
    <w:rsid w:val="00BC4649"/>
    <w:rsid w:val="00BC7E1E"/>
    <w:rsid w:val="00BF3A9A"/>
    <w:rsid w:val="00C14D01"/>
    <w:rsid w:val="00C16327"/>
    <w:rsid w:val="00C256D7"/>
    <w:rsid w:val="00C33162"/>
    <w:rsid w:val="00C62C55"/>
    <w:rsid w:val="00C91B64"/>
    <w:rsid w:val="00CA13CF"/>
    <w:rsid w:val="00CC5732"/>
    <w:rsid w:val="00CE121C"/>
    <w:rsid w:val="00CE4BFC"/>
    <w:rsid w:val="00D10938"/>
    <w:rsid w:val="00D22F53"/>
    <w:rsid w:val="00D316B0"/>
    <w:rsid w:val="00D342E4"/>
    <w:rsid w:val="00D36AB4"/>
    <w:rsid w:val="00D543EE"/>
    <w:rsid w:val="00D54EB2"/>
    <w:rsid w:val="00D60FF5"/>
    <w:rsid w:val="00D77C7B"/>
    <w:rsid w:val="00D87493"/>
    <w:rsid w:val="00D94F19"/>
    <w:rsid w:val="00DA6C33"/>
    <w:rsid w:val="00E0630A"/>
    <w:rsid w:val="00E1046B"/>
    <w:rsid w:val="00E10ECE"/>
    <w:rsid w:val="00E21792"/>
    <w:rsid w:val="00E62582"/>
    <w:rsid w:val="00E65B1F"/>
    <w:rsid w:val="00E67C76"/>
    <w:rsid w:val="00E71766"/>
    <w:rsid w:val="00E778C8"/>
    <w:rsid w:val="00E822C8"/>
    <w:rsid w:val="00E837D7"/>
    <w:rsid w:val="00E95F00"/>
    <w:rsid w:val="00EB500E"/>
    <w:rsid w:val="00EC5B1B"/>
    <w:rsid w:val="00ED50AC"/>
    <w:rsid w:val="00EE5073"/>
    <w:rsid w:val="00EF15A6"/>
    <w:rsid w:val="00EF37CB"/>
    <w:rsid w:val="00F30DC2"/>
    <w:rsid w:val="00F4570A"/>
    <w:rsid w:val="00F52300"/>
    <w:rsid w:val="00F56F09"/>
    <w:rsid w:val="00F637DD"/>
    <w:rsid w:val="00F659AF"/>
    <w:rsid w:val="00F81C00"/>
    <w:rsid w:val="00F84954"/>
    <w:rsid w:val="00F97C78"/>
    <w:rsid w:val="00FF1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0EF75"/>
  <w15:chartTrackingRefBased/>
  <w15:docId w15:val="{78AFCBDD-0304-4182-BD02-68F4B6A91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D8A"/>
    <w:pPr>
      <w:spacing w:after="0" w:line="480" w:lineRule="auto"/>
      <w:jc w:val="center"/>
    </w:pPr>
    <w:rPr>
      <w:rFonts w:ascii="Times New Roman" w:hAnsi="Times New Roman" w:cs="Times New Roman"/>
      <w:color w:val="000000" w:themeColor="text1"/>
      <w:kern w:val="2"/>
      <w:sz w:val="24"/>
      <w:szCs w:val="24"/>
      <w14:ligatures w14:val="standardContextual"/>
    </w:rPr>
  </w:style>
  <w:style w:type="paragraph" w:styleId="Heading1">
    <w:name w:val="heading 1"/>
    <w:basedOn w:val="Normal"/>
    <w:next w:val="Normal"/>
    <w:link w:val="Heading1Char"/>
    <w:uiPriority w:val="9"/>
    <w:qFormat/>
    <w:rsid w:val="00BC7E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C7E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C7E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7E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7E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7E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E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E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E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E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C7E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C7E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7E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7E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7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E1E"/>
    <w:rPr>
      <w:rFonts w:eastAsiaTheme="majorEastAsia" w:cstheme="majorBidi"/>
      <w:color w:val="272727" w:themeColor="text1" w:themeTint="D8"/>
    </w:rPr>
  </w:style>
  <w:style w:type="paragraph" w:styleId="Title">
    <w:name w:val="Title"/>
    <w:basedOn w:val="Normal"/>
    <w:next w:val="Normal"/>
    <w:link w:val="TitleChar"/>
    <w:uiPriority w:val="10"/>
    <w:qFormat/>
    <w:rsid w:val="00BC7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E1E"/>
    <w:pPr>
      <w:spacing w:before="160"/>
    </w:pPr>
    <w:rPr>
      <w:i/>
      <w:iCs/>
      <w:color w:val="404040" w:themeColor="text1" w:themeTint="BF"/>
    </w:rPr>
  </w:style>
  <w:style w:type="character" w:customStyle="1" w:styleId="QuoteChar">
    <w:name w:val="Quote Char"/>
    <w:basedOn w:val="DefaultParagraphFont"/>
    <w:link w:val="Quote"/>
    <w:uiPriority w:val="29"/>
    <w:rsid w:val="00BC7E1E"/>
    <w:rPr>
      <w:i/>
      <w:iCs/>
      <w:color w:val="404040" w:themeColor="text1" w:themeTint="BF"/>
    </w:rPr>
  </w:style>
  <w:style w:type="paragraph" w:styleId="ListParagraph">
    <w:name w:val="List Paragraph"/>
    <w:basedOn w:val="Normal"/>
    <w:uiPriority w:val="34"/>
    <w:qFormat/>
    <w:rsid w:val="00BC7E1E"/>
    <w:pPr>
      <w:ind w:left="720"/>
      <w:contextualSpacing/>
    </w:pPr>
  </w:style>
  <w:style w:type="character" w:styleId="IntenseEmphasis">
    <w:name w:val="Intense Emphasis"/>
    <w:basedOn w:val="DefaultParagraphFont"/>
    <w:uiPriority w:val="21"/>
    <w:qFormat/>
    <w:rsid w:val="00BC7E1E"/>
    <w:rPr>
      <w:i/>
      <w:iCs/>
      <w:color w:val="2F5496" w:themeColor="accent1" w:themeShade="BF"/>
    </w:rPr>
  </w:style>
  <w:style w:type="paragraph" w:styleId="IntenseQuote">
    <w:name w:val="Intense Quote"/>
    <w:basedOn w:val="Normal"/>
    <w:next w:val="Normal"/>
    <w:link w:val="IntenseQuoteChar"/>
    <w:uiPriority w:val="30"/>
    <w:qFormat/>
    <w:rsid w:val="00BC7E1E"/>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BC7E1E"/>
    <w:rPr>
      <w:i/>
      <w:iCs/>
      <w:color w:val="2F5496" w:themeColor="accent1" w:themeShade="BF"/>
    </w:rPr>
  </w:style>
  <w:style w:type="character" w:styleId="IntenseReference">
    <w:name w:val="Intense Reference"/>
    <w:basedOn w:val="DefaultParagraphFont"/>
    <w:uiPriority w:val="32"/>
    <w:qFormat/>
    <w:rsid w:val="00BC7E1E"/>
    <w:rPr>
      <w:b/>
      <w:bCs/>
      <w:smallCaps/>
      <w:color w:val="2F5496" w:themeColor="accent1" w:themeShade="BF"/>
      <w:spacing w:val="5"/>
    </w:rPr>
  </w:style>
  <w:style w:type="character" w:styleId="CommentReference">
    <w:name w:val="annotation reference"/>
    <w:basedOn w:val="DefaultParagraphFont"/>
    <w:uiPriority w:val="99"/>
    <w:semiHidden/>
    <w:unhideWhenUsed/>
    <w:rsid w:val="00D342E4"/>
    <w:rPr>
      <w:sz w:val="16"/>
      <w:szCs w:val="16"/>
    </w:rPr>
  </w:style>
  <w:style w:type="paragraph" w:styleId="CommentText">
    <w:name w:val="annotation text"/>
    <w:basedOn w:val="Normal"/>
    <w:link w:val="CommentTextChar"/>
    <w:uiPriority w:val="99"/>
    <w:semiHidden/>
    <w:unhideWhenUsed/>
    <w:rsid w:val="00D342E4"/>
    <w:rPr>
      <w:sz w:val="20"/>
      <w:szCs w:val="20"/>
    </w:rPr>
  </w:style>
  <w:style w:type="character" w:customStyle="1" w:styleId="CommentTextChar">
    <w:name w:val="Comment Text Char"/>
    <w:basedOn w:val="DefaultParagraphFont"/>
    <w:link w:val="CommentText"/>
    <w:uiPriority w:val="99"/>
    <w:semiHidden/>
    <w:rsid w:val="00D342E4"/>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D342E4"/>
    <w:rPr>
      <w:b/>
      <w:bCs/>
    </w:rPr>
  </w:style>
  <w:style w:type="character" w:customStyle="1" w:styleId="CommentSubjectChar">
    <w:name w:val="Comment Subject Char"/>
    <w:basedOn w:val="CommentTextChar"/>
    <w:link w:val="CommentSubject"/>
    <w:uiPriority w:val="99"/>
    <w:semiHidden/>
    <w:rsid w:val="00D342E4"/>
    <w:rPr>
      <w:b/>
      <w:bCs/>
      <w:kern w:val="2"/>
      <w:sz w:val="20"/>
      <w:szCs w:val="20"/>
      <w14:ligatures w14:val="standardContextual"/>
    </w:rPr>
  </w:style>
  <w:style w:type="paragraph" w:styleId="Header">
    <w:name w:val="header"/>
    <w:basedOn w:val="Normal"/>
    <w:link w:val="HeaderChar"/>
    <w:uiPriority w:val="99"/>
    <w:unhideWhenUsed/>
    <w:rsid w:val="00815753"/>
    <w:pPr>
      <w:tabs>
        <w:tab w:val="center" w:pos="4680"/>
        <w:tab w:val="right" w:pos="9360"/>
      </w:tabs>
    </w:pPr>
  </w:style>
  <w:style w:type="character" w:customStyle="1" w:styleId="HeaderChar">
    <w:name w:val="Header Char"/>
    <w:basedOn w:val="DefaultParagraphFont"/>
    <w:link w:val="Header"/>
    <w:uiPriority w:val="99"/>
    <w:rsid w:val="00815753"/>
    <w:rPr>
      <w:kern w:val="2"/>
      <w:sz w:val="24"/>
      <w:szCs w:val="24"/>
      <w14:ligatures w14:val="standardContextual"/>
    </w:rPr>
  </w:style>
  <w:style w:type="paragraph" w:styleId="Footer">
    <w:name w:val="footer"/>
    <w:basedOn w:val="Normal"/>
    <w:link w:val="FooterChar"/>
    <w:uiPriority w:val="99"/>
    <w:unhideWhenUsed/>
    <w:rsid w:val="00815753"/>
    <w:pPr>
      <w:tabs>
        <w:tab w:val="center" w:pos="4680"/>
        <w:tab w:val="right" w:pos="9360"/>
      </w:tabs>
    </w:pPr>
  </w:style>
  <w:style w:type="character" w:customStyle="1" w:styleId="FooterChar">
    <w:name w:val="Footer Char"/>
    <w:basedOn w:val="DefaultParagraphFont"/>
    <w:link w:val="Footer"/>
    <w:uiPriority w:val="99"/>
    <w:rsid w:val="00815753"/>
    <w:rPr>
      <w:kern w:val="2"/>
      <w:sz w:val="24"/>
      <w:szCs w:val="24"/>
      <w14:ligatures w14:val="standardContextual"/>
    </w:rPr>
  </w:style>
  <w:style w:type="paragraph" w:styleId="NormalWeb">
    <w:name w:val="Normal (Web)"/>
    <w:basedOn w:val="Normal"/>
    <w:link w:val="NormalWebChar"/>
    <w:uiPriority w:val="99"/>
    <w:unhideWhenUsed/>
    <w:qFormat/>
    <w:rsid w:val="00815753"/>
    <w:pPr>
      <w:spacing w:before="100" w:beforeAutospacing="1" w:after="100" w:afterAutospacing="1"/>
    </w:pPr>
    <w:rPr>
      <w:rFonts w:eastAsia="Times New Roman"/>
      <w:kern w:val="0"/>
      <w14:ligatures w14:val="none"/>
    </w:rPr>
  </w:style>
  <w:style w:type="character" w:customStyle="1" w:styleId="NormalWebChar">
    <w:name w:val="Normal (Web) Char"/>
    <w:basedOn w:val="DefaultParagraphFont"/>
    <w:link w:val="NormalWeb"/>
    <w:uiPriority w:val="99"/>
    <w:rsid w:val="00815753"/>
    <w:rPr>
      <w:rFonts w:ascii="Times New Roman" w:eastAsia="Times New Roman" w:hAnsi="Times New Roman" w:cs="Times New Roman"/>
      <w:sz w:val="24"/>
      <w:szCs w:val="24"/>
    </w:rPr>
  </w:style>
  <w:style w:type="paragraph" w:styleId="NoSpacing">
    <w:name w:val="No Spacing"/>
    <w:uiPriority w:val="1"/>
    <w:qFormat/>
    <w:rsid w:val="00815753"/>
    <w:pPr>
      <w:spacing w:after="0" w:line="240" w:lineRule="auto"/>
    </w:pPr>
    <w:rPr>
      <w:kern w:val="2"/>
      <w:sz w:val="24"/>
      <w:szCs w:val="24"/>
      <w14:ligatures w14:val="standardContextual"/>
    </w:rPr>
  </w:style>
  <w:style w:type="character" w:styleId="EndnoteReference">
    <w:name w:val="endnote reference"/>
    <w:basedOn w:val="DefaultParagraphFont"/>
    <w:uiPriority w:val="99"/>
    <w:semiHidden/>
    <w:unhideWhenUsed/>
    <w:rsid w:val="00815753"/>
    <w:rPr>
      <w:vertAlign w:val="superscript"/>
    </w:rPr>
  </w:style>
  <w:style w:type="paragraph" w:styleId="EndnoteText">
    <w:name w:val="endnote text"/>
    <w:basedOn w:val="Normal"/>
    <w:link w:val="EndnoteTextChar"/>
    <w:uiPriority w:val="99"/>
    <w:unhideWhenUsed/>
    <w:rsid w:val="00BC4649"/>
    <w:pPr>
      <w:jc w:val="left"/>
    </w:pPr>
    <w:rPr>
      <w:kern w:val="0"/>
      <w:sz w:val="20"/>
      <w:szCs w:val="20"/>
      <w14:ligatures w14:val="none"/>
    </w:rPr>
  </w:style>
  <w:style w:type="character" w:customStyle="1" w:styleId="EndnoteTextChar">
    <w:name w:val="Endnote Text Char"/>
    <w:basedOn w:val="DefaultParagraphFont"/>
    <w:link w:val="EndnoteText"/>
    <w:uiPriority w:val="99"/>
    <w:rsid w:val="00BC4649"/>
    <w:rPr>
      <w:rFonts w:ascii="Times New Roman" w:hAnsi="Times New Roman" w:cs="Times New Roman"/>
      <w:color w:val="000000" w:themeColor="text1"/>
      <w:sz w:val="20"/>
      <w:szCs w:val="20"/>
    </w:rPr>
  </w:style>
  <w:style w:type="character" w:styleId="Hyperlink">
    <w:name w:val="Hyperlink"/>
    <w:basedOn w:val="DefaultParagraphFont"/>
    <w:uiPriority w:val="99"/>
    <w:unhideWhenUsed/>
    <w:rsid w:val="002B2A02"/>
    <w:rPr>
      <w:color w:val="0563C1" w:themeColor="hyperlink"/>
      <w:u w:val="single"/>
    </w:rPr>
  </w:style>
  <w:style w:type="character" w:customStyle="1" w:styleId="apple-converted-space">
    <w:name w:val="apple-converted-space"/>
    <w:basedOn w:val="DefaultParagraphFont"/>
    <w:rsid w:val="005A68CE"/>
  </w:style>
  <w:style w:type="paragraph" w:customStyle="1" w:styleId="EndNoteBibliography">
    <w:name w:val="EndNote Bibliography"/>
    <w:basedOn w:val="Normal"/>
    <w:link w:val="EndNoteBibliographyChar"/>
    <w:rsid w:val="005A68CE"/>
    <w:pPr>
      <w:jc w:val="both"/>
    </w:pPr>
    <w:rPr>
      <w:rFonts w:eastAsia="Times New Roman"/>
      <w:noProof/>
    </w:rPr>
  </w:style>
  <w:style w:type="character" w:customStyle="1" w:styleId="EndNoteBibliographyChar">
    <w:name w:val="EndNote Bibliography Char"/>
    <w:basedOn w:val="NormalWebChar"/>
    <w:link w:val="EndNoteBibliography"/>
    <w:rsid w:val="005A68CE"/>
    <w:rPr>
      <w:rFonts w:ascii="Times New Roman" w:eastAsia="Times New Roman" w:hAnsi="Times New Roman" w:cs="Times New Roman"/>
      <w:noProof/>
      <w:kern w:val="2"/>
      <w:sz w:val="24"/>
      <w:szCs w:val="24"/>
      <w14:ligatures w14:val="standardContextual"/>
    </w:rPr>
  </w:style>
  <w:style w:type="paragraph" w:styleId="TOCHeading">
    <w:name w:val="TOC Heading"/>
    <w:basedOn w:val="Heading1"/>
    <w:next w:val="Normal"/>
    <w:uiPriority w:val="39"/>
    <w:unhideWhenUsed/>
    <w:qFormat/>
    <w:rsid w:val="00825D8A"/>
    <w:pPr>
      <w:spacing w:before="240" w:after="0" w:line="259" w:lineRule="auto"/>
      <w:jc w:val="left"/>
      <w:outlineLvl w:val="9"/>
    </w:pPr>
    <w:rPr>
      <w:kern w:val="0"/>
      <w:sz w:val="32"/>
      <w:szCs w:val="32"/>
      <w14:ligatures w14:val="none"/>
    </w:rPr>
  </w:style>
  <w:style w:type="character" w:styleId="SubtleEmphasis">
    <w:name w:val="Subtle Emphasis"/>
    <w:basedOn w:val="DefaultParagraphFont"/>
    <w:uiPriority w:val="19"/>
    <w:qFormat/>
    <w:rsid w:val="00AD7A71"/>
    <w:rPr>
      <w:i/>
      <w:iCs/>
      <w:color w:val="404040" w:themeColor="text1" w:themeTint="BF"/>
    </w:rPr>
  </w:style>
  <w:style w:type="paragraph" w:styleId="TOC1">
    <w:name w:val="toc 1"/>
    <w:basedOn w:val="Normal"/>
    <w:next w:val="Normal"/>
    <w:autoRedefine/>
    <w:uiPriority w:val="39"/>
    <w:unhideWhenUsed/>
    <w:rsid w:val="00A15C8F"/>
    <w:pPr>
      <w:spacing w:after="100"/>
    </w:pPr>
  </w:style>
  <w:style w:type="paragraph" w:styleId="TOC2">
    <w:name w:val="toc 2"/>
    <w:basedOn w:val="Normal"/>
    <w:next w:val="Normal"/>
    <w:autoRedefine/>
    <w:uiPriority w:val="39"/>
    <w:unhideWhenUsed/>
    <w:rsid w:val="00A15C8F"/>
    <w:pPr>
      <w:spacing w:after="100"/>
      <w:ind w:left="240"/>
    </w:pPr>
  </w:style>
  <w:style w:type="paragraph" w:styleId="TOC3">
    <w:name w:val="toc 3"/>
    <w:basedOn w:val="Normal"/>
    <w:next w:val="Normal"/>
    <w:autoRedefine/>
    <w:uiPriority w:val="39"/>
    <w:unhideWhenUsed/>
    <w:rsid w:val="00A15C8F"/>
    <w:pPr>
      <w:spacing w:after="100"/>
      <w:ind w:left="480"/>
    </w:pPr>
  </w:style>
  <w:style w:type="paragraph" w:styleId="TOC4">
    <w:name w:val="toc 4"/>
    <w:basedOn w:val="Normal"/>
    <w:next w:val="Normal"/>
    <w:autoRedefine/>
    <w:uiPriority w:val="39"/>
    <w:unhideWhenUsed/>
    <w:rsid w:val="00E778C8"/>
    <w:pPr>
      <w:spacing w:after="100" w:line="278" w:lineRule="auto"/>
      <w:ind w:left="720"/>
      <w:jc w:val="left"/>
    </w:pPr>
    <w:rPr>
      <w:rFonts w:asciiTheme="minorHAnsi" w:eastAsiaTheme="minorEastAsia" w:hAnsiTheme="minorHAnsi" w:cstheme="minorBidi"/>
      <w:color w:val="auto"/>
    </w:rPr>
  </w:style>
  <w:style w:type="paragraph" w:styleId="TOC5">
    <w:name w:val="toc 5"/>
    <w:basedOn w:val="Normal"/>
    <w:next w:val="Normal"/>
    <w:autoRedefine/>
    <w:uiPriority w:val="39"/>
    <w:unhideWhenUsed/>
    <w:rsid w:val="00E778C8"/>
    <w:pPr>
      <w:spacing w:after="100" w:line="278" w:lineRule="auto"/>
      <w:ind w:left="960"/>
      <w:jc w:val="left"/>
    </w:pPr>
    <w:rPr>
      <w:rFonts w:asciiTheme="minorHAnsi" w:eastAsiaTheme="minorEastAsia" w:hAnsiTheme="minorHAnsi" w:cstheme="minorBidi"/>
      <w:color w:val="auto"/>
    </w:rPr>
  </w:style>
  <w:style w:type="paragraph" w:styleId="TOC6">
    <w:name w:val="toc 6"/>
    <w:basedOn w:val="Normal"/>
    <w:next w:val="Normal"/>
    <w:autoRedefine/>
    <w:uiPriority w:val="39"/>
    <w:unhideWhenUsed/>
    <w:rsid w:val="00E778C8"/>
    <w:pPr>
      <w:spacing w:after="100" w:line="278" w:lineRule="auto"/>
      <w:ind w:left="1200"/>
      <w:jc w:val="left"/>
    </w:pPr>
    <w:rPr>
      <w:rFonts w:asciiTheme="minorHAnsi" w:eastAsiaTheme="minorEastAsia" w:hAnsiTheme="minorHAnsi" w:cstheme="minorBidi"/>
      <w:color w:val="auto"/>
    </w:rPr>
  </w:style>
  <w:style w:type="paragraph" w:styleId="TOC7">
    <w:name w:val="toc 7"/>
    <w:basedOn w:val="Normal"/>
    <w:next w:val="Normal"/>
    <w:autoRedefine/>
    <w:uiPriority w:val="39"/>
    <w:unhideWhenUsed/>
    <w:rsid w:val="00E778C8"/>
    <w:pPr>
      <w:spacing w:after="100" w:line="278" w:lineRule="auto"/>
      <w:ind w:left="1440"/>
      <w:jc w:val="left"/>
    </w:pPr>
    <w:rPr>
      <w:rFonts w:asciiTheme="minorHAnsi" w:eastAsiaTheme="minorEastAsia" w:hAnsiTheme="minorHAnsi" w:cstheme="minorBidi"/>
      <w:color w:val="auto"/>
    </w:rPr>
  </w:style>
  <w:style w:type="paragraph" w:styleId="TOC8">
    <w:name w:val="toc 8"/>
    <w:basedOn w:val="Normal"/>
    <w:next w:val="Normal"/>
    <w:autoRedefine/>
    <w:uiPriority w:val="39"/>
    <w:unhideWhenUsed/>
    <w:rsid w:val="00E778C8"/>
    <w:pPr>
      <w:spacing w:after="100" w:line="278" w:lineRule="auto"/>
      <w:ind w:left="1680"/>
      <w:jc w:val="left"/>
    </w:pPr>
    <w:rPr>
      <w:rFonts w:asciiTheme="minorHAnsi" w:eastAsiaTheme="minorEastAsia" w:hAnsiTheme="minorHAnsi" w:cstheme="minorBidi"/>
      <w:color w:val="auto"/>
    </w:rPr>
  </w:style>
  <w:style w:type="paragraph" w:styleId="TOC9">
    <w:name w:val="toc 9"/>
    <w:basedOn w:val="Normal"/>
    <w:next w:val="Normal"/>
    <w:autoRedefine/>
    <w:uiPriority w:val="39"/>
    <w:unhideWhenUsed/>
    <w:rsid w:val="00E778C8"/>
    <w:pPr>
      <w:spacing w:after="100" w:line="278" w:lineRule="auto"/>
      <w:ind w:left="1920"/>
      <w:jc w:val="left"/>
    </w:pPr>
    <w:rPr>
      <w:rFonts w:asciiTheme="minorHAnsi" w:eastAsiaTheme="minorEastAsia" w:hAnsiTheme="minorHAnsi" w:cstheme="minorBidi"/>
      <w:color w:val="auto"/>
    </w:rPr>
  </w:style>
  <w:style w:type="character" w:styleId="UnresolvedMention">
    <w:name w:val="Unresolved Mention"/>
    <w:basedOn w:val="DefaultParagraphFont"/>
    <w:uiPriority w:val="99"/>
    <w:semiHidden/>
    <w:unhideWhenUsed/>
    <w:rsid w:val="00E778C8"/>
    <w:rPr>
      <w:color w:val="605E5C"/>
      <w:shd w:val="clear" w:color="auto" w:fill="E1DFDD"/>
    </w:rPr>
  </w:style>
  <w:style w:type="table" w:styleId="TableGrid">
    <w:name w:val="Table Grid"/>
    <w:basedOn w:val="TableNormal"/>
    <w:uiPriority w:val="39"/>
    <w:rsid w:val="00425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1A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3310">
      <w:bodyDiv w:val="1"/>
      <w:marLeft w:val="0"/>
      <w:marRight w:val="0"/>
      <w:marTop w:val="0"/>
      <w:marBottom w:val="0"/>
      <w:divBdr>
        <w:top w:val="none" w:sz="0" w:space="0" w:color="auto"/>
        <w:left w:val="none" w:sz="0" w:space="0" w:color="auto"/>
        <w:bottom w:val="none" w:sz="0" w:space="0" w:color="auto"/>
        <w:right w:val="none" w:sz="0" w:space="0" w:color="auto"/>
      </w:divBdr>
    </w:div>
    <w:div w:id="102306135">
      <w:bodyDiv w:val="1"/>
      <w:marLeft w:val="0"/>
      <w:marRight w:val="0"/>
      <w:marTop w:val="0"/>
      <w:marBottom w:val="0"/>
      <w:divBdr>
        <w:top w:val="none" w:sz="0" w:space="0" w:color="auto"/>
        <w:left w:val="none" w:sz="0" w:space="0" w:color="auto"/>
        <w:bottom w:val="none" w:sz="0" w:space="0" w:color="auto"/>
        <w:right w:val="none" w:sz="0" w:space="0" w:color="auto"/>
      </w:divBdr>
      <w:divsChild>
        <w:div w:id="1299919892">
          <w:marLeft w:val="0"/>
          <w:marRight w:val="0"/>
          <w:marTop w:val="0"/>
          <w:marBottom w:val="0"/>
          <w:divBdr>
            <w:top w:val="none" w:sz="0" w:space="0" w:color="auto"/>
            <w:left w:val="none" w:sz="0" w:space="0" w:color="auto"/>
            <w:bottom w:val="none" w:sz="0" w:space="0" w:color="auto"/>
            <w:right w:val="none" w:sz="0" w:space="0" w:color="auto"/>
          </w:divBdr>
          <w:divsChild>
            <w:div w:id="14693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13570">
      <w:bodyDiv w:val="1"/>
      <w:marLeft w:val="0"/>
      <w:marRight w:val="0"/>
      <w:marTop w:val="0"/>
      <w:marBottom w:val="0"/>
      <w:divBdr>
        <w:top w:val="none" w:sz="0" w:space="0" w:color="auto"/>
        <w:left w:val="none" w:sz="0" w:space="0" w:color="auto"/>
        <w:bottom w:val="none" w:sz="0" w:space="0" w:color="auto"/>
        <w:right w:val="none" w:sz="0" w:space="0" w:color="auto"/>
      </w:divBdr>
      <w:divsChild>
        <w:div w:id="1298678117">
          <w:marLeft w:val="360"/>
          <w:marRight w:val="0"/>
          <w:marTop w:val="200"/>
          <w:marBottom w:val="0"/>
          <w:divBdr>
            <w:top w:val="none" w:sz="0" w:space="0" w:color="auto"/>
            <w:left w:val="none" w:sz="0" w:space="0" w:color="auto"/>
            <w:bottom w:val="none" w:sz="0" w:space="0" w:color="auto"/>
            <w:right w:val="none" w:sz="0" w:space="0" w:color="auto"/>
          </w:divBdr>
        </w:div>
        <w:div w:id="2030717183">
          <w:marLeft w:val="360"/>
          <w:marRight w:val="0"/>
          <w:marTop w:val="200"/>
          <w:marBottom w:val="0"/>
          <w:divBdr>
            <w:top w:val="none" w:sz="0" w:space="0" w:color="auto"/>
            <w:left w:val="none" w:sz="0" w:space="0" w:color="auto"/>
            <w:bottom w:val="none" w:sz="0" w:space="0" w:color="auto"/>
            <w:right w:val="none" w:sz="0" w:space="0" w:color="auto"/>
          </w:divBdr>
        </w:div>
      </w:divsChild>
    </w:div>
    <w:div w:id="282352371">
      <w:bodyDiv w:val="1"/>
      <w:marLeft w:val="0"/>
      <w:marRight w:val="0"/>
      <w:marTop w:val="0"/>
      <w:marBottom w:val="0"/>
      <w:divBdr>
        <w:top w:val="none" w:sz="0" w:space="0" w:color="auto"/>
        <w:left w:val="none" w:sz="0" w:space="0" w:color="auto"/>
        <w:bottom w:val="none" w:sz="0" w:space="0" w:color="auto"/>
        <w:right w:val="none" w:sz="0" w:space="0" w:color="auto"/>
      </w:divBdr>
      <w:divsChild>
        <w:div w:id="203297387">
          <w:marLeft w:val="0"/>
          <w:marRight w:val="0"/>
          <w:marTop w:val="0"/>
          <w:marBottom w:val="0"/>
          <w:divBdr>
            <w:top w:val="none" w:sz="0" w:space="0" w:color="auto"/>
            <w:left w:val="none" w:sz="0" w:space="0" w:color="auto"/>
            <w:bottom w:val="none" w:sz="0" w:space="0" w:color="auto"/>
            <w:right w:val="none" w:sz="0" w:space="0" w:color="auto"/>
          </w:divBdr>
          <w:divsChild>
            <w:div w:id="11864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6891">
      <w:bodyDiv w:val="1"/>
      <w:marLeft w:val="0"/>
      <w:marRight w:val="0"/>
      <w:marTop w:val="0"/>
      <w:marBottom w:val="0"/>
      <w:divBdr>
        <w:top w:val="none" w:sz="0" w:space="0" w:color="auto"/>
        <w:left w:val="none" w:sz="0" w:space="0" w:color="auto"/>
        <w:bottom w:val="none" w:sz="0" w:space="0" w:color="auto"/>
        <w:right w:val="none" w:sz="0" w:space="0" w:color="auto"/>
      </w:divBdr>
    </w:div>
    <w:div w:id="499737990">
      <w:bodyDiv w:val="1"/>
      <w:marLeft w:val="0"/>
      <w:marRight w:val="0"/>
      <w:marTop w:val="0"/>
      <w:marBottom w:val="0"/>
      <w:divBdr>
        <w:top w:val="none" w:sz="0" w:space="0" w:color="auto"/>
        <w:left w:val="none" w:sz="0" w:space="0" w:color="auto"/>
        <w:bottom w:val="none" w:sz="0" w:space="0" w:color="auto"/>
        <w:right w:val="none" w:sz="0" w:space="0" w:color="auto"/>
      </w:divBdr>
    </w:div>
    <w:div w:id="653753143">
      <w:bodyDiv w:val="1"/>
      <w:marLeft w:val="0"/>
      <w:marRight w:val="0"/>
      <w:marTop w:val="0"/>
      <w:marBottom w:val="0"/>
      <w:divBdr>
        <w:top w:val="none" w:sz="0" w:space="0" w:color="auto"/>
        <w:left w:val="none" w:sz="0" w:space="0" w:color="auto"/>
        <w:bottom w:val="none" w:sz="0" w:space="0" w:color="auto"/>
        <w:right w:val="none" w:sz="0" w:space="0" w:color="auto"/>
      </w:divBdr>
    </w:div>
    <w:div w:id="712195364">
      <w:bodyDiv w:val="1"/>
      <w:marLeft w:val="0"/>
      <w:marRight w:val="0"/>
      <w:marTop w:val="0"/>
      <w:marBottom w:val="0"/>
      <w:divBdr>
        <w:top w:val="none" w:sz="0" w:space="0" w:color="auto"/>
        <w:left w:val="none" w:sz="0" w:space="0" w:color="auto"/>
        <w:bottom w:val="none" w:sz="0" w:space="0" w:color="auto"/>
        <w:right w:val="none" w:sz="0" w:space="0" w:color="auto"/>
      </w:divBdr>
      <w:divsChild>
        <w:div w:id="85932144">
          <w:marLeft w:val="0"/>
          <w:marRight w:val="0"/>
          <w:marTop w:val="0"/>
          <w:marBottom w:val="0"/>
          <w:divBdr>
            <w:top w:val="none" w:sz="0" w:space="0" w:color="auto"/>
            <w:left w:val="none" w:sz="0" w:space="0" w:color="auto"/>
            <w:bottom w:val="none" w:sz="0" w:space="0" w:color="auto"/>
            <w:right w:val="none" w:sz="0" w:space="0" w:color="auto"/>
          </w:divBdr>
          <w:divsChild>
            <w:div w:id="164766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87509">
      <w:bodyDiv w:val="1"/>
      <w:marLeft w:val="0"/>
      <w:marRight w:val="0"/>
      <w:marTop w:val="0"/>
      <w:marBottom w:val="0"/>
      <w:divBdr>
        <w:top w:val="none" w:sz="0" w:space="0" w:color="auto"/>
        <w:left w:val="none" w:sz="0" w:space="0" w:color="auto"/>
        <w:bottom w:val="none" w:sz="0" w:space="0" w:color="auto"/>
        <w:right w:val="none" w:sz="0" w:space="0" w:color="auto"/>
      </w:divBdr>
    </w:div>
    <w:div w:id="944969376">
      <w:bodyDiv w:val="1"/>
      <w:marLeft w:val="0"/>
      <w:marRight w:val="0"/>
      <w:marTop w:val="0"/>
      <w:marBottom w:val="0"/>
      <w:divBdr>
        <w:top w:val="none" w:sz="0" w:space="0" w:color="auto"/>
        <w:left w:val="none" w:sz="0" w:space="0" w:color="auto"/>
        <w:bottom w:val="none" w:sz="0" w:space="0" w:color="auto"/>
        <w:right w:val="none" w:sz="0" w:space="0" w:color="auto"/>
      </w:divBdr>
      <w:divsChild>
        <w:div w:id="1755972469">
          <w:marLeft w:val="0"/>
          <w:marRight w:val="0"/>
          <w:marTop w:val="0"/>
          <w:marBottom w:val="0"/>
          <w:divBdr>
            <w:top w:val="none" w:sz="0" w:space="0" w:color="auto"/>
            <w:left w:val="none" w:sz="0" w:space="0" w:color="auto"/>
            <w:bottom w:val="none" w:sz="0" w:space="0" w:color="auto"/>
            <w:right w:val="none" w:sz="0" w:space="0" w:color="auto"/>
          </w:divBdr>
          <w:divsChild>
            <w:div w:id="131899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39872">
      <w:bodyDiv w:val="1"/>
      <w:marLeft w:val="0"/>
      <w:marRight w:val="0"/>
      <w:marTop w:val="0"/>
      <w:marBottom w:val="0"/>
      <w:divBdr>
        <w:top w:val="none" w:sz="0" w:space="0" w:color="auto"/>
        <w:left w:val="none" w:sz="0" w:space="0" w:color="auto"/>
        <w:bottom w:val="none" w:sz="0" w:space="0" w:color="auto"/>
        <w:right w:val="none" w:sz="0" w:space="0" w:color="auto"/>
      </w:divBdr>
    </w:div>
    <w:div w:id="1214192753">
      <w:bodyDiv w:val="1"/>
      <w:marLeft w:val="0"/>
      <w:marRight w:val="0"/>
      <w:marTop w:val="0"/>
      <w:marBottom w:val="0"/>
      <w:divBdr>
        <w:top w:val="none" w:sz="0" w:space="0" w:color="auto"/>
        <w:left w:val="none" w:sz="0" w:space="0" w:color="auto"/>
        <w:bottom w:val="none" w:sz="0" w:space="0" w:color="auto"/>
        <w:right w:val="none" w:sz="0" w:space="0" w:color="auto"/>
      </w:divBdr>
      <w:divsChild>
        <w:div w:id="1657032258">
          <w:marLeft w:val="0"/>
          <w:marRight w:val="0"/>
          <w:marTop w:val="0"/>
          <w:marBottom w:val="0"/>
          <w:divBdr>
            <w:top w:val="none" w:sz="0" w:space="0" w:color="auto"/>
            <w:left w:val="none" w:sz="0" w:space="0" w:color="auto"/>
            <w:bottom w:val="none" w:sz="0" w:space="0" w:color="auto"/>
            <w:right w:val="none" w:sz="0" w:space="0" w:color="auto"/>
          </w:divBdr>
          <w:divsChild>
            <w:div w:id="2414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37568">
      <w:bodyDiv w:val="1"/>
      <w:marLeft w:val="0"/>
      <w:marRight w:val="0"/>
      <w:marTop w:val="0"/>
      <w:marBottom w:val="0"/>
      <w:divBdr>
        <w:top w:val="none" w:sz="0" w:space="0" w:color="auto"/>
        <w:left w:val="none" w:sz="0" w:space="0" w:color="auto"/>
        <w:bottom w:val="none" w:sz="0" w:space="0" w:color="auto"/>
        <w:right w:val="none" w:sz="0" w:space="0" w:color="auto"/>
      </w:divBdr>
    </w:div>
    <w:div w:id="1306619339">
      <w:bodyDiv w:val="1"/>
      <w:marLeft w:val="0"/>
      <w:marRight w:val="0"/>
      <w:marTop w:val="0"/>
      <w:marBottom w:val="0"/>
      <w:divBdr>
        <w:top w:val="none" w:sz="0" w:space="0" w:color="auto"/>
        <w:left w:val="none" w:sz="0" w:space="0" w:color="auto"/>
        <w:bottom w:val="none" w:sz="0" w:space="0" w:color="auto"/>
        <w:right w:val="none" w:sz="0" w:space="0" w:color="auto"/>
      </w:divBdr>
    </w:div>
    <w:div w:id="1357537869">
      <w:bodyDiv w:val="1"/>
      <w:marLeft w:val="0"/>
      <w:marRight w:val="0"/>
      <w:marTop w:val="0"/>
      <w:marBottom w:val="0"/>
      <w:divBdr>
        <w:top w:val="none" w:sz="0" w:space="0" w:color="auto"/>
        <w:left w:val="none" w:sz="0" w:space="0" w:color="auto"/>
        <w:bottom w:val="none" w:sz="0" w:space="0" w:color="auto"/>
        <w:right w:val="none" w:sz="0" w:space="0" w:color="auto"/>
      </w:divBdr>
      <w:divsChild>
        <w:div w:id="430976342">
          <w:marLeft w:val="0"/>
          <w:marRight w:val="0"/>
          <w:marTop w:val="0"/>
          <w:marBottom w:val="0"/>
          <w:divBdr>
            <w:top w:val="none" w:sz="0" w:space="0" w:color="auto"/>
            <w:left w:val="none" w:sz="0" w:space="0" w:color="auto"/>
            <w:bottom w:val="none" w:sz="0" w:space="0" w:color="auto"/>
            <w:right w:val="none" w:sz="0" w:space="0" w:color="auto"/>
          </w:divBdr>
          <w:divsChild>
            <w:div w:id="31237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14102">
      <w:bodyDiv w:val="1"/>
      <w:marLeft w:val="0"/>
      <w:marRight w:val="0"/>
      <w:marTop w:val="0"/>
      <w:marBottom w:val="0"/>
      <w:divBdr>
        <w:top w:val="none" w:sz="0" w:space="0" w:color="auto"/>
        <w:left w:val="none" w:sz="0" w:space="0" w:color="auto"/>
        <w:bottom w:val="none" w:sz="0" w:space="0" w:color="auto"/>
        <w:right w:val="none" w:sz="0" w:space="0" w:color="auto"/>
      </w:divBdr>
    </w:div>
    <w:div w:id="1418090740">
      <w:bodyDiv w:val="1"/>
      <w:marLeft w:val="0"/>
      <w:marRight w:val="0"/>
      <w:marTop w:val="0"/>
      <w:marBottom w:val="0"/>
      <w:divBdr>
        <w:top w:val="none" w:sz="0" w:space="0" w:color="auto"/>
        <w:left w:val="none" w:sz="0" w:space="0" w:color="auto"/>
        <w:bottom w:val="none" w:sz="0" w:space="0" w:color="auto"/>
        <w:right w:val="none" w:sz="0" w:space="0" w:color="auto"/>
      </w:divBdr>
    </w:div>
    <w:div w:id="1426414761">
      <w:bodyDiv w:val="1"/>
      <w:marLeft w:val="0"/>
      <w:marRight w:val="0"/>
      <w:marTop w:val="0"/>
      <w:marBottom w:val="0"/>
      <w:divBdr>
        <w:top w:val="none" w:sz="0" w:space="0" w:color="auto"/>
        <w:left w:val="none" w:sz="0" w:space="0" w:color="auto"/>
        <w:bottom w:val="none" w:sz="0" w:space="0" w:color="auto"/>
        <w:right w:val="none" w:sz="0" w:space="0" w:color="auto"/>
      </w:divBdr>
    </w:div>
    <w:div w:id="1618290252">
      <w:bodyDiv w:val="1"/>
      <w:marLeft w:val="0"/>
      <w:marRight w:val="0"/>
      <w:marTop w:val="0"/>
      <w:marBottom w:val="0"/>
      <w:divBdr>
        <w:top w:val="none" w:sz="0" w:space="0" w:color="auto"/>
        <w:left w:val="none" w:sz="0" w:space="0" w:color="auto"/>
        <w:bottom w:val="none" w:sz="0" w:space="0" w:color="auto"/>
        <w:right w:val="none" w:sz="0" w:space="0" w:color="auto"/>
      </w:divBdr>
      <w:divsChild>
        <w:div w:id="1372877998">
          <w:marLeft w:val="0"/>
          <w:marRight w:val="0"/>
          <w:marTop w:val="0"/>
          <w:marBottom w:val="0"/>
          <w:divBdr>
            <w:top w:val="none" w:sz="0" w:space="0" w:color="auto"/>
            <w:left w:val="none" w:sz="0" w:space="0" w:color="auto"/>
            <w:bottom w:val="none" w:sz="0" w:space="0" w:color="auto"/>
            <w:right w:val="none" w:sz="0" w:space="0" w:color="auto"/>
          </w:divBdr>
          <w:divsChild>
            <w:div w:id="7036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7947">
      <w:bodyDiv w:val="1"/>
      <w:marLeft w:val="0"/>
      <w:marRight w:val="0"/>
      <w:marTop w:val="0"/>
      <w:marBottom w:val="0"/>
      <w:divBdr>
        <w:top w:val="none" w:sz="0" w:space="0" w:color="auto"/>
        <w:left w:val="none" w:sz="0" w:space="0" w:color="auto"/>
        <w:bottom w:val="none" w:sz="0" w:space="0" w:color="auto"/>
        <w:right w:val="none" w:sz="0" w:space="0" w:color="auto"/>
      </w:divBdr>
    </w:div>
    <w:div w:id="1700626013">
      <w:bodyDiv w:val="1"/>
      <w:marLeft w:val="0"/>
      <w:marRight w:val="0"/>
      <w:marTop w:val="0"/>
      <w:marBottom w:val="0"/>
      <w:divBdr>
        <w:top w:val="none" w:sz="0" w:space="0" w:color="auto"/>
        <w:left w:val="none" w:sz="0" w:space="0" w:color="auto"/>
        <w:bottom w:val="none" w:sz="0" w:space="0" w:color="auto"/>
        <w:right w:val="none" w:sz="0" w:space="0" w:color="auto"/>
      </w:divBdr>
    </w:div>
    <w:div w:id="1735469539">
      <w:bodyDiv w:val="1"/>
      <w:marLeft w:val="0"/>
      <w:marRight w:val="0"/>
      <w:marTop w:val="0"/>
      <w:marBottom w:val="0"/>
      <w:divBdr>
        <w:top w:val="none" w:sz="0" w:space="0" w:color="auto"/>
        <w:left w:val="none" w:sz="0" w:space="0" w:color="auto"/>
        <w:bottom w:val="none" w:sz="0" w:space="0" w:color="auto"/>
        <w:right w:val="none" w:sz="0" w:space="0" w:color="auto"/>
      </w:divBdr>
      <w:divsChild>
        <w:div w:id="1084643554">
          <w:marLeft w:val="0"/>
          <w:marRight w:val="0"/>
          <w:marTop w:val="0"/>
          <w:marBottom w:val="0"/>
          <w:divBdr>
            <w:top w:val="none" w:sz="0" w:space="0" w:color="auto"/>
            <w:left w:val="none" w:sz="0" w:space="0" w:color="auto"/>
            <w:bottom w:val="none" w:sz="0" w:space="0" w:color="auto"/>
            <w:right w:val="none" w:sz="0" w:space="0" w:color="auto"/>
          </w:divBdr>
          <w:divsChild>
            <w:div w:id="1867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87555">
      <w:bodyDiv w:val="1"/>
      <w:marLeft w:val="0"/>
      <w:marRight w:val="0"/>
      <w:marTop w:val="0"/>
      <w:marBottom w:val="0"/>
      <w:divBdr>
        <w:top w:val="none" w:sz="0" w:space="0" w:color="auto"/>
        <w:left w:val="none" w:sz="0" w:space="0" w:color="auto"/>
        <w:bottom w:val="none" w:sz="0" w:space="0" w:color="auto"/>
        <w:right w:val="none" w:sz="0" w:space="0" w:color="auto"/>
      </w:divBdr>
      <w:divsChild>
        <w:div w:id="2014455937">
          <w:marLeft w:val="0"/>
          <w:marRight w:val="0"/>
          <w:marTop w:val="0"/>
          <w:marBottom w:val="0"/>
          <w:divBdr>
            <w:top w:val="none" w:sz="0" w:space="0" w:color="auto"/>
            <w:left w:val="none" w:sz="0" w:space="0" w:color="auto"/>
            <w:bottom w:val="none" w:sz="0" w:space="0" w:color="auto"/>
            <w:right w:val="none" w:sz="0" w:space="0" w:color="auto"/>
          </w:divBdr>
          <w:divsChild>
            <w:div w:id="8072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18532">
      <w:bodyDiv w:val="1"/>
      <w:marLeft w:val="0"/>
      <w:marRight w:val="0"/>
      <w:marTop w:val="0"/>
      <w:marBottom w:val="0"/>
      <w:divBdr>
        <w:top w:val="none" w:sz="0" w:space="0" w:color="auto"/>
        <w:left w:val="none" w:sz="0" w:space="0" w:color="auto"/>
        <w:bottom w:val="none" w:sz="0" w:space="0" w:color="auto"/>
        <w:right w:val="none" w:sz="0" w:space="0" w:color="auto"/>
      </w:divBdr>
    </w:div>
    <w:div w:id="1895115918">
      <w:bodyDiv w:val="1"/>
      <w:marLeft w:val="0"/>
      <w:marRight w:val="0"/>
      <w:marTop w:val="0"/>
      <w:marBottom w:val="0"/>
      <w:divBdr>
        <w:top w:val="none" w:sz="0" w:space="0" w:color="auto"/>
        <w:left w:val="none" w:sz="0" w:space="0" w:color="auto"/>
        <w:bottom w:val="none" w:sz="0" w:space="0" w:color="auto"/>
        <w:right w:val="none" w:sz="0" w:space="0" w:color="auto"/>
      </w:divBdr>
      <w:divsChild>
        <w:div w:id="90206415">
          <w:marLeft w:val="0"/>
          <w:marRight w:val="0"/>
          <w:marTop w:val="0"/>
          <w:marBottom w:val="0"/>
          <w:divBdr>
            <w:top w:val="none" w:sz="0" w:space="0" w:color="auto"/>
            <w:left w:val="none" w:sz="0" w:space="0" w:color="auto"/>
            <w:bottom w:val="none" w:sz="0" w:space="0" w:color="auto"/>
            <w:right w:val="none" w:sz="0" w:space="0" w:color="auto"/>
          </w:divBdr>
          <w:divsChild>
            <w:div w:id="5353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48219">
      <w:bodyDiv w:val="1"/>
      <w:marLeft w:val="0"/>
      <w:marRight w:val="0"/>
      <w:marTop w:val="0"/>
      <w:marBottom w:val="0"/>
      <w:divBdr>
        <w:top w:val="none" w:sz="0" w:space="0" w:color="auto"/>
        <w:left w:val="none" w:sz="0" w:space="0" w:color="auto"/>
        <w:bottom w:val="none" w:sz="0" w:space="0" w:color="auto"/>
        <w:right w:val="none" w:sz="0" w:space="0" w:color="auto"/>
      </w:divBdr>
    </w:div>
    <w:div w:id="2029134218">
      <w:bodyDiv w:val="1"/>
      <w:marLeft w:val="0"/>
      <w:marRight w:val="0"/>
      <w:marTop w:val="0"/>
      <w:marBottom w:val="0"/>
      <w:divBdr>
        <w:top w:val="none" w:sz="0" w:space="0" w:color="auto"/>
        <w:left w:val="none" w:sz="0" w:space="0" w:color="auto"/>
        <w:bottom w:val="none" w:sz="0" w:space="0" w:color="auto"/>
        <w:right w:val="none" w:sz="0" w:space="0" w:color="auto"/>
      </w:divBdr>
    </w:div>
    <w:div w:id="2111732099">
      <w:bodyDiv w:val="1"/>
      <w:marLeft w:val="0"/>
      <w:marRight w:val="0"/>
      <w:marTop w:val="0"/>
      <w:marBottom w:val="0"/>
      <w:divBdr>
        <w:top w:val="none" w:sz="0" w:space="0" w:color="auto"/>
        <w:left w:val="none" w:sz="0" w:space="0" w:color="auto"/>
        <w:bottom w:val="none" w:sz="0" w:space="0" w:color="auto"/>
        <w:right w:val="none" w:sz="0" w:space="0" w:color="auto"/>
      </w:divBdr>
      <w:divsChild>
        <w:div w:id="714234476">
          <w:marLeft w:val="0"/>
          <w:marRight w:val="0"/>
          <w:marTop w:val="0"/>
          <w:marBottom w:val="0"/>
          <w:divBdr>
            <w:top w:val="none" w:sz="0" w:space="0" w:color="auto"/>
            <w:left w:val="none" w:sz="0" w:space="0" w:color="auto"/>
            <w:bottom w:val="none" w:sz="0" w:space="0" w:color="auto"/>
            <w:right w:val="none" w:sz="0" w:space="0" w:color="auto"/>
          </w:divBdr>
          <w:divsChild>
            <w:div w:id="6083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2983">
      <w:bodyDiv w:val="1"/>
      <w:marLeft w:val="0"/>
      <w:marRight w:val="0"/>
      <w:marTop w:val="0"/>
      <w:marBottom w:val="0"/>
      <w:divBdr>
        <w:top w:val="none" w:sz="0" w:space="0" w:color="auto"/>
        <w:left w:val="none" w:sz="0" w:space="0" w:color="auto"/>
        <w:bottom w:val="none" w:sz="0" w:space="0" w:color="auto"/>
        <w:right w:val="none" w:sz="0" w:space="0" w:color="auto"/>
      </w:divBdr>
      <w:divsChild>
        <w:div w:id="1951668389">
          <w:marLeft w:val="0"/>
          <w:marRight w:val="0"/>
          <w:marTop w:val="0"/>
          <w:marBottom w:val="0"/>
          <w:divBdr>
            <w:top w:val="none" w:sz="0" w:space="0" w:color="auto"/>
            <w:left w:val="none" w:sz="0" w:space="0" w:color="auto"/>
            <w:bottom w:val="none" w:sz="0" w:space="0" w:color="auto"/>
            <w:right w:val="none" w:sz="0" w:space="0" w:color="auto"/>
          </w:divBdr>
          <w:divsChild>
            <w:div w:id="13800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lpresser@utk.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2907/slj.v6i1.1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pops.1202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ce.tennessee.edu/utk_graddiss/528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817EE-48F4-487C-8E31-BF69CC34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158</Pages>
  <Words>42616</Words>
  <Characters>242917</Characters>
  <Application>Microsoft Office Word</Application>
  <DocSecurity>0</DocSecurity>
  <Lines>2024</Lines>
  <Paragraphs>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Sherman, Abby</cp:lastModifiedBy>
  <cp:revision>11</cp:revision>
  <dcterms:created xsi:type="dcterms:W3CDTF">2025-07-16T06:14:00Z</dcterms:created>
  <dcterms:modified xsi:type="dcterms:W3CDTF">2025-07-22T20:08:00Z</dcterms:modified>
</cp:coreProperties>
</file>