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E0C" w:rsidRDefault="00505E0C" w:rsidP="00505E0C">
      <w:pPr>
        <w:pStyle w:val="NoSpacing"/>
        <w:spacing w:line="480" w:lineRule="auto"/>
        <w:jc w:val="center"/>
        <w:rPr>
          <w:b/>
          <w:sz w:val="28"/>
          <w:szCs w:val="28"/>
        </w:rPr>
      </w:pPr>
    </w:p>
    <w:p w:rsidR="00505E0C" w:rsidRDefault="00505E0C" w:rsidP="00505E0C">
      <w:pPr>
        <w:pStyle w:val="NoSpacing"/>
        <w:spacing w:line="480" w:lineRule="auto"/>
        <w:jc w:val="center"/>
        <w:rPr>
          <w:b/>
          <w:sz w:val="28"/>
          <w:szCs w:val="28"/>
        </w:rPr>
      </w:pPr>
      <w:r w:rsidRPr="00364F61">
        <w:rPr>
          <w:b/>
          <w:sz w:val="28"/>
          <w:szCs w:val="28"/>
        </w:rPr>
        <w:t>Popula</w:t>
      </w:r>
      <w:r>
        <w:rPr>
          <w:b/>
          <w:sz w:val="28"/>
          <w:szCs w:val="28"/>
        </w:rPr>
        <w:t>tion Dynamics of the Louisiana B</w:t>
      </w:r>
      <w:r w:rsidRPr="00364F61">
        <w:rPr>
          <w:b/>
          <w:sz w:val="28"/>
          <w:szCs w:val="28"/>
        </w:rPr>
        <w:t xml:space="preserve">lack </w:t>
      </w:r>
      <w:r>
        <w:rPr>
          <w:b/>
          <w:sz w:val="28"/>
          <w:szCs w:val="28"/>
        </w:rPr>
        <w:t xml:space="preserve">Bear in the Upper Atchafalaya </w:t>
      </w:r>
      <w:r w:rsidRPr="00364F61">
        <w:rPr>
          <w:b/>
          <w:sz w:val="28"/>
          <w:szCs w:val="28"/>
        </w:rPr>
        <w:t>River Basin</w:t>
      </w:r>
    </w:p>
    <w:p w:rsidR="00505E0C" w:rsidRDefault="00505E0C" w:rsidP="005D5168">
      <w:pPr>
        <w:pStyle w:val="TOCHeading"/>
        <w:jc w:val="center"/>
        <w:rPr>
          <w:rFonts w:asciiTheme="minorHAnsi" w:eastAsiaTheme="minorHAnsi" w:hAnsiTheme="minorHAnsi" w:cstheme="minorBidi"/>
          <w:b w:val="0"/>
          <w:bCs w:val="0"/>
          <w:color w:val="auto"/>
          <w:sz w:val="24"/>
          <w:szCs w:val="24"/>
        </w:rPr>
      </w:pPr>
    </w:p>
    <w:p w:rsidR="00505E0C" w:rsidRDefault="00505E0C" w:rsidP="00505E0C"/>
    <w:p w:rsidR="00505E0C" w:rsidRDefault="00505E0C" w:rsidP="00505E0C"/>
    <w:p w:rsidR="00505E0C" w:rsidRDefault="00505E0C" w:rsidP="00505E0C"/>
    <w:p w:rsidR="00505E0C" w:rsidRDefault="00505E0C" w:rsidP="00505E0C">
      <w:pPr>
        <w:pStyle w:val="NoSpacing"/>
        <w:jc w:val="center"/>
      </w:pPr>
      <w:r>
        <w:t>A Thesis</w:t>
      </w:r>
      <w:r w:rsidR="006E069B">
        <w:t xml:space="preserve"> </w:t>
      </w:r>
      <w:r>
        <w:t>Presented for the</w:t>
      </w:r>
    </w:p>
    <w:p w:rsidR="006E069B" w:rsidRDefault="00505E0C" w:rsidP="00505E0C">
      <w:pPr>
        <w:pStyle w:val="NoSpacing"/>
        <w:jc w:val="center"/>
      </w:pPr>
      <w:r>
        <w:t xml:space="preserve">Master of Science </w:t>
      </w:r>
    </w:p>
    <w:p w:rsidR="00505E0C" w:rsidRDefault="00505E0C" w:rsidP="00505E0C">
      <w:pPr>
        <w:pStyle w:val="NoSpacing"/>
        <w:jc w:val="center"/>
      </w:pPr>
      <w:r>
        <w:t>Degree</w:t>
      </w:r>
    </w:p>
    <w:p w:rsidR="00505E0C" w:rsidRDefault="00505E0C" w:rsidP="00505E0C">
      <w:pPr>
        <w:pStyle w:val="NoSpacing"/>
        <w:jc w:val="center"/>
      </w:pPr>
      <w:r>
        <w:t>University of Tennessee, Knoxville</w:t>
      </w:r>
    </w:p>
    <w:p w:rsidR="00505E0C" w:rsidRDefault="00505E0C" w:rsidP="00505E0C">
      <w:pPr>
        <w:jc w:val="center"/>
      </w:pPr>
    </w:p>
    <w:p w:rsidR="00505E0C" w:rsidRDefault="00505E0C" w:rsidP="00505E0C">
      <w:pPr>
        <w:jc w:val="center"/>
      </w:pPr>
    </w:p>
    <w:p w:rsidR="00505E0C" w:rsidRDefault="00505E0C" w:rsidP="00505E0C">
      <w:pPr>
        <w:jc w:val="center"/>
      </w:pPr>
    </w:p>
    <w:p w:rsidR="00505E0C" w:rsidRDefault="00505E0C" w:rsidP="00505E0C">
      <w:pPr>
        <w:jc w:val="center"/>
      </w:pPr>
    </w:p>
    <w:p w:rsidR="00505E0C" w:rsidRDefault="00505E0C" w:rsidP="00505E0C">
      <w:pPr>
        <w:jc w:val="center"/>
      </w:pPr>
    </w:p>
    <w:p w:rsidR="00505E0C" w:rsidRDefault="00505E0C" w:rsidP="00505E0C">
      <w:pPr>
        <w:pStyle w:val="NoSpacing"/>
        <w:jc w:val="center"/>
      </w:pPr>
      <w:r>
        <w:t>Kaitlin Christine O’Connell</w:t>
      </w:r>
    </w:p>
    <w:p w:rsidR="00505E0C" w:rsidRDefault="00505E0C" w:rsidP="00505E0C">
      <w:pPr>
        <w:pStyle w:val="NoSpacing"/>
        <w:jc w:val="center"/>
      </w:pPr>
    </w:p>
    <w:p w:rsidR="00505E0C" w:rsidRDefault="00F432B6" w:rsidP="00505E0C">
      <w:pPr>
        <w:pStyle w:val="NoSpacing"/>
        <w:jc w:val="center"/>
      </w:pPr>
      <w:r>
        <w:t>August</w:t>
      </w:r>
      <w:r w:rsidR="00505E0C">
        <w:t xml:space="preserve"> 2013</w:t>
      </w:r>
    </w:p>
    <w:p w:rsidR="00505E0C" w:rsidRPr="00505E0C" w:rsidRDefault="00505E0C" w:rsidP="00505E0C">
      <w:pPr>
        <w:jc w:val="center"/>
      </w:pPr>
    </w:p>
    <w:p w:rsidR="00505E0C" w:rsidRDefault="00505E0C">
      <w:pPr>
        <w:spacing w:line="276" w:lineRule="auto"/>
        <w:rPr>
          <w:rFonts w:asciiTheme="minorHAnsi" w:eastAsiaTheme="minorHAnsi" w:hAnsiTheme="minorHAnsi" w:cstheme="minorBidi"/>
          <w:b/>
          <w:bCs/>
        </w:rPr>
      </w:pPr>
      <w:r>
        <w:rPr>
          <w:rFonts w:asciiTheme="minorHAnsi" w:eastAsiaTheme="minorHAnsi" w:hAnsiTheme="minorHAnsi" w:cstheme="minorBidi"/>
          <w:b/>
          <w:bCs/>
        </w:rPr>
        <w:br w:type="page"/>
      </w:r>
    </w:p>
    <w:p w:rsidR="00505E0C" w:rsidRDefault="00505E0C" w:rsidP="00505E0C">
      <w:pPr>
        <w:spacing w:line="276" w:lineRule="auto"/>
        <w:jc w:val="center"/>
        <w:rPr>
          <w:rFonts w:eastAsiaTheme="minorHAnsi"/>
          <w:b/>
          <w:bCs/>
        </w:rPr>
      </w:pPr>
      <w:r>
        <w:rPr>
          <w:rFonts w:eastAsiaTheme="minorHAnsi"/>
          <w:b/>
          <w:bCs/>
        </w:rPr>
        <w:lastRenderedPageBreak/>
        <w:t>DEDICATION</w:t>
      </w:r>
    </w:p>
    <w:p w:rsidR="00505E0C" w:rsidRDefault="00505E0C" w:rsidP="00505E0C">
      <w:pPr>
        <w:spacing w:line="276" w:lineRule="auto"/>
        <w:jc w:val="center"/>
        <w:rPr>
          <w:rFonts w:asciiTheme="minorHAnsi" w:eastAsiaTheme="minorHAnsi" w:hAnsiTheme="minorHAnsi" w:cstheme="minorBidi"/>
          <w:b/>
          <w:bCs/>
        </w:rPr>
      </w:pPr>
    </w:p>
    <w:p w:rsidR="00505E0C" w:rsidRDefault="00505E0C">
      <w:pPr>
        <w:spacing w:line="276" w:lineRule="auto"/>
        <w:rPr>
          <w:rFonts w:asciiTheme="minorHAnsi" w:eastAsiaTheme="minorHAnsi" w:hAnsiTheme="minorHAnsi" w:cstheme="minorBidi"/>
          <w:b/>
          <w:bCs/>
        </w:rPr>
      </w:pPr>
    </w:p>
    <w:p w:rsidR="00505E0C" w:rsidRDefault="00505E0C">
      <w:pPr>
        <w:spacing w:line="276" w:lineRule="auto"/>
        <w:rPr>
          <w:rFonts w:asciiTheme="minorHAnsi" w:eastAsiaTheme="minorHAnsi" w:hAnsiTheme="minorHAnsi" w:cstheme="minorBidi"/>
          <w:b/>
          <w:bCs/>
        </w:rPr>
      </w:pPr>
      <w:r>
        <w:rPr>
          <w:rFonts w:asciiTheme="minorHAnsi" w:eastAsiaTheme="minorHAnsi" w:hAnsiTheme="minorHAnsi" w:cstheme="minorBidi"/>
          <w:b/>
          <w:bCs/>
        </w:rPr>
        <w:br w:type="page"/>
      </w:r>
    </w:p>
    <w:p w:rsidR="00505E0C" w:rsidRDefault="00D93D76" w:rsidP="00505E0C">
      <w:pPr>
        <w:pStyle w:val="Style1"/>
        <w:jc w:val="center"/>
        <w:rPr>
          <w:b/>
        </w:rPr>
      </w:pPr>
      <w:r>
        <w:rPr>
          <w:b/>
        </w:rPr>
        <w:lastRenderedPageBreak/>
        <w:t>ACKNOWLEDGEMENTS</w:t>
      </w:r>
    </w:p>
    <w:p w:rsidR="00EB57C5" w:rsidRDefault="00D41215" w:rsidP="00D93D76">
      <w:pPr>
        <w:pStyle w:val="Style1"/>
      </w:pPr>
      <w:r>
        <w:rPr>
          <w:b/>
        </w:rPr>
        <w:tab/>
      </w:r>
      <w:r>
        <w:t>I would first like to thank my advisor,</w:t>
      </w:r>
      <w:r w:rsidR="0055404E">
        <w:t xml:space="preserve"> Dr. Joe Clark, for giving the opportunity to contribute to this project and the recovery effort.   Joe, you’ve been </w:t>
      </w:r>
      <w:r w:rsidR="00EB57C5">
        <w:t xml:space="preserve">a wonderful teacher, advisor, and role model.  </w:t>
      </w:r>
    </w:p>
    <w:p w:rsidR="001C68E3" w:rsidRDefault="001C68E3" w:rsidP="00D93D76">
      <w:pPr>
        <w:pStyle w:val="Style1"/>
      </w:pPr>
      <w:r>
        <w:tab/>
        <w:t xml:space="preserve">Thank you to the funding agencies and their personnel for keeping this project going, Louisiana Department of Wildlife and Fisheries (M. Davidson), US Fish and Wildlife Services (D. Fuller), Roy O. Martin Timber Company (C. Clayton), the Black Bear Conservation Coalition (P. Davidson), the University of Tennessee, and US Geological Survey.  I would also like to thank the US Army Corps of Engineers for funding the additional year of research required to model the flood effects. </w:t>
      </w:r>
    </w:p>
    <w:p w:rsidR="00D93D76" w:rsidRDefault="00EB57C5" w:rsidP="00D93D76">
      <w:pPr>
        <w:pStyle w:val="Style1"/>
      </w:pPr>
      <w:r>
        <w:tab/>
        <w:t xml:space="preserve">Thank you to Carrie Lowe, my </w:t>
      </w:r>
      <w:proofErr w:type="spellStart"/>
      <w:r>
        <w:t>predesc</w:t>
      </w:r>
      <w:r w:rsidR="001C68E3">
        <w:t>e</w:t>
      </w:r>
      <w:r>
        <w:t>r</w:t>
      </w:r>
      <w:proofErr w:type="spellEnd"/>
      <w:r>
        <w:t xml:space="preserve"> on this project</w:t>
      </w:r>
      <w:r w:rsidR="001C68E3">
        <w:t xml:space="preserve">, for not only starting this project from the ground up but for also taking a chance on me.  It’s because of you that I got involved in this project.  Thank you to Dave Telesco and Stephanie Simek for your hiring me in Florida.  </w:t>
      </w:r>
      <w:proofErr w:type="spellStart"/>
      <w:proofErr w:type="gramStart"/>
      <w:r w:rsidR="001C68E3">
        <w:t>Steph</w:t>
      </w:r>
      <w:proofErr w:type="spellEnd"/>
      <w:r w:rsidR="001C68E3">
        <w:t>, thank you for introducing me to the bear management world.</w:t>
      </w:r>
      <w:proofErr w:type="gramEnd"/>
      <w:r w:rsidR="001C68E3">
        <w:t xml:space="preserve">  </w:t>
      </w:r>
      <w:proofErr w:type="gramStart"/>
      <w:r w:rsidR="001C68E3">
        <w:t>Dave, thank you for your support while I was in Florida and in Tennessee.</w:t>
      </w:r>
      <w:proofErr w:type="gramEnd"/>
      <w:r w:rsidR="001C68E3">
        <w:t xml:space="preserve">  I would, also, like to thank my bear lab students, Jennifer, Jesse, Samantha, and Jared.  A very big </w:t>
      </w:r>
      <w:proofErr w:type="gramStart"/>
      <w:r w:rsidR="001C68E3">
        <w:t>thank</w:t>
      </w:r>
      <w:proofErr w:type="gramEnd"/>
      <w:r w:rsidR="001C68E3">
        <w:t xml:space="preserve"> you to Terry White, without you all of our projects would be in chaos.  </w:t>
      </w:r>
    </w:p>
    <w:p w:rsidR="0055404E" w:rsidRDefault="0055404E" w:rsidP="00D93D76">
      <w:pPr>
        <w:pStyle w:val="Style1"/>
      </w:pPr>
      <w:r>
        <w:tab/>
        <w:t xml:space="preserve">To the landowners and leases in Pointe Coupee Parish, thank you for allowing us to conduct this research on your property.   You have all been.  </w:t>
      </w:r>
      <w:proofErr w:type="gramStart"/>
      <w:r>
        <w:t xml:space="preserve">A special thank you to the late Mr. John Barton, Ricky </w:t>
      </w:r>
      <w:proofErr w:type="spellStart"/>
      <w:r>
        <w:t>Montillero</w:t>
      </w:r>
      <w:proofErr w:type="spellEnd"/>
      <w:r>
        <w:t>, and Joey Kent for allowing us to stay in your trailers the past three years.</w:t>
      </w:r>
      <w:proofErr w:type="gramEnd"/>
      <w:r>
        <w:t xml:space="preserve">  Also thank you to </w:t>
      </w:r>
      <w:proofErr w:type="spellStart"/>
      <w:r>
        <w:t>Coonie</w:t>
      </w:r>
      <w:proofErr w:type="spellEnd"/>
      <w:r>
        <w:t xml:space="preserve"> and </w:t>
      </w:r>
      <w:proofErr w:type="spellStart"/>
      <w:r>
        <w:t>Lee</w:t>
      </w:r>
      <w:r w:rsidR="000D1B6D">
        <w:t>Lee</w:t>
      </w:r>
      <w:proofErr w:type="spellEnd"/>
      <w:r>
        <w:t xml:space="preserve">, Butch and Sherry, The Andre Family, and </w:t>
      </w:r>
      <w:r>
        <w:lastRenderedPageBreak/>
        <w:t xml:space="preserve">Joey Brossard, you all made my time in Louisiana so enjoyable.  Thank you for treating me like family.  </w:t>
      </w:r>
    </w:p>
    <w:p w:rsidR="0055404E" w:rsidRDefault="0055404E" w:rsidP="00D93D76">
      <w:pPr>
        <w:pStyle w:val="Style1"/>
      </w:pPr>
      <w:r>
        <w:tab/>
        <w:t xml:space="preserve">Graduate school has been one of the toughest things I have done in my short life.  I know that it would have been impossible without my fellow graduate students supporting me.  Thank you.  The friendships I have made and the experience I have had here will stay with me forever. </w:t>
      </w:r>
    </w:p>
    <w:p w:rsidR="0055404E" w:rsidRPr="00D41215" w:rsidRDefault="0055404E" w:rsidP="00D93D76">
      <w:pPr>
        <w:pStyle w:val="Style1"/>
      </w:pPr>
      <w:r>
        <w:tab/>
        <w:t xml:space="preserve">To my family, the ever-expanding </w:t>
      </w:r>
      <w:r w:rsidR="000D1B6D">
        <w:t>entity that it is, everything positive in my life has come from you all.  “It takes a village” is an appropriate saying for childhood. To the O’Connell side, thank you for the s</w:t>
      </w:r>
      <w:r w:rsidR="00B41610">
        <w:t>tubbornness</w:t>
      </w:r>
      <w:r w:rsidR="00EB57C5">
        <w:t>;</w:t>
      </w:r>
      <w:r w:rsidR="00B41610">
        <w:t xml:space="preserve"> I would have quit </w:t>
      </w:r>
      <w:r w:rsidR="000D1B6D">
        <w:t xml:space="preserve">a hundred times by now if it was not for that trait.  To the Dallas side, </w:t>
      </w:r>
      <w:r w:rsidR="00B41610">
        <w:t xml:space="preserve">thank you </w:t>
      </w:r>
      <w:r w:rsidR="00EB57C5">
        <w:t>for instilling in me your spirit; it has lit the fire inside of me and given me so much passion</w:t>
      </w:r>
      <w:r w:rsidR="000D1B6D">
        <w:t xml:space="preserve">. To my favorite cousin, Amy, the past 3 ½ years of only being a couple of hours away from you have been the best!  No matter where the next step in my life takes me I know that you are only a phone call away.  To my little sister (I guess I should really say younger, since you’re taller than me), I want to first apologize for all the birthdays, graduations, and competitions I have missed since leaving for college and then grad school.  I have been away from home for so long and I missed so much of you growing up.  I want to thank you for being my inspiration.  You have never stopped reaching for your goals no matter how much adversity you’ve faced.  To my dad, </w:t>
      </w:r>
      <w:r w:rsidR="00EB57C5">
        <w:t xml:space="preserve">thank you for leading by example and being my hero. </w:t>
      </w:r>
      <w:r w:rsidR="000D1B6D">
        <w:t xml:space="preserve"> To my mom, thank you for letting me go from beauty pageant dresse</w:t>
      </w:r>
      <w:r w:rsidR="00EC3E93">
        <w:t xml:space="preserve">s and manicured nails to muddy </w:t>
      </w:r>
      <w:proofErr w:type="spellStart"/>
      <w:r w:rsidR="00EC3E93">
        <w:t>C</w:t>
      </w:r>
      <w:r w:rsidR="000D1B6D">
        <w:t>arharts</w:t>
      </w:r>
      <w:proofErr w:type="spellEnd"/>
      <w:r w:rsidR="000D1B6D">
        <w:t xml:space="preserve"> and </w:t>
      </w:r>
      <w:r w:rsidR="00EC3E93">
        <w:t xml:space="preserve">callused hands.  </w:t>
      </w:r>
      <w:r w:rsidR="00EB57C5">
        <w:t xml:space="preserve">Your support and love for me has been my rock; </w:t>
      </w:r>
      <w:r w:rsidR="00B41610">
        <w:t>without</w:t>
      </w:r>
      <w:r w:rsidR="00EB57C5">
        <w:t xml:space="preserve"> you, I </w:t>
      </w:r>
      <w:r w:rsidR="00B41610">
        <w:t>would never have accomplished any of this</w:t>
      </w:r>
      <w:r w:rsidR="00EC3E93">
        <w:t xml:space="preserve">.  </w:t>
      </w:r>
      <w:r w:rsidR="00B41610">
        <w:t xml:space="preserve">Last but certainly not least, I would like to thank my fiancé.  Matt, thank you for being </w:t>
      </w:r>
      <w:proofErr w:type="gramStart"/>
      <w:r w:rsidR="00B41610">
        <w:t>my everything</w:t>
      </w:r>
      <w:proofErr w:type="gramEnd"/>
      <w:r w:rsidR="00B41610">
        <w:t xml:space="preserve">, from my best friend to alarm clock.  We’ve been through so much in the past 2 ½ years, loses and triumphs.  Having you beside me as I finish my Master’s has been such a blessing.  </w:t>
      </w:r>
    </w:p>
    <w:p w:rsidR="00D93D76" w:rsidRDefault="00D93D76" w:rsidP="00D93D76">
      <w:pPr>
        <w:jc w:val="center"/>
        <w:rPr>
          <w:b/>
          <w:sz w:val="28"/>
          <w:szCs w:val="28"/>
        </w:rPr>
      </w:pPr>
      <w:r>
        <w:rPr>
          <w:b/>
          <w:sz w:val="28"/>
          <w:szCs w:val="28"/>
        </w:rPr>
        <w:lastRenderedPageBreak/>
        <w:t>Abstract</w:t>
      </w:r>
    </w:p>
    <w:p w:rsidR="00505E0C" w:rsidRDefault="00D93D76" w:rsidP="001C68E3">
      <w:pPr>
        <w:pStyle w:val="Style1"/>
      </w:pPr>
      <w:r>
        <w:tab/>
        <w:t>The Louisiana black bear (</w:t>
      </w:r>
      <w:r>
        <w:rPr>
          <w:i/>
        </w:rPr>
        <w:t xml:space="preserve">Ursus americanus luteolus) </w:t>
      </w:r>
      <w:r>
        <w:t>is one of 16 sub-species of the American black bear (</w:t>
      </w:r>
      <w:r>
        <w:rPr>
          <w:i/>
        </w:rPr>
        <w:t>Ursus americanus)</w:t>
      </w:r>
      <w:r>
        <w:t xml:space="preserve"> and the only sub-species to be listed under the Endangered Species Act.  The US Fish and Wildlife Service listed the bear in 1992 citing habitat loss as the primary reason for population decline and human-related mortality as a secondary reason.  The Louisiana black bear’s historic range included Louisiana, Texas, Arkansas and Mississippi; it is now consists of only three sub-populations, in the Tensas River Basin, Upper Atchafalaya River Basin, and the Lower Atchafalaya River Basin.  Under the Louisiana Black Bear Recovery Plan, one of the criteria for delisting is that two of the three sub-populations must be viable.  In order to determine viability, reliable estimates of vital population parameters, such as abundance, growth rate and survival, must be obtained.   I plan on collecting hair samples from barbed–wire during summers 2010, 2011 and 2012 to conduct a DNA mark-recapture study in the Upper Atchafalaya River Basin population.  Individual bears can be identified and “captured” through genetic analysis of the hair samples, and population parameters can be estimated from these identifications and individual capture histories.  There have been two previous studies in the Upper Atchafalaya River Basin to estimate abundance by using non-invasive DNA mark-recapture.  The most recent one (Lowe 2011) estimated the population to be 56 bears (95% CI: 49-68).  Lowe’s study had low male capture probabilities, most likely caused by large male bears stepping over the barbed-wire used for sampling.  My study will be a continuation of Lowe’s study using a two-wire system to see if this will increase male capture probabilities.  During the summer 2011, the Army Corp of Engineers opened the Morganza Spillway to divert water from the Mississippi River.  The spillway makes up &gt;50% of my study area and was flooded for ~2 months.  </w:t>
      </w:r>
      <w:r w:rsidR="00505E0C">
        <w:br w:type="page"/>
      </w:r>
    </w:p>
    <w:sdt>
      <w:sdtPr>
        <w:rPr>
          <w:rFonts w:ascii="Times New Roman" w:eastAsiaTheme="minorEastAsia" w:hAnsi="Times New Roman" w:cs="Times New Roman"/>
          <w:b w:val="0"/>
          <w:bCs w:val="0"/>
          <w:color w:val="auto"/>
          <w:sz w:val="24"/>
          <w:szCs w:val="24"/>
        </w:rPr>
        <w:id w:val="265804483"/>
        <w:docPartObj>
          <w:docPartGallery w:val="Table of Contents"/>
          <w:docPartUnique/>
        </w:docPartObj>
      </w:sdtPr>
      <w:sdtContent>
        <w:p w:rsidR="00D51FDE" w:rsidRDefault="00D51FDE" w:rsidP="00D51FDE">
          <w:pPr>
            <w:pStyle w:val="TOCHeading"/>
            <w:jc w:val="center"/>
            <w:rPr>
              <w:rFonts w:ascii="Times New Roman" w:hAnsi="Times New Roman" w:cs="Times New Roman"/>
              <w:color w:val="auto"/>
            </w:rPr>
          </w:pPr>
          <w:r w:rsidRPr="00D51FDE">
            <w:rPr>
              <w:rFonts w:ascii="Times New Roman" w:hAnsi="Times New Roman" w:cs="Times New Roman"/>
              <w:color w:val="auto"/>
            </w:rPr>
            <w:t>Table of Contents</w:t>
          </w:r>
        </w:p>
        <w:p w:rsidR="00D51FDE" w:rsidRPr="00D51FDE" w:rsidRDefault="00D51FDE" w:rsidP="00D51FDE"/>
        <w:p w:rsidR="000F65ED" w:rsidRDefault="00EF3F25">
          <w:pPr>
            <w:pStyle w:val="TOC1"/>
            <w:tabs>
              <w:tab w:val="right" w:leader="dot" w:pos="9350"/>
            </w:tabs>
            <w:rPr>
              <w:rFonts w:cstheme="minorBidi"/>
              <w:b w:val="0"/>
              <w:bCs w:val="0"/>
              <w:caps w:val="0"/>
              <w:noProof/>
              <w:sz w:val="22"/>
              <w:szCs w:val="22"/>
            </w:rPr>
          </w:pPr>
          <w:r w:rsidRPr="00EF3F25">
            <w:rPr>
              <w:b w:val="0"/>
              <w:bCs w:val="0"/>
              <w:caps w:val="0"/>
              <w:sz w:val="24"/>
              <w:szCs w:val="24"/>
            </w:rPr>
            <w:fldChar w:fldCharType="begin"/>
          </w:r>
          <w:r w:rsidR="00D51FDE" w:rsidRPr="00D51FDE">
            <w:rPr>
              <w:b w:val="0"/>
              <w:bCs w:val="0"/>
              <w:caps w:val="0"/>
              <w:sz w:val="24"/>
              <w:szCs w:val="24"/>
            </w:rPr>
            <w:instrText xml:space="preserve"> TOC \o "1-3" \h \z \u </w:instrText>
          </w:r>
          <w:r w:rsidRPr="00EF3F25">
            <w:rPr>
              <w:b w:val="0"/>
              <w:bCs w:val="0"/>
              <w:caps w:val="0"/>
              <w:sz w:val="24"/>
              <w:szCs w:val="24"/>
            </w:rPr>
            <w:fldChar w:fldCharType="separate"/>
          </w:r>
          <w:hyperlink w:anchor="_Toc361839446" w:history="1">
            <w:r w:rsidR="000F65ED" w:rsidRPr="009D41AC">
              <w:rPr>
                <w:rStyle w:val="Hyperlink"/>
                <w:rFonts w:ascii="Times New Roman" w:hAnsi="Times New Roman"/>
                <w:noProof/>
              </w:rPr>
              <w:t>Chapter 1: Introduction</w:t>
            </w:r>
            <w:r w:rsidR="000F65ED">
              <w:rPr>
                <w:noProof/>
                <w:webHidden/>
              </w:rPr>
              <w:tab/>
            </w:r>
            <w:r w:rsidR="000F65ED">
              <w:rPr>
                <w:noProof/>
                <w:webHidden/>
              </w:rPr>
              <w:fldChar w:fldCharType="begin"/>
            </w:r>
            <w:r w:rsidR="000F65ED">
              <w:rPr>
                <w:noProof/>
                <w:webHidden/>
              </w:rPr>
              <w:instrText xml:space="preserve"> PAGEREF _Toc361839446 \h </w:instrText>
            </w:r>
            <w:r w:rsidR="000F65ED">
              <w:rPr>
                <w:noProof/>
                <w:webHidden/>
              </w:rPr>
            </w:r>
            <w:r w:rsidR="000F65ED">
              <w:rPr>
                <w:noProof/>
                <w:webHidden/>
              </w:rPr>
              <w:fldChar w:fldCharType="separate"/>
            </w:r>
            <w:r w:rsidR="000F65ED">
              <w:rPr>
                <w:noProof/>
                <w:webHidden/>
              </w:rPr>
              <w:t>1</w:t>
            </w:r>
            <w:r w:rsidR="000F65ED">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47" w:history="1">
            <w:r w:rsidRPr="009D41AC">
              <w:rPr>
                <w:rStyle w:val="Hyperlink"/>
                <w:rFonts w:ascii="Times New Roman" w:hAnsi="Times New Roman"/>
                <w:noProof/>
              </w:rPr>
              <w:t>Background and Justification</w:t>
            </w:r>
            <w:r>
              <w:rPr>
                <w:noProof/>
                <w:webHidden/>
              </w:rPr>
              <w:tab/>
            </w:r>
            <w:r>
              <w:rPr>
                <w:noProof/>
                <w:webHidden/>
              </w:rPr>
              <w:fldChar w:fldCharType="begin"/>
            </w:r>
            <w:r>
              <w:rPr>
                <w:noProof/>
                <w:webHidden/>
              </w:rPr>
              <w:instrText xml:space="preserve"> PAGEREF _Toc361839447 \h </w:instrText>
            </w:r>
            <w:r>
              <w:rPr>
                <w:noProof/>
                <w:webHidden/>
              </w:rPr>
            </w:r>
            <w:r>
              <w:rPr>
                <w:noProof/>
                <w:webHidden/>
              </w:rPr>
              <w:fldChar w:fldCharType="separate"/>
            </w:r>
            <w:r>
              <w:rPr>
                <w:noProof/>
                <w:webHidden/>
              </w:rPr>
              <w:t>1</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48" w:history="1">
            <w:r w:rsidRPr="009D41AC">
              <w:rPr>
                <w:rStyle w:val="Hyperlink"/>
                <w:rFonts w:ascii="Times New Roman" w:hAnsi="Times New Roman"/>
                <w:noProof/>
              </w:rPr>
              <w:t>Objectives and Hypotheses:</w:t>
            </w:r>
            <w:r>
              <w:rPr>
                <w:noProof/>
                <w:webHidden/>
              </w:rPr>
              <w:tab/>
            </w:r>
            <w:r>
              <w:rPr>
                <w:noProof/>
                <w:webHidden/>
              </w:rPr>
              <w:fldChar w:fldCharType="begin"/>
            </w:r>
            <w:r>
              <w:rPr>
                <w:noProof/>
                <w:webHidden/>
              </w:rPr>
              <w:instrText xml:space="preserve"> PAGEREF _Toc361839448 \h </w:instrText>
            </w:r>
            <w:r>
              <w:rPr>
                <w:noProof/>
                <w:webHidden/>
              </w:rPr>
            </w:r>
            <w:r>
              <w:rPr>
                <w:noProof/>
                <w:webHidden/>
              </w:rPr>
              <w:fldChar w:fldCharType="separate"/>
            </w:r>
            <w:r>
              <w:rPr>
                <w:noProof/>
                <w:webHidden/>
              </w:rPr>
              <w:t>5</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49" w:history="1">
            <w:r w:rsidRPr="009D41AC">
              <w:rPr>
                <w:rStyle w:val="Hyperlink"/>
                <w:rFonts w:ascii="Times New Roman" w:hAnsi="Times New Roman"/>
                <w:noProof/>
              </w:rPr>
              <w:t>Chapter 2: Study Area</w:t>
            </w:r>
            <w:r>
              <w:rPr>
                <w:noProof/>
                <w:webHidden/>
              </w:rPr>
              <w:tab/>
            </w:r>
            <w:r>
              <w:rPr>
                <w:noProof/>
                <w:webHidden/>
              </w:rPr>
              <w:fldChar w:fldCharType="begin"/>
            </w:r>
            <w:r>
              <w:rPr>
                <w:noProof/>
                <w:webHidden/>
              </w:rPr>
              <w:instrText xml:space="preserve"> PAGEREF _Toc361839449 \h </w:instrText>
            </w:r>
            <w:r>
              <w:rPr>
                <w:noProof/>
                <w:webHidden/>
              </w:rPr>
            </w:r>
            <w:r>
              <w:rPr>
                <w:noProof/>
                <w:webHidden/>
              </w:rPr>
              <w:fldChar w:fldCharType="separate"/>
            </w:r>
            <w:r>
              <w:rPr>
                <w:noProof/>
                <w:webHidden/>
              </w:rPr>
              <w:t>7</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50" w:history="1">
            <w:r w:rsidRPr="009D41AC">
              <w:rPr>
                <w:rStyle w:val="Hyperlink"/>
                <w:noProof/>
              </w:rPr>
              <w:t>Chapter 3: Materials and Methods</w:t>
            </w:r>
            <w:r>
              <w:rPr>
                <w:noProof/>
                <w:webHidden/>
              </w:rPr>
              <w:tab/>
            </w:r>
            <w:r>
              <w:rPr>
                <w:noProof/>
                <w:webHidden/>
              </w:rPr>
              <w:fldChar w:fldCharType="begin"/>
            </w:r>
            <w:r>
              <w:rPr>
                <w:noProof/>
                <w:webHidden/>
              </w:rPr>
              <w:instrText xml:space="preserve"> PAGEREF _Toc361839450 \h </w:instrText>
            </w:r>
            <w:r>
              <w:rPr>
                <w:noProof/>
                <w:webHidden/>
              </w:rPr>
            </w:r>
            <w:r>
              <w:rPr>
                <w:noProof/>
                <w:webHidden/>
              </w:rPr>
              <w:fldChar w:fldCharType="separate"/>
            </w:r>
            <w:r>
              <w:rPr>
                <w:noProof/>
                <w:webHidden/>
              </w:rPr>
              <w:t>9</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51" w:history="1">
            <w:r w:rsidRPr="009D41AC">
              <w:rPr>
                <w:rStyle w:val="Hyperlink"/>
                <w:rFonts w:ascii="Times New Roman" w:hAnsi="Times New Roman"/>
                <w:noProof/>
              </w:rPr>
              <w:t>Site placement and construction:</w:t>
            </w:r>
            <w:r>
              <w:rPr>
                <w:noProof/>
                <w:webHidden/>
              </w:rPr>
              <w:tab/>
            </w:r>
            <w:r>
              <w:rPr>
                <w:noProof/>
                <w:webHidden/>
              </w:rPr>
              <w:fldChar w:fldCharType="begin"/>
            </w:r>
            <w:r>
              <w:rPr>
                <w:noProof/>
                <w:webHidden/>
              </w:rPr>
              <w:instrText xml:space="preserve"> PAGEREF _Toc361839451 \h </w:instrText>
            </w:r>
            <w:r>
              <w:rPr>
                <w:noProof/>
                <w:webHidden/>
              </w:rPr>
            </w:r>
            <w:r>
              <w:rPr>
                <w:noProof/>
                <w:webHidden/>
              </w:rPr>
              <w:fldChar w:fldCharType="separate"/>
            </w:r>
            <w:r>
              <w:rPr>
                <w:noProof/>
                <w:webHidden/>
              </w:rPr>
              <w:t>9</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52" w:history="1">
            <w:r w:rsidRPr="009D41AC">
              <w:rPr>
                <w:rStyle w:val="Hyperlink"/>
                <w:rFonts w:ascii="Times New Roman" w:hAnsi="Times New Roman"/>
                <w:noProof/>
              </w:rPr>
              <w:t>Sample Collection:</w:t>
            </w:r>
            <w:r>
              <w:rPr>
                <w:noProof/>
                <w:webHidden/>
              </w:rPr>
              <w:tab/>
            </w:r>
            <w:r>
              <w:rPr>
                <w:noProof/>
                <w:webHidden/>
              </w:rPr>
              <w:fldChar w:fldCharType="begin"/>
            </w:r>
            <w:r>
              <w:rPr>
                <w:noProof/>
                <w:webHidden/>
              </w:rPr>
              <w:instrText xml:space="preserve"> PAGEREF _Toc361839452 \h </w:instrText>
            </w:r>
            <w:r>
              <w:rPr>
                <w:noProof/>
                <w:webHidden/>
              </w:rPr>
            </w:r>
            <w:r>
              <w:rPr>
                <w:noProof/>
                <w:webHidden/>
              </w:rPr>
              <w:fldChar w:fldCharType="separate"/>
            </w:r>
            <w:r>
              <w:rPr>
                <w:noProof/>
                <w:webHidden/>
              </w:rPr>
              <w:t>10</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53" w:history="1">
            <w:r w:rsidRPr="009D41AC">
              <w:rPr>
                <w:rStyle w:val="Hyperlink"/>
                <w:rFonts w:ascii="Times New Roman" w:hAnsi="Times New Roman"/>
                <w:noProof/>
              </w:rPr>
              <w:t>Genetic analysis:</w:t>
            </w:r>
            <w:r>
              <w:rPr>
                <w:noProof/>
                <w:webHidden/>
              </w:rPr>
              <w:tab/>
            </w:r>
            <w:r>
              <w:rPr>
                <w:noProof/>
                <w:webHidden/>
              </w:rPr>
              <w:fldChar w:fldCharType="begin"/>
            </w:r>
            <w:r>
              <w:rPr>
                <w:noProof/>
                <w:webHidden/>
              </w:rPr>
              <w:instrText xml:space="preserve"> PAGEREF _Toc361839453 \h </w:instrText>
            </w:r>
            <w:r>
              <w:rPr>
                <w:noProof/>
                <w:webHidden/>
              </w:rPr>
            </w:r>
            <w:r>
              <w:rPr>
                <w:noProof/>
                <w:webHidden/>
              </w:rPr>
              <w:fldChar w:fldCharType="separate"/>
            </w:r>
            <w:r>
              <w:rPr>
                <w:noProof/>
                <w:webHidden/>
              </w:rPr>
              <w:t>10</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54" w:history="1">
            <w:r w:rsidRPr="009D41AC">
              <w:rPr>
                <w:rStyle w:val="Hyperlink"/>
                <w:rFonts w:ascii="Times New Roman" w:hAnsi="Times New Roman"/>
                <w:noProof/>
              </w:rPr>
              <w:t>Data Analyses:</w:t>
            </w:r>
            <w:r>
              <w:rPr>
                <w:noProof/>
                <w:webHidden/>
              </w:rPr>
              <w:tab/>
            </w:r>
            <w:r>
              <w:rPr>
                <w:noProof/>
                <w:webHidden/>
              </w:rPr>
              <w:fldChar w:fldCharType="begin"/>
            </w:r>
            <w:r>
              <w:rPr>
                <w:noProof/>
                <w:webHidden/>
              </w:rPr>
              <w:instrText xml:space="preserve"> PAGEREF _Toc361839454 \h </w:instrText>
            </w:r>
            <w:r>
              <w:rPr>
                <w:noProof/>
                <w:webHidden/>
              </w:rPr>
            </w:r>
            <w:r>
              <w:rPr>
                <w:noProof/>
                <w:webHidden/>
              </w:rPr>
              <w:fldChar w:fldCharType="separate"/>
            </w:r>
            <w:r>
              <w:rPr>
                <w:noProof/>
                <w:webHidden/>
              </w:rPr>
              <w:t>12</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55" w:history="1">
            <w:r w:rsidRPr="009D41AC">
              <w:rPr>
                <w:rStyle w:val="Hyperlink"/>
                <w:rFonts w:ascii="Times New Roman" w:hAnsi="Times New Roman"/>
                <w:noProof/>
              </w:rPr>
              <w:t>Objective 1: Population parameter estimates.</w:t>
            </w:r>
            <w:r>
              <w:rPr>
                <w:noProof/>
                <w:webHidden/>
              </w:rPr>
              <w:tab/>
            </w:r>
            <w:r>
              <w:rPr>
                <w:noProof/>
                <w:webHidden/>
              </w:rPr>
              <w:fldChar w:fldCharType="begin"/>
            </w:r>
            <w:r>
              <w:rPr>
                <w:noProof/>
                <w:webHidden/>
              </w:rPr>
              <w:instrText xml:space="preserve"> PAGEREF _Toc361839455 \h </w:instrText>
            </w:r>
            <w:r>
              <w:rPr>
                <w:noProof/>
                <w:webHidden/>
              </w:rPr>
            </w:r>
            <w:r>
              <w:rPr>
                <w:noProof/>
                <w:webHidden/>
              </w:rPr>
              <w:fldChar w:fldCharType="separate"/>
            </w:r>
            <w:r>
              <w:rPr>
                <w:noProof/>
                <w:webHidden/>
              </w:rPr>
              <w:t>14</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56" w:history="1">
            <w:r w:rsidRPr="009D41AC">
              <w:rPr>
                <w:rStyle w:val="Hyperlink"/>
                <w:rFonts w:ascii="Times New Roman" w:hAnsi="Times New Roman"/>
                <w:noProof/>
              </w:rPr>
              <w:t>Objective 2: Modeling affects of flooding on UARB.</w:t>
            </w:r>
            <w:r>
              <w:rPr>
                <w:noProof/>
                <w:webHidden/>
              </w:rPr>
              <w:tab/>
            </w:r>
            <w:r>
              <w:rPr>
                <w:noProof/>
                <w:webHidden/>
              </w:rPr>
              <w:fldChar w:fldCharType="begin"/>
            </w:r>
            <w:r>
              <w:rPr>
                <w:noProof/>
                <w:webHidden/>
              </w:rPr>
              <w:instrText xml:space="preserve"> PAGEREF _Toc361839456 \h </w:instrText>
            </w:r>
            <w:r>
              <w:rPr>
                <w:noProof/>
                <w:webHidden/>
              </w:rPr>
            </w:r>
            <w:r>
              <w:rPr>
                <w:noProof/>
                <w:webHidden/>
              </w:rPr>
              <w:fldChar w:fldCharType="separate"/>
            </w:r>
            <w:r>
              <w:rPr>
                <w:noProof/>
                <w:webHidden/>
              </w:rPr>
              <w:t>17</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57" w:history="1">
            <w:r w:rsidRPr="009D41AC">
              <w:rPr>
                <w:rStyle w:val="Hyperlink"/>
                <w:rFonts w:ascii="Times New Roman" w:hAnsi="Times New Roman"/>
                <w:noProof/>
              </w:rPr>
              <w:t>Objective 3: Comparison of 1-wire and 2-wire sampling systems.</w:t>
            </w:r>
            <w:r>
              <w:rPr>
                <w:noProof/>
                <w:webHidden/>
              </w:rPr>
              <w:tab/>
            </w:r>
            <w:r>
              <w:rPr>
                <w:noProof/>
                <w:webHidden/>
              </w:rPr>
              <w:fldChar w:fldCharType="begin"/>
            </w:r>
            <w:r>
              <w:rPr>
                <w:noProof/>
                <w:webHidden/>
              </w:rPr>
              <w:instrText xml:space="preserve"> PAGEREF _Toc361839457 \h </w:instrText>
            </w:r>
            <w:r>
              <w:rPr>
                <w:noProof/>
                <w:webHidden/>
              </w:rPr>
            </w:r>
            <w:r>
              <w:rPr>
                <w:noProof/>
                <w:webHidden/>
              </w:rPr>
              <w:fldChar w:fldCharType="separate"/>
            </w:r>
            <w:r>
              <w:rPr>
                <w:noProof/>
                <w:webHidden/>
              </w:rPr>
              <w:t>19</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58" w:history="1">
            <w:r w:rsidRPr="009D41AC">
              <w:rPr>
                <w:rStyle w:val="Hyperlink"/>
                <w:rFonts w:ascii="Times New Roman" w:hAnsi="Times New Roman"/>
                <w:noProof/>
              </w:rPr>
              <w:t>Chapter 4: Results</w:t>
            </w:r>
            <w:r>
              <w:rPr>
                <w:noProof/>
                <w:webHidden/>
              </w:rPr>
              <w:tab/>
            </w:r>
            <w:r>
              <w:rPr>
                <w:noProof/>
                <w:webHidden/>
              </w:rPr>
              <w:fldChar w:fldCharType="begin"/>
            </w:r>
            <w:r>
              <w:rPr>
                <w:noProof/>
                <w:webHidden/>
              </w:rPr>
              <w:instrText xml:space="preserve"> PAGEREF _Toc361839458 \h </w:instrText>
            </w:r>
            <w:r>
              <w:rPr>
                <w:noProof/>
                <w:webHidden/>
              </w:rPr>
            </w:r>
            <w:r>
              <w:rPr>
                <w:noProof/>
                <w:webHidden/>
              </w:rPr>
              <w:fldChar w:fldCharType="separate"/>
            </w:r>
            <w:r>
              <w:rPr>
                <w:noProof/>
                <w:webHidden/>
              </w:rPr>
              <w:t>20</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59" w:history="1">
            <w:r w:rsidRPr="009D41AC">
              <w:rPr>
                <w:rStyle w:val="Hyperlink"/>
                <w:rFonts w:ascii="Times New Roman" w:hAnsi="Times New Roman"/>
                <w:noProof/>
              </w:rPr>
              <w:t>Genetic analyses:</w:t>
            </w:r>
            <w:r>
              <w:rPr>
                <w:noProof/>
                <w:webHidden/>
              </w:rPr>
              <w:tab/>
            </w:r>
            <w:r>
              <w:rPr>
                <w:noProof/>
                <w:webHidden/>
              </w:rPr>
              <w:fldChar w:fldCharType="begin"/>
            </w:r>
            <w:r>
              <w:rPr>
                <w:noProof/>
                <w:webHidden/>
              </w:rPr>
              <w:instrText xml:space="preserve"> PAGEREF _Toc361839459 \h </w:instrText>
            </w:r>
            <w:r>
              <w:rPr>
                <w:noProof/>
                <w:webHidden/>
              </w:rPr>
            </w:r>
            <w:r>
              <w:rPr>
                <w:noProof/>
                <w:webHidden/>
              </w:rPr>
              <w:fldChar w:fldCharType="separate"/>
            </w:r>
            <w:r>
              <w:rPr>
                <w:noProof/>
                <w:webHidden/>
              </w:rPr>
              <w:t>20</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60" w:history="1">
            <w:r w:rsidRPr="009D41AC">
              <w:rPr>
                <w:rStyle w:val="Hyperlink"/>
                <w:rFonts w:ascii="Times New Roman" w:hAnsi="Times New Roman"/>
                <w:noProof/>
              </w:rPr>
              <w:t>Data analyses:</w:t>
            </w:r>
            <w:r>
              <w:rPr>
                <w:noProof/>
                <w:webHidden/>
              </w:rPr>
              <w:tab/>
            </w:r>
            <w:r>
              <w:rPr>
                <w:noProof/>
                <w:webHidden/>
              </w:rPr>
              <w:fldChar w:fldCharType="begin"/>
            </w:r>
            <w:r>
              <w:rPr>
                <w:noProof/>
                <w:webHidden/>
              </w:rPr>
              <w:instrText xml:space="preserve"> PAGEREF _Toc361839460 \h </w:instrText>
            </w:r>
            <w:r>
              <w:rPr>
                <w:noProof/>
                <w:webHidden/>
              </w:rPr>
            </w:r>
            <w:r>
              <w:rPr>
                <w:noProof/>
                <w:webHidden/>
              </w:rPr>
              <w:fldChar w:fldCharType="separate"/>
            </w:r>
            <w:r>
              <w:rPr>
                <w:noProof/>
                <w:webHidden/>
              </w:rPr>
              <w:t>21</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61" w:history="1">
            <w:r w:rsidRPr="009D41AC">
              <w:rPr>
                <w:rStyle w:val="Hyperlink"/>
                <w:rFonts w:ascii="Times New Roman" w:hAnsi="Times New Roman"/>
                <w:noProof/>
              </w:rPr>
              <w:t>Objective 1: Population parameter estimates</w:t>
            </w:r>
            <w:r>
              <w:rPr>
                <w:noProof/>
                <w:webHidden/>
              </w:rPr>
              <w:tab/>
            </w:r>
            <w:r>
              <w:rPr>
                <w:noProof/>
                <w:webHidden/>
              </w:rPr>
              <w:fldChar w:fldCharType="begin"/>
            </w:r>
            <w:r>
              <w:rPr>
                <w:noProof/>
                <w:webHidden/>
              </w:rPr>
              <w:instrText xml:space="preserve"> PAGEREF _Toc361839461 \h </w:instrText>
            </w:r>
            <w:r>
              <w:rPr>
                <w:noProof/>
                <w:webHidden/>
              </w:rPr>
            </w:r>
            <w:r>
              <w:rPr>
                <w:noProof/>
                <w:webHidden/>
              </w:rPr>
              <w:fldChar w:fldCharType="separate"/>
            </w:r>
            <w:r>
              <w:rPr>
                <w:noProof/>
                <w:webHidden/>
              </w:rPr>
              <w:t>21</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62" w:history="1">
            <w:r w:rsidRPr="009D41AC">
              <w:rPr>
                <w:rStyle w:val="Hyperlink"/>
                <w:rFonts w:ascii="Times New Roman" w:hAnsi="Times New Roman"/>
                <w:noProof/>
              </w:rPr>
              <w:t>Objective 3: Comparison of 1-wire and 2-wire sampling systems.</w:t>
            </w:r>
            <w:r>
              <w:rPr>
                <w:noProof/>
                <w:webHidden/>
              </w:rPr>
              <w:tab/>
            </w:r>
            <w:r>
              <w:rPr>
                <w:noProof/>
                <w:webHidden/>
              </w:rPr>
              <w:fldChar w:fldCharType="begin"/>
            </w:r>
            <w:r>
              <w:rPr>
                <w:noProof/>
                <w:webHidden/>
              </w:rPr>
              <w:instrText xml:space="preserve"> PAGEREF _Toc361839462 \h </w:instrText>
            </w:r>
            <w:r>
              <w:rPr>
                <w:noProof/>
                <w:webHidden/>
              </w:rPr>
            </w:r>
            <w:r>
              <w:rPr>
                <w:noProof/>
                <w:webHidden/>
              </w:rPr>
              <w:fldChar w:fldCharType="separate"/>
            </w:r>
            <w:r>
              <w:rPr>
                <w:noProof/>
                <w:webHidden/>
              </w:rPr>
              <w:t>23</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63" w:history="1">
            <w:r w:rsidRPr="009D41AC">
              <w:rPr>
                <w:rStyle w:val="Hyperlink"/>
                <w:rFonts w:ascii="Times New Roman" w:hAnsi="Times New Roman"/>
                <w:noProof/>
              </w:rPr>
              <w:t>Chapter 4: Discussion</w:t>
            </w:r>
            <w:r>
              <w:rPr>
                <w:noProof/>
                <w:webHidden/>
              </w:rPr>
              <w:tab/>
            </w:r>
            <w:r>
              <w:rPr>
                <w:noProof/>
                <w:webHidden/>
              </w:rPr>
              <w:fldChar w:fldCharType="begin"/>
            </w:r>
            <w:r>
              <w:rPr>
                <w:noProof/>
                <w:webHidden/>
              </w:rPr>
              <w:instrText xml:space="preserve"> PAGEREF _Toc361839463 \h </w:instrText>
            </w:r>
            <w:r>
              <w:rPr>
                <w:noProof/>
                <w:webHidden/>
              </w:rPr>
            </w:r>
            <w:r>
              <w:rPr>
                <w:noProof/>
                <w:webHidden/>
              </w:rPr>
              <w:fldChar w:fldCharType="separate"/>
            </w:r>
            <w:r>
              <w:rPr>
                <w:noProof/>
                <w:webHidden/>
              </w:rPr>
              <w:t>25</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64" w:history="1">
            <w:r w:rsidRPr="009D41AC">
              <w:rPr>
                <w:rStyle w:val="Hyperlink"/>
                <w:rFonts w:ascii="Times New Roman" w:hAnsi="Times New Roman"/>
                <w:noProof/>
              </w:rPr>
              <w:t>Genetic Analyses:</w:t>
            </w:r>
            <w:r>
              <w:rPr>
                <w:noProof/>
                <w:webHidden/>
              </w:rPr>
              <w:tab/>
            </w:r>
            <w:r>
              <w:rPr>
                <w:noProof/>
                <w:webHidden/>
              </w:rPr>
              <w:fldChar w:fldCharType="begin"/>
            </w:r>
            <w:r>
              <w:rPr>
                <w:noProof/>
                <w:webHidden/>
              </w:rPr>
              <w:instrText xml:space="preserve"> PAGEREF _Toc361839464 \h </w:instrText>
            </w:r>
            <w:r>
              <w:rPr>
                <w:noProof/>
                <w:webHidden/>
              </w:rPr>
            </w:r>
            <w:r>
              <w:rPr>
                <w:noProof/>
                <w:webHidden/>
              </w:rPr>
              <w:fldChar w:fldCharType="separate"/>
            </w:r>
            <w:r>
              <w:rPr>
                <w:noProof/>
                <w:webHidden/>
              </w:rPr>
              <w:t>25</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65" w:history="1">
            <w:r w:rsidRPr="009D41AC">
              <w:rPr>
                <w:rStyle w:val="Hyperlink"/>
                <w:rFonts w:ascii="Times New Roman" w:hAnsi="Times New Roman"/>
                <w:noProof/>
              </w:rPr>
              <w:t>Data Analyses:</w:t>
            </w:r>
            <w:r>
              <w:rPr>
                <w:noProof/>
                <w:webHidden/>
              </w:rPr>
              <w:tab/>
            </w:r>
            <w:r>
              <w:rPr>
                <w:noProof/>
                <w:webHidden/>
              </w:rPr>
              <w:fldChar w:fldCharType="begin"/>
            </w:r>
            <w:r>
              <w:rPr>
                <w:noProof/>
                <w:webHidden/>
              </w:rPr>
              <w:instrText xml:space="preserve"> PAGEREF _Toc361839465 \h </w:instrText>
            </w:r>
            <w:r>
              <w:rPr>
                <w:noProof/>
                <w:webHidden/>
              </w:rPr>
            </w:r>
            <w:r>
              <w:rPr>
                <w:noProof/>
                <w:webHidden/>
              </w:rPr>
              <w:fldChar w:fldCharType="separate"/>
            </w:r>
            <w:r>
              <w:rPr>
                <w:noProof/>
                <w:webHidden/>
              </w:rPr>
              <w:t>26</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66" w:history="1">
            <w:r w:rsidRPr="009D41AC">
              <w:rPr>
                <w:rStyle w:val="Hyperlink"/>
                <w:rFonts w:ascii="Times New Roman" w:hAnsi="Times New Roman"/>
                <w:noProof/>
              </w:rPr>
              <w:t>Objective 1: Population parameter estimates.</w:t>
            </w:r>
            <w:r>
              <w:rPr>
                <w:noProof/>
                <w:webHidden/>
              </w:rPr>
              <w:tab/>
            </w:r>
            <w:r>
              <w:rPr>
                <w:noProof/>
                <w:webHidden/>
              </w:rPr>
              <w:fldChar w:fldCharType="begin"/>
            </w:r>
            <w:r>
              <w:rPr>
                <w:noProof/>
                <w:webHidden/>
              </w:rPr>
              <w:instrText xml:space="preserve"> PAGEREF _Toc361839466 \h </w:instrText>
            </w:r>
            <w:r>
              <w:rPr>
                <w:noProof/>
                <w:webHidden/>
              </w:rPr>
            </w:r>
            <w:r>
              <w:rPr>
                <w:noProof/>
                <w:webHidden/>
              </w:rPr>
              <w:fldChar w:fldCharType="separate"/>
            </w:r>
            <w:r>
              <w:rPr>
                <w:noProof/>
                <w:webHidden/>
              </w:rPr>
              <w:t>26</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67" w:history="1">
            <w:r w:rsidRPr="009D41AC">
              <w:rPr>
                <w:rStyle w:val="Hyperlink"/>
                <w:rFonts w:ascii="Times New Roman" w:hAnsi="Times New Roman"/>
                <w:noProof/>
              </w:rPr>
              <w:t>Objective 2: Modeling affects of flooding on UARB.</w:t>
            </w:r>
            <w:r>
              <w:rPr>
                <w:noProof/>
                <w:webHidden/>
              </w:rPr>
              <w:tab/>
            </w:r>
            <w:r>
              <w:rPr>
                <w:noProof/>
                <w:webHidden/>
              </w:rPr>
              <w:fldChar w:fldCharType="begin"/>
            </w:r>
            <w:r>
              <w:rPr>
                <w:noProof/>
                <w:webHidden/>
              </w:rPr>
              <w:instrText xml:space="preserve"> PAGEREF _Toc361839467 \h </w:instrText>
            </w:r>
            <w:r>
              <w:rPr>
                <w:noProof/>
                <w:webHidden/>
              </w:rPr>
            </w:r>
            <w:r>
              <w:rPr>
                <w:noProof/>
                <w:webHidden/>
              </w:rPr>
              <w:fldChar w:fldCharType="separate"/>
            </w:r>
            <w:r>
              <w:rPr>
                <w:noProof/>
                <w:webHidden/>
              </w:rPr>
              <w:t>27</w:t>
            </w:r>
            <w:r>
              <w:rPr>
                <w:noProof/>
                <w:webHidden/>
              </w:rPr>
              <w:fldChar w:fldCharType="end"/>
            </w:r>
          </w:hyperlink>
        </w:p>
        <w:p w:rsidR="000F65ED" w:rsidRDefault="000F65ED">
          <w:pPr>
            <w:pStyle w:val="TOC3"/>
            <w:tabs>
              <w:tab w:val="right" w:leader="dot" w:pos="9350"/>
            </w:tabs>
            <w:rPr>
              <w:rFonts w:cstheme="minorBidi"/>
              <w:i w:val="0"/>
              <w:iCs w:val="0"/>
              <w:noProof/>
              <w:sz w:val="22"/>
              <w:szCs w:val="22"/>
            </w:rPr>
          </w:pPr>
          <w:hyperlink w:anchor="_Toc361839468" w:history="1">
            <w:r w:rsidRPr="009D41AC">
              <w:rPr>
                <w:rStyle w:val="Hyperlink"/>
                <w:rFonts w:ascii="Times New Roman" w:hAnsi="Times New Roman"/>
                <w:noProof/>
              </w:rPr>
              <w:t>Objective 3: Comparison of 1-wire and 2-wire sampling systems.</w:t>
            </w:r>
            <w:r>
              <w:rPr>
                <w:noProof/>
                <w:webHidden/>
              </w:rPr>
              <w:tab/>
            </w:r>
            <w:r>
              <w:rPr>
                <w:noProof/>
                <w:webHidden/>
              </w:rPr>
              <w:fldChar w:fldCharType="begin"/>
            </w:r>
            <w:r>
              <w:rPr>
                <w:noProof/>
                <w:webHidden/>
              </w:rPr>
              <w:instrText xml:space="preserve"> PAGEREF _Toc361839468 \h </w:instrText>
            </w:r>
            <w:r>
              <w:rPr>
                <w:noProof/>
                <w:webHidden/>
              </w:rPr>
            </w:r>
            <w:r>
              <w:rPr>
                <w:noProof/>
                <w:webHidden/>
              </w:rPr>
              <w:fldChar w:fldCharType="separate"/>
            </w:r>
            <w:r>
              <w:rPr>
                <w:noProof/>
                <w:webHidden/>
              </w:rPr>
              <w:t>28</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69" w:history="1">
            <w:r w:rsidRPr="009D41AC">
              <w:rPr>
                <w:rStyle w:val="Hyperlink"/>
                <w:rFonts w:ascii="Times New Roman" w:hAnsi="Times New Roman"/>
                <w:noProof/>
              </w:rPr>
              <w:t>Chapter 6: Conclusions and Management Implications</w:t>
            </w:r>
            <w:r>
              <w:rPr>
                <w:noProof/>
                <w:webHidden/>
              </w:rPr>
              <w:tab/>
            </w:r>
            <w:r>
              <w:rPr>
                <w:noProof/>
                <w:webHidden/>
              </w:rPr>
              <w:fldChar w:fldCharType="begin"/>
            </w:r>
            <w:r>
              <w:rPr>
                <w:noProof/>
                <w:webHidden/>
              </w:rPr>
              <w:instrText xml:space="preserve"> PAGEREF _Toc361839469 \h </w:instrText>
            </w:r>
            <w:r>
              <w:rPr>
                <w:noProof/>
                <w:webHidden/>
              </w:rPr>
            </w:r>
            <w:r>
              <w:rPr>
                <w:noProof/>
                <w:webHidden/>
              </w:rPr>
              <w:fldChar w:fldCharType="separate"/>
            </w:r>
            <w:r>
              <w:rPr>
                <w:noProof/>
                <w:webHidden/>
              </w:rPr>
              <w:t>30</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70" w:history="1">
            <w:r w:rsidRPr="009D41AC">
              <w:rPr>
                <w:rStyle w:val="Hyperlink"/>
                <w:rFonts w:ascii="Times New Roman" w:hAnsi="Times New Roman"/>
                <w:noProof/>
              </w:rPr>
              <w:t>Literature Cited</w:t>
            </w:r>
            <w:r>
              <w:rPr>
                <w:noProof/>
                <w:webHidden/>
              </w:rPr>
              <w:tab/>
            </w:r>
            <w:r>
              <w:rPr>
                <w:noProof/>
                <w:webHidden/>
              </w:rPr>
              <w:fldChar w:fldCharType="begin"/>
            </w:r>
            <w:r>
              <w:rPr>
                <w:noProof/>
                <w:webHidden/>
              </w:rPr>
              <w:instrText xml:space="preserve"> PAGEREF _Toc361839470 \h </w:instrText>
            </w:r>
            <w:r>
              <w:rPr>
                <w:noProof/>
                <w:webHidden/>
              </w:rPr>
            </w:r>
            <w:r>
              <w:rPr>
                <w:noProof/>
                <w:webHidden/>
              </w:rPr>
              <w:fldChar w:fldCharType="separate"/>
            </w:r>
            <w:r>
              <w:rPr>
                <w:noProof/>
                <w:webHidden/>
              </w:rPr>
              <w:t>31</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71" w:history="1">
            <w:r w:rsidRPr="009D41AC">
              <w:rPr>
                <w:rStyle w:val="Hyperlink"/>
                <w:rFonts w:ascii="Times New Roman" w:hAnsi="Times New Roman"/>
                <w:noProof/>
              </w:rPr>
              <w:t>Appendices</w:t>
            </w:r>
            <w:r>
              <w:rPr>
                <w:noProof/>
                <w:webHidden/>
              </w:rPr>
              <w:tab/>
            </w:r>
            <w:r>
              <w:rPr>
                <w:noProof/>
                <w:webHidden/>
              </w:rPr>
              <w:fldChar w:fldCharType="begin"/>
            </w:r>
            <w:r>
              <w:rPr>
                <w:noProof/>
                <w:webHidden/>
              </w:rPr>
              <w:instrText xml:space="preserve"> PAGEREF _Toc361839471 \h </w:instrText>
            </w:r>
            <w:r>
              <w:rPr>
                <w:noProof/>
                <w:webHidden/>
              </w:rPr>
            </w:r>
            <w:r>
              <w:rPr>
                <w:noProof/>
                <w:webHidden/>
              </w:rPr>
              <w:fldChar w:fldCharType="separate"/>
            </w:r>
            <w:r>
              <w:rPr>
                <w:noProof/>
                <w:webHidden/>
              </w:rPr>
              <w:t>39</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72" w:history="1">
            <w:r w:rsidRPr="009D41AC">
              <w:rPr>
                <w:rStyle w:val="Hyperlink"/>
                <w:rFonts w:ascii="Times New Roman" w:hAnsi="Times New Roman"/>
                <w:noProof/>
              </w:rPr>
              <w:t>Appendix A: Figures</w:t>
            </w:r>
            <w:r>
              <w:rPr>
                <w:noProof/>
                <w:webHidden/>
              </w:rPr>
              <w:tab/>
            </w:r>
            <w:r>
              <w:rPr>
                <w:noProof/>
                <w:webHidden/>
              </w:rPr>
              <w:fldChar w:fldCharType="begin"/>
            </w:r>
            <w:r>
              <w:rPr>
                <w:noProof/>
                <w:webHidden/>
              </w:rPr>
              <w:instrText xml:space="preserve"> PAGEREF _Toc361839472 \h </w:instrText>
            </w:r>
            <w:r>
              <w:rPr>
                <w:noProof/>
                <w:webHidden/>
              </w:rPr>
            </w:r>
            <w:r>
              <w:rPr>
                <w:noProof/>
                <w:webHidden/>
              </w:rPr>
              <w:fldChar w:fldCharType="separate"/>
            </w:r>
            <w:r>
              <w:rPr>
                <w:noProof/>
                <w:webHidden/>
              </w:rPr>
              <w:t>40</w:t>
            </w:r>
            <w:r>
              <w:rPr>
                <w:noProof/>
                <w:webHidden/>
              </w:rPr>
              <w:fldChar w:fldCharType="end"/>
            </w:r>
          </w:hyperlink>
        </w:p>
        <w:p w:rsidR="000F65ED" w:rsidRDefault="000F65ED">
          <w:pPr>
            <w:pStyle w:val="TOC2"/>
            <w:tabs>
              <w:tab w:val="right" w:leader="dot" w:pos="9350"/>
            </w:tabs>
            <w:rPr>
              <w:rFonts w:cstheme="minorBidi"/>
              <w:smallCaps w:val="0"/>
              <w:noProof/>
              <w:sz w:val="22"/>
              <w:szCs w:val="22"/>
            </w:rPr>
          </w:pPr>
          <w:hyperlink w:anchor="_Toc361839473" w:history="1">
            <w:r w:rsidRPr="009D41AC">
              <w:rPr>
                <w:rStyle w:val="Hyperlink"/>
                <w:rFonts w:ascii="Times New Roman" w:hAnsi="Times New Roman"/>
                <w:noProof/>
              </w:rPr>
              <w:t>Appendix B: Tables</w:t>
            </w:r>
            <w:r>
              <w:rPr>
                <w:noProof/>
                <w:webHidden/>
              </w:rPr>
              <w:tab/>
            </w:r>
            <w:r>
              <w:rPr>
                <w:noProof/>
                <w:webHidden/>
              </w:rPr>
              <w:fldChar w:fldCharType="begin"/>
            </w:r>
            <w:r>
              <w:rPr>
                <w:noProof/>
                <w:webHidden/>
              </w:rPr>
              <w:instrText xml:space="preserve"> PAGEREF _Toc361839473 \h </w:instrText>
            </w:r>
            <w:r>
              <w:rPr>
                <w:noProof/>
                <w:webHidden/>
              </w:rPr>
            </w:r>
            <w:r>
              <w:rPr>
                <w:noProof/>
                <w:webHidden/>
              </w:rPr>
              <w:fldChar w:fldCharType="separate"/>
            </w:r>
            <w:r>
              <w:rPr>
                <w:noProof/>
                <w:webHidden/>
              </w:rPr>
              <w:t>48</w:t>
            </w:r>
            <w:r>
              <w:rPr>
                <w:noProof/>
                <w:webHidden/>
              </w:rPr>
              <w:fldChar w:fldCharType="end"/>
            </w:r>
          </w:hyperlink>
        </w:p>
        <w:p w:rsidR="000F65ED" w:rsidRDefault="000F65ED">
          <w:pPr>
            <w:pStyle w:val="TOC1"/>
            <w:tabs>
              <w:tab w:val="right" w:leader="dot" w:pos="9350"/>
            </w:tabs>
            <w:rPr>
              <w:rFonts w:cstheme="minorBidi"/>
              <w:b w:val="0"/>
              <w:bCs w:val="0"/>
              <w:caps w:val="0"/>
              <w:noProof/>
              <w:sz w:val="22"/>
              <w:szCs w:val="22"/>
            </w:rPr>
          </w:pPr>
          <w:hyperlink w:anchor="_Toc361839474" w:history="1">
            <w:r w:rsidRPr="009D41AC">
              <w:rPr>
                <w:rStyle w:val="Hyperlink"/>
                <w:rFonts w:ascii="Times New Roman" w:hAnsi="Times New Roman"/>
                <w:noProof/>
              </w:rPr>
              <w:t>VITA</w:t>
            </w:r>
            <w:r>
              <w:rPr>
                <w:noProof/>
                <w:webHidden/>
              </w:rPr>
              <w:tab/>
            </w:r>
            <w:r>
              <w:rPr>
                <w:noProof/>
                <w:webHidden/>
              </w:rPr>
              <w:fldChar w:fldCharType="begin"/>
            </w:r>
            <w:r>
              <w:rPr>
                <w:noProof/>
                <w:webHidden/>
              </w:rPr>
              <w:instrText xml:space="preserve"> PAGEREF _Toc361839474 \h </w:instrText>
            </w:r>
            <w:r>
              <w:rPr>
                <w:noProof/>
                <w:webHidden/>
              </w:rPr>
            </w:r>
            <w:r>
              <w:rPr>
                <w:noProof/>
                <w:webHidden/>
              </w:rPr>
              <w:fldChar w:fldCharType="separate"/>
            </w:r>
            <w:r>
              <w:rPr>
                <w:noProof/>
                <w:webHidden/>
              </w:rPr>
              <w:t>49</w:t>
            </w:r>
            <w:r>
              <w:rPr>
                <w:noProof/>
                <w:webHidden/>
              </w:rPr>
              <w:fldChar w:fldCharType="end"/>
            </w:r>
          </w:hyperlink>
        </w:p>
        <w:p w:rsidR="00D51FDE" w:rsidRPr="00D51FDE" w:rsidRDefault="00EF3F25">
          <w:r w:rsidRPr="00D51FDE">
            <w:rPr>
              <w:b/>
              <w:bCs/>
              <w:caps/>
            </w:rPr>
            <w:fldChar w:fldCharType="end"/>
          </w:r>
        </w:p>
      </w:sdtContent>
    </w:sdt>
    <w:p w:rsidR="008778A6" w:rsidRDefault="008778A6" w:rsidP="008778A6"/>
    <w:p w:rsidR="008778A6" w:rsidRDefault="008778A6" w:rsidP="008778A6">
      <w:pPr>
        <w:jc w:val="center"/>
      </w:pPr>
    </w:p>
    <w:p w:rsidR="007F0EA0" w:rsidRPr="00D93D76" w:rsidRDefault="008778A6" w:rsidP="007F0EA0">
      <w:pPr>
        <w:pStyle w:val="TOCHeading"/>
        <w:jc w:val="center"/>
        <w:rPr>
          <w:rFonts w:ascii="Times New Roman" w:hAnsi="Times New Roman" w:cs="Times New Roman"/>
          <w:b w:val="0"/>
          <w:sz w:val="24"/>
          <w:szCs w:val="24"/>
        </w:rPr>
      </w:pPr>
      <w:r>
        <w:br w:type="page"/>
      </w:r>
      <w:r w:rsidR="007F0EA0">
        <w:rPr>
          <w:rFonts w:ascii="Times New Roman" w:hAnsi="Times New Roman" w:cs="Times New Roman"/>
          <w:color w:val="000000" w:themeColor="text1"/>
        </w:rPr>
        <w:lastRenderedPageBreak/>
        <w:t>List of Tables</w:t>
      </w: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7F0EA0" w:rsidRDefault="007F0EA0" w:rsidP="008778A6">
      <w:pPr>
        <w:pStyle w:val="TOCHeading"/>
        <w:jc w:val="center"/>
        <w:rPr>
          <w:rFonts w:ascii="Times New Roman" w:hAnsi="Times New Roman" w:cs="Times New Roman"/>
          <w:color w:val="000000" w:themeColor="text1"/>
        </w:rPr>
      </w:pPr>
    </w:p>
    <w:p w:rsidR="008778A6" w:rsidRDefault="008778A6" w:rsidP="008778A6">
      <w:pPr>
        <w:pStyle w:val="TOCHeading"/>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List of Figures</w:t>
      </w:r>
    </w:p>
    <w:p w:rsidR="009900AD" w:rsidRPr="009900AD" w:rsidRDefault="009900AD" w:rsidP="009900AD"/>
    <w:p w:rsidR="00D51FDE" w:rsidRPr="00D51FDE" w:rsidRDefault="00EF3F25">
      <w:pPr>
        <w:pStyle w:val="TableofFigures"/>
        <w:tabs>
          <w:tab w:val="right" w:leader="dot" w:pos="9350"/>
        </w:tabs>
        <w:rPr>
          <w:rFonts w:ascii="Times New Roman" w:hAnsi="Times New Roman"/>
          <w:smallCaps w:val="0"/>
          <w:noProof/>
          <w:sz w:val="24"/>
          <w:szCs w:val="24"/>
        </w:rPr>
      </w:pPr>
      <w:r w:rsidRPr="00EF3F25">
        <w:rPr>
          <w:rFonts w:ascii="Times New Roman" w:hAnsi="Times New Roman"/>
          <w:smallCaps w:val="0"/>
          <w:sz w:val="24"/>
          <w:szCs w:val="24"/>
        </w:rPr>
        <w:fldChar w:fldCharType="begin"/>
      </w:r>
      <w:r w:rsidR="00D51FDE" w:rsidRPr="00D51FDE">
        <w:rPr>
          <w:rFonts w:ascii="Times New Roman" w:hAnsi="Times New Roman"/>
          <w:smallCaps w:val="0"/>
          <w:sz w:val="24"/>
          <w:szCs w:val="24"/>
        </w:rPr>
        <w:instrText xml:space="preserve"> TOC \h \z \c "Figure" </w:instrText>
      </w:r>
      <w:r w:rsidRPr="00EF3F25">
        <w:rPr>
          <w:rFonts w:ascii="Times New Roman" w:hAnsi="Times New Roman"/>
          <w:smallCaps w:val="0"/>
          <w:sz w:val="24"/>
          <w:szCs w:val="24"/>
        </w:rPr>
        <w:fldChar w:fldCharType="separate"/>
      </w:r>
      <w:hyperlink w:anchor="_Toc359326316" w:history="1">
        <w:r w:rsidR="00D51FDE" w:rsidRPr="00D51FDE">
          <w:rPr>
            <w:rStyle w:val="Hyperlink"/>
            <w:rFonts w:ascii="Times New Roman" w:hAnsi="Times New Roman"/>
            <w:noProof/>
            <w:sz w:val="24"/>
            <w:szCs w:val="24"/>
          </w:rPr>
          <w:t>Figure 1. Louisiana black bear (</w:t>
        </w:r>
        <w:r w:rsidR="00D51FDE" w:rsidRPr="00D51FDE">
          <w:rPr>
            <w:rStyle w:val="Hyperlink"/>
            <w:rFonts w:ascii="Times New Roman" w:hAnsi="Times New Roman"/>
            <w:i/>
            <w:noProof/>
            <w:sz w:val="24"/>
            <w:szCs w:val="24"/>
          </w:rPr>
          <w:t>Ursus americanus luteolus</w:t>
        </w:r>
        <w:r w:rsidR="00D51FDE" w:rsidRPr="00D51FDE">
          <w:rPr>
            <w:rStyle w:val="Hyperlink"/>
            <w:rFonts w:ascii="Times New Roman" w:hAnsi="Times New Roman"/>
            <w:noProof/>
            <w:sz w:val="24"/>
            <w:szCs w:val="24"/>
          </w:rPr>
          <w:t>) historic home range</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_Toc359326316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35</w:t>
        </w:r>
        <w:r w:rsidRPr="00D51FDE">
          <w:rPr>
            <w:rFonts w:ascii="Times New Roman" w:hAnsi="Times New Roman"/>
            <w:noProof/>
            <w:webHidden/>
            <w:sz w:val="24"/>
            <w:szCs w:val="24"/>
          </w:rPr>
          <w:fldChar w:fldCharType="end"/>
        </w:r>
      </w:hyperlink>
    </w:p>
    <w:p w:rsidR="00D51FDE" w:rsidRPr="00D51FDE" w:rsidRDefault="00EF3F25">
      <w:pPr>
        <w:pStyle w:val="TableofFigures"/>
        <w:tabs>
          <w:tab w:val="right" w:leader="dot" w:pos="9350"/>
        </w:tabs>
        <w:rPr>
          <w:rFonts w:ascii="Times New Roman" w:hAnsi="Times New Roman"/>
          <w:smallCaps w:val="0"/>
          <w:noProof/>
          <w:sz w:val="24"/>
          <w:szCs w:val="24"/>
        </w:rPr>
      </w:pPr>
      <w:hyperlink w:anchor="_Toc359326317" w:history="1">
        <w:r w:rsidR="00D51FDE" w:rsidRPr="00D51FDE">
          <w:rPr>
            <w:rStyle w:val="Hyperlink"/>
            <w:rFonts w:ascii="Times New Roman" w:hAnsi="Times New Roman"/>
            <w:noProof/>
            <w:sz w:val="24"/>
            <w:szCs w:val="24"/>
          </w:rPr>
          <w:t>Figure 2. Current breeding sub-populations of the Louisiana black bear (</w:t>
        </w:r>
        <w:r w:rsidR="00D51FDE" w:rsidRPr="00D51FDE">
          <w:rPr>
            <w:rStyle w:val="Hyperlink"/>
            <w:rFonts w:ascii="Times New Roman" w:hAnsi="Times New Roman"/>
            <w:i/>
            <w:noProof/>
            <w:sz w:val="24"/>
            <w:szCs w:val="24"/>
          </w:rPr>
          <w:t>Ursus americanus luteolus</w:t>
        </w:r>
        <w:r w:rsidR="00D51FDE" w:rsidRPr="00D51FDE">
          <w:rPr>
            <w:rStyle w:val="Hyperlink"/>
            <w:rFonts w:ascii="Times New Roman" w:hAnsi="Times New Roman"/>
            <w:noProof/>
            <w:sz w:val="24"/>
            <w:szCs w:val="24"/>
          </w:rPr>
          <w:t>)</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_Toc359326317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36</w:t>
        </w:r>
        <w:r w:rsidRPr="00D51FDE">
          <w:rPr>
            <w:rFonts w:ascii="Times New Roman" w:hAnsi="Times New Roman"/>
            <w:noProof/>
            <w:webHidden/>
            <w:sz w:val="24"/>
            <w:szCs w:val="24"/>
          </w:rPr>
          <w:fldChar w:fldCharType="end"/>
        </w:r>
      </w:hyperlink>
    </w:p>
    <w:p w:rsidR="00D51FDE" w:rsidRPr="00D51FDE" w:rsidRDefault="00EF3F25">
      <w:pPr>
        <w:pStyle w:val="TableofFigures"/>
        <w:tabs>
          <w:tab w:val="right" w:leader="dot" w:pos="9350"/>
        </w:tabs>
        <w:rPr>
          <w:rFonts w:ascii="Times New Roman" w:hAnsi="Times New Roman"/>
          <w:smallCaps w:val="0"/>
          <w:noProof/>
          <w:sz w:val="24"/>
          <w:szCs w:val="24"/>
        </w:rPr>
      </w:pPr>
      <w:hyperlink w:anchor="_Toc359326318" w:history="1">
        <w:r w:rsidR="00D51FDE" w:rsidRPr="00D51FDE">
          <w:rPr>
            <w:rStyle w:val="Hyperlink"/>
            <w:rFonts w:ascii="Times New Roman" w:hAnsi="Times New Roman"/>
            <w:noProof/>
            <w:sz w:val="24"/>
            <w:szCs w:val="24"/>
          </w:rPr>
          <w:t>Figure 3. Morganza spillway outlined within the Upper Atchafalaya River Basin</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_Toc359326318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37</w:t>
        </w:r>
        <w:r w:rsidRPr="00D51FDE">
          <w:rPr>
            <w:rFonts w:ascii="Times New Roman" w:hAnsi="Times New Roman"/>
            <w:noProof/>
            <w:webHidden/>
            <w:sz w:val="24"/>
            <w:szCs w:val="24"/>
          </w:rPr>
          <w:fldChar w:fldCharType="end"/>
        </w:r>
      </w:hyperlink>
    </w:p>
    <w:p w:rsidR="00D51FDE" w:rsidRPr="00D51FDE" w:rsidRDefault="00EF3F25">
      <w:pPr>
        <w:pStyle w:val="TableofFigures"/>
        <w:tabs>
          <w:tab w:val="right" w:leader="dot" w:pos="9350"/>
        </w:tabs>
        <w:rPr>
          <w:rFonts w:ascii="Times New Roman" w:hAnsi="Times New Roman"/>
          <w:smallCaps w:val="0"/>
          <w:noProof/>
          <w:sz w:val="24"/>
          <w:szCs w:val="24"/>
        </w:rPr>
      </w:pPr>
      <w:hyperlink w:anchor="_Toc359326319" w:history="1">
        <w:r w:rsidR="00D51FDE" w:rsidRPr="00D51FDE">
          <w:rPr>
            <w:rStyle w:val="Hyperlink"/>
            <w:rFonts w:ascii="Times New Roman" w:hAnsi="Times New Roman"/>
            <w:noProof/>
            <w:sz w:val="24"/>
            <w:szCs w:val="24"/>
          </w:rPr>
          <w:t>Figure 4. The Upper Atchafalaya River Basin study area borders: North by Louisiana Highway 1, East by the Mississippi River, South by US 190, and West by the Atchafalaya River</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_Toc359326319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38</w:t>
        </w:r>
        <w:r w:rsidRPr="00D51FDE">
          <w:rPr>
            <w:rFonts w:ascii="Times New Roman" w:hAnsi="Times New Roman"/>
            <w:noProof/>
            <w:webHidden/>
            <w:sz w:val="24"/>
            <w:szCs w:val="24"/>
          </w:rPr>
          <w:fldChar w:fldCharType="end"/>
        </w:r>
      </w:hyperlink>
    </w:p>
    <w:p w:rsidR="00D51FDE" w:rsidRPr="00D51FDE" w:rsidRDefault="00EF3F25">
      <w:pPr>
        <w:pStyle w:val="TableofFigures"/>
        <w:tabs>
          <w:tab w:val="right" w:leader="dot" w:pos="9350"/>
        </w:tabs>
        <w:rPr>
          <w:rFonts w:ascii="Times New Roman" w:hAnsi="Times New Roman"/>
          <w:smallCaps w:val="0"/>
          <w:noProof/>
          <w:sz w:val="24"/>
          <w:szCs w:val="24"/>
        </w:rPr>
      </w:pPr>
      <w:hyperlink w:anchor="_Toc359326320" w:history="1">
        <w:r w:rsidR="00D51FDE" w:rsidRPr="00D51FDE">
          <w:rPr>
            <w:rStyle w:val="Hyperlink"/>
            <w:rFonts w:ascii="Times New Roman" w:hAnsi="Times New Roman"/>
            <w:noProof/>
            <w:sz w:val="24"/>
            <w:szCs w:val="24"/>
          </w:rPr>
          <w:t>Figure 5. Sampling sites within the Upper Atchafalaya River Basin based on 1.6 x 1.6 km</w:t>
        </w:r>
        <w:r w:rsidR="00D51FDE" w:rsidRPr="00D51FDE">
          <w:rPr>
            <w:rStyle w:val="Hyperlink"/>
            <w:rFonts w:ascii="Times New Roman" w:hAnsi="Times New Roman"/>
            <w:noProof/>
            <w:sz w:val="24"/>
            <w:szCs w:val="24"/>
            <w:vertAlign w:val="superscript"/>
          </w:rPr>
          <w:t>2</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_Toc359326320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39</w:t>
        </w:r>
        <w:r w:rsidRPr="00D51FDE">
          <w:rPr>
            <w:rFonts w:ascii="Times New Roman" w:hAnsi="Times New Roman"/>
            <w:noProof/>
            <w:webHidden/>
            <w:sz w:val="24"/>
            <w:szCs w:val="24"/>
          </w:rPr>
          <w:fldChar w:fldCharType="end"/>
        </w:r>
      </w:hyperlink>
    </w:p>
    <w:p w:rsidR="00D51FDE" w:rsidRPr="00D51FDE" w:rsidRDefault="00EF3F25">
      <w:pPr>
        <w:pStyle w:val="TableofFigures"/>
        <w:tabs>
          <w:tab w:val="right" w:leader="dot" w:pos="9350"/>
        </w:tabs>
        <w:rPr>
          <w:rFonts w:ascii="Times New Roman" w:hAnsi="Times New Roman"/>
          <w:smallCaps w:val="0"/>
          <w:noProof/>
          <w:sz w:val="24"/>
          <w:szCs w:val="24"/>
        </w:rPr>
      </w:pPr>
      <w:hyperlink w:anchor="_Toc359326321" w:history="1">
        <w:r w:rsidR="00D51FDE" w:rsidRPr="00D51FDE">
          <w:rPr>
            <w:rStyle w:val="Hyperlink"/>
            <w:rFonts w:ascii="Times New Roman" w:hAnsi="Times New Roman"/>
            <w:noProof/>
            <w:sz w:val="24"/>
            <w:szCs w:val="24"/>
          </w:rPr>
          <w:t>Figure 6. Two-wire hair collection system with the top wire set at 65-70cm and bottom wire set at 35-40 cm</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_Toc359326321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40</w:t>
        </w:r>
        <w:r w:rsidRPr="00D51FDE">
          <w:rPr>
            <w:rFonts w:ascii="Times New Roman" w:hAnsi="Times New Roman"/>
            <w:noProof/>
            <w:webHidden/>
            <w:sz w:val="24"/>
            <w:szCs w:val="24"/>
          </w:rPr>
          <w:fldChar w:fldCharType="end"/>
        </w:r>
      </w:hyperlink>
    </w:p>
    <w:p w:rsidR="00D51FDE" w:rsidRPr="00D51FDE" w:rsidRDefault="00EF3F25">
      <w:pPr>
        <w:pStyle w:val="TableofFigures"/>
        <w:tabs>
          <w:tab w:val="right" w:leader="dot" w:pos="9350"/>
        </w:tabs>
        <w:rPr>
          <w:rFonts w:ascii="Times New Roman" w:hAnsi="Times New Roman"/>
          <w:smallCaps w:val="0"/>
          <w:noProof/>
          <w:sz w:val="24"/>
          <w:szCs w:val="24"/>
        </w:rPr>
      </w:pPr>
      <w:hyperlink w:anchor="_Toc359326322" w:history="1">
        <w:r w:rsidR="00D51FDE" w:rsidRPr="00D51FDE">
          <w:rPr>
            <w:rStyle w:val="Hyperlink"/>
            <w:rFonts w:ascii="Times New Roman" w:hAnsi="Times New Roman"/>
            <w:noProof/>
            <w:sz w:val="24"/>
            <w:szCs w:val="24"/>
          </w:rPr>
          <w:t>Figure 7. Batchelor, Spillway, and Fordoche are the three different areas I will use as “states” in the mutli-state mark-recapture model.</w:t>
        </w:r>
        <w:r w:rsidR="00D51FDE" w:rsidRPr="00D51FDE">
          <w:rPr>
            <w:rFonts w:ascii="Times New Roman" w:hAnsi="Times New Roman"/>
            <w:noProof/>
            <w:webHidden/>
            <w:sz w:val="24"/>
            <w:szCs w:val="24"/>
          </w:rPr>
          <w:tab/>
        </w:r>
        <w:r w:rsidRPr="00D51FDE">
          <w:rPr>
            <w:rFonts w:ascii="Times New Roman" w:hAnsi="Times New Roman"/>
            <w:noProof/>
            <w:webHidden/>
            <w:sz w:val="24"/>
            <w:szCs w:val="24"/>
          </w:rPr>
          <w:fldChar w:fldCharType="begin"/>
        </w:r>
        <w:r w:rsidR="00D51FDE" w:rsidRPr="00D51FDE">
          <w:rPr>
            <w:rFonts w:ascii="Times New Roman" w:hAnsi="Times New Roman"/>
            <w:noProof/>
            <w:webHidden/>
            <w:sz w:val="24"/>
            <w:szCs w:val="24"/>
          </w:rPr>
          <w:instrText xml:space="preserve"> PAGEREF _Toc359326322 \h </w:instrText>
        </w:r>
        <w:r w:rsidRPr="00D51FDE">
          <w:rPr>
            <w:rFonts w:ascii="Times New Roman" w:hAnsi="Times New Roman"/>
            <w:noProof/>
            <w:webHidden/>
            <w:sz w:val="24"/>
            <w:szCs w:val="24"/>
          </w:rPr>
        </w:r>
        <w:r w:rsidRPr="00D51FDE">
          <w:rPr>
            <w:rFonts w:ascii="Times New Roman" w:hAnsi="Times New Roman"/>
            <w:noProof/>
            <w:webHidden/>
            <w:sz w:val="24"/>
            <w:szCs w:val="24"/>
          </w:rPr>
          <w:fldChar w:fldCharType="separate"/>
        </w:r>
        <w:r w:rsidR="006E069B">
          <w:rPr>
            <w:rFonts w:ascii="Times New Roman" w:hAnsi="Times New Roman"/>
            <w:noProof/>
            <w:webHidden/>
            <w:sz w:val="24"/>
            <w:szCs w:val="24"/>
          </w:rPr>
          <w:t>41</w:t>
        </w:r>
        <w:r w:rsidRPr="00D51FDE">
          <w:rPr>
            <w:rFonts w:ascii="Times New Roman" w:hAnsi="Times New Roman"/>
            <w:noProof/>
            <w:webHidden/>
            <w:sz w:val="24"/>
            <w:szCs w:val="24"/>
          </w:rPr>
          <w:fldChar w:fldCharType="end"/>
        </w:r>
      </w:hyperlink>
    </w:p>
    <w:p w:rsidR="008778A6" w:rsidRDefault="00EF3F25" w:rsidP="008778A6">
      <w:pPr>
        <w:jc w:val="center"/>
      </w:pPr>
      <w:r w:rsidRPr="00D51FDE">
        <w:rPr>
          <w:smallCaps/>
        </w:rPr>
        <w:fldChar w:fldCharType="end"/>
      </w:r>
    </w:p>
    <w:p w:rsidR="008778A6" w:rsidRDefault="008778A6" w:rsidP="008778A6"/>
    <w:p w:rsidR="008778A6" w:rsidRDefault="008778A6" w:rsidP="008778A6"/>
    <w:p w:rsidR="005D5168" w:rsidRPr="008778A6" w:rsidRDefault="008778A6" w:rsidP="007F0EA0">
      <w:pPr>
        <w:spacing w:line="276" w:lineRule="auto"/>
        <w:sectPr w:rsidR="005D5168" w:rsidRPr="008778A6" w:rsidSect="006E069B">
          <w:footerReference w:type="default" r:id="rId8"/>
          <w:pgSz w:w="12240" w:h="15840"/>
          <w:pgMar w:top="1440" w:right="1440" w:bottom="1440" w:left="1440" w:header="720" w:footer="720" w:gutter="0"/>
          <w:pgNumType w:fmt="lowerRoman" w:start="1"/>
          <w:cols w:space="720"/>
          <w:titlePg/>
          <w:docGrid w:linePitch="360"/>
        </w:sectPr>
      </w:pPr>
      <w:r>
        <w:br w:type="page"/>
      </w:r>
    </w:p>
    <w:p w:rsidR="0073158A" w:rsidRPr="007A70F3" w:rsidRDefault="00E76DBE" w:rsidP="00E76DBE">
      <w:pPr>
        <w:pStyle w:val="Heading1"/>
        <w:jc w:val="center"/>
        <w:rPr>
          <w:rFonts w:ascii="Times New Roman" w:hAnsi="Times New Roman" w:cs="Times New Roman"/>
          <w:b w:val="0"/>
          <w:color w:val="auto"/>
        </w:rPr>
      </w:pPr>
      <w:bookmarkStart w:id="0" w:name="_Toc361839446"/>
      <w:r>
        <w:rPr>
          <w:rFonts w:ascii="Times New Roman" w:hAnsi="Times New Roman" w:cs="Times New Roman"/>
          <w:color w:val="auto"/>
        </w:rPr>
        <w:lastRenderedPageBreak/>
        <w:t xml:space="preserve">Chapter 1: </w:t>
      </w:r>
      <w:r w:rsidR="0073158A" w:rsidRPr="007A70F3">
        <w:rPr>
          <w:rFonts w:ascii="Times New Roman" w:hAnsi="Times New Roman" w:cs="Times New Roman"/>
          <w:color w:val="auto"/>
        </w:rPr>
        <w:t>Introduction</w:t>
      </w:r>
      <w:bookmarkEnd w:id="0"/>
    </w:p>
    <w:p w:rsidR="0073158A" w:rsidRPr="007A70F3" w:rsidRDefault="0073158A" w:rsidP="007A70F3">
      <w:pPr>
        <w:pStyle w:val="Heading2"/>
        <w:rPr>
          <w:rFonts w:ascii="Times New Roman" w:hAnsi="Times New Roman" w:cs="Times New Roman"/>
          <w:b w:val="0"/>
          <w:color w:val="auto"/>
          <w:sz w:val="24"/>
          <w:szCs w:val="24"/>
        </w:rPr>
      </w:pPr>
      <w:bookmarkStart w:id="1" w:name="_Toc361839447"/>
      <w:r w:rsidRPr="007A70F3">
        <w:rPr>
          <w:rFonts w:ascii="Times New Roman" w:hAnsi="Times New Roman" w:cs="Times New Roman"/>
          <w:color w:val="auto"/>
          <w:sz w:val="24"/>
          <w:szCs w:val="24"/>
        </w:rPr>
        <w:t>Background</w:t>
      </w:r>
      <w:r w:rsidR="00323FA5">
        <w:rPr>
          <w:rFonts w:ascii="Times New Roman" w:hAnsi="Times New Roman" w:cs="Times New Roman"/>
          <w:color w:val="auto"/>
          <w:sz w:val="24"/>
          <w:szCs w:val="24"/>
        </w:rPr>
        <w:t xml:space="preserve"> and Justification</w:t>
      </w:r>
      <w:bookmarkEnd w:id="1"/>
    </w:p>
    <w:p w:rsidR="0073158A" w:rsidRPr="002C2BFB" w:rsidRDefault="0073158A" w:rsidP="0073158A">
      <w:pPr>
        <w:ind w:firstLine="720"/>
      </w:pPr>
      <w:r>
        <w:t>The American black bear (</w:t>
      </w:r>
      <w:r>
        <w:rPr>
          <w:i/>
        </w:rPr>
        <w:t>Ursus americanus</w:t>
      </w:r>
      <w:r>
        <w:t>) was once distributed throughout North America, from the northern parts of Canada and Alaska south to Mexico (Lowery 1974).  Its range has been greatly reduced by anthropogenic actions</w:t>
      </w:r>
      <w:r w:rsidR="0032381E">
        <w:t>, mostly due to deforestation and the conversion of wooded land to agriculture</w:t>
      </w:r>
      <w:r>
        <w:t xml:space="preserve">.  </w:t>
      </w:r>
      <w:r w:rsidR="0032381E">
        <w:t xml:space="preserve">There are 16 sub-species of the American black bear that exist throughout the continent in fragmented populations.  </w:t>
      </w:r>
      <w:r w:rsidRPr="002C2BFB">
        <w:t>The Louisiana black bear (</w:t>
      </w:r>
      <w:r w:rsidRPr="002C2BFB">
        <w:rPr>
          <w:i/>
        </w:rPr>
        <w:t>Ursus americanus luteolus</w:t>
      </w:r>
      <w:r w:rsidRPr="002C2BFB">
        <w:t>)</w:t>
      </w:r>
      <w:r>
        <w:t xml:space="preserve"> is one of </w:t>
      </w:r>
      <w:r w:rsidR="0032381E">
        <w:t xml:space="preserve">the </w:t>
      </w:r>
      <w:r>
        <w:t>16 sub-species of the American black bear (Hall 1981)</w:t>
      </w:r>
      <w:r w:rsidR="0032381E">
        <w:t xml:space="preserve"> and the only sub-species to be federally listed as threatened</w:t>
      </w:r>
      <w:r>
        <w:t xml:space="preserve">.  </w:t>
      </w:r>
      <w:r w:rsidR="0032381E">
        <w:t>The Louisiana black bear’s</w:t>
      </w:r>
      <w:r>
        <w:t xml:space="preserve"> historic range included the bottomland hardwood forests of</w:t>
      </w:r>
      <w:r w:rsidRPr="002C2BFB">
        <w:t xml:space="preserve"> Louisiana and parts of Texas, Mississippi</w:t>
      </w:r>
      <w:r>
        <w:t>,</w:t>
      </w:r>
      <w:r w:rsidRPr="002C2BFB">
        <w:t xml:space="preserve"> and Arkansas</w:t>
      </w:r>
      <w:r>
        <w:t xml:space="preserve"> (Hall 1981; </w:t>
      </w:r>
      <w:r w:rsidRPr="009C1F88">
        <w:rPr>
          <w:highlight w:val="yellow"/>
        </w:rPr>
        <w:t>Fig</w:t>
      </w:r>
      <w:r w:rsidR="00323FA5">
        <w:rPr>
          <w:highlight w:val="yellow"/>
        </w:rPr>
        <w:t>.</w:t>
      </w:r>
      <w:r w:rsidRPr="009C1F88">
        <w:rPr>
          <w:highlight w:val="yellow"/>
        </w:rPr>
        <w:t xml:space="preserve"> 1</w:t>
      </w:r>
      <w:r>
        <w:t xml:space="preserve">).  </w:t>
      </w:r>
    </w:p>
    <w:p w:rsidR="0073158A" w:rsidRDefault="0073158A" w:rsidP="0073158A">
      <w:pPr>
        <w:ind w:firstLine="720"/>
      </w:pPr>
      <w:r>
        <w:t>The colonization of the Mississippi Alluvial Valley by Europeans has resulted in agricultural development of the fertile soils and timber harvesting of the forests.  From the 1950s to 1970s, h</w:t>
      </w:r>
      <w:r w:rsidRPr="002C2BFB">
        <w:t xml:space="preserve">igh prices for soybeans increased the demand for </w:t>
      </w:r>
      <w:r w:rsidR="00543121" w:rsidRPr="002C2BFB">
        <w:t>more agricultural land</w:t>
      </w:r>
      <w:r w:rsidR="00543121">
        <w:t xml:space="preserve"> </w:t>
      </w:r>
      <w:r w:rsidR="00465E79">
        <w:t>which led to the</w:t>
      </w:r>
      <w:r w:rsidR="00543121">
        <w:t xml:space="preserve"> clearing of </w:t>
      </w:r>
      <w:r>
        <w:t xml:space="preserve">bottomland hardwood </w:t>
      </w:r>
      <w:r w:rsidRPr="002C2BFB">
        <w:t>forest</w:t>
      </w:r>
      <w:r w:rsidR="00543121">
        <w:t>s</w:t>
      </w:r>
      <w:r w:rsidRPr="002C2BFB">
        <w:t xml:space="preserve">; </w:t>
      </w:r>
      <w:r>
        <w:t xml:space="preserve">Federal </w:t>
      </w:r>
      <w:r w:rsidRPr="002C2BFB">
        <w:t>legislation</w:t>
      </w:r>
      <w:r>
        <w:t xml:space="preserve"> (Swampland Acts of 1849, 1850 and 1860, Flood Control Act of 1944, Federal Watershed Protection and Flood Prevention Act of 1953; </w:t>
      </w:r>
      <w:proofErr w:type="spellStart"/>
      <w:r>
        <w:t>Hemlich</w:t>
      </w:r>
      <w:proofErr w:type="spellEnd"/>
      <w:r>
        <w:t xml:space="preserve"> et al. 1998)</w:t>
      </w:r>
      <w:r w:rsidRPr="002C2BFB">
        <w:t xml:space="preserve"> also provided financial incentives </w:t>
      </w:r>
      <w:r>
        <w:t xml:space="preserve">to clear bottomland hardwood forests and drain swamps </w:t>
      </w:r>
      <w:r w:rsidRPr="002C2BFB">
        <w:t xml:space="preserve">(King et al. 2006).  </w:t>
      </w:r>
      <w:r w:rsidRPr="002F50B6">
        <w:t>Bottomland</w:t>
      </w:r>
      <w:r w:rsidRPr="002C2BFB">
        <w:t xml:space="preserve"> hardwood forests have b</w:t>
      </w:r>
      <w:r>
        <w:t>een</w:t>
      </w:r>
      <w:r w:rsidRPr="002C2BFB">
        <w:t xml:space="preserve"> reduced by &gt;80% </w:t>
      </w:r>
      <w:r w:rsidR="00543121">
        <w:t>with</w:t>
      </w:r>
      <w:r w:rsidRPr="002C2BFB">
        <w:t>in the</w:t>
      </w:r>
      <w:r>
        <w:t xml:space="preserve"> </w:t>
      </w:r>
      <w:r w:rsidR="00543121" w:rsidRPr="002C2BFB">
        <w:t xml:space="preserve">historic range </w:t>
      </w:r>
      <w:r w:rsidR="00543121">
        <w:t xml:space="preserve">of the </w:t>
      </w:r>
      <w:r>
        <w:t>Louisiana</w:t>
      </w:r>
      <w:r w:rsidRPr="002C2BFB">
        <w:t xml:space="preserve"> </w:t>
      </w:r>
      <w:r>
        <w:t xml:space="preserve">black </w:t>
      </w:r>
      <w:r w:rsidRPr="002C2BFB">
        <w:t xml:space="preserve">bear (Neal 1990).  </w:t>
      </w:r>
      <w:r>
        <w:t>The r</w:t>
      </w:r>
      <w:r w:rsidRPr="002C2BFB">
        <w:t xml:space="preserve">emaining </w:t>
      </w:r>
      <w:r>
        <w:t>bottomland hardwood</w:t>
      </w:r>
      <w:r w:rsidRPr="002C2BFB">
        <w:t xml:space="preserve"> forests are </w:t>
      </w:r>
      <w:r>
        <w:t>frag</w:t>
      </w:r>
      <w:r w:rsidR="0032381E">
        <w:t>mented and</w:t>
      </w:r>
      <w:r>
        <w:t xml:space="preserve"> surrounded by</w:t>
      </w:r>
      <w:r w:rsidRPr="002C2BFB">
        <w:t xml:space="preserve"> agricultural land (King et al. 2006). </w:t>
      </w:r>
      <w:r>
        <w:t xml:space="preserve"> Conversion</w:t>
      </w:r>
      <w:r w:rsidRPr="002C2BFB">
        <w:t xml:space="preserve"> and fragmentation of </w:t>
      </w:r>
      <w:r>
        <w:t xml:space="preserve">bottomland hardwood forest </w:t>
      </w:r>
      <w:r w:rsidRPr="002C2BFB">
        <w:t>habitat has led to population declines and</w:t>
      </w:r>
      <w:r>
        <w:t xml:space="preserve"> has resulted in </w:t>
      </w:r>
      <w:r w:rsidRPr="002C2BFB">
        <w:t xml:space="preserve">bears </w:t>
      </w:r>
      <w:r>
        <w:t>being</w:t>
      </w:r>
      <w:r w:rsidRPr="002C2BFB">
        <w:t xml:space="preserve"> restrict</w:t>
      </w:r>
      <w:r>
        <w:t>ed</w:t>
      </w:r>
      <w:r w:rsidRPr="002C2BFB">
        <w:t xml:space="preserve"> to three subpopulations</w:t>
      </w:r>
      <w:r w:rsidR="00C56399">
        <w:t xml:space="preserve"> located in </w:t>
      </w:r>
      <w:r w:rsidR="00C56399">
        <w:lastRenderedPageBreak/>
        <w:t>the Tensas and Atchafalaya river basins</w:t>
      </w:r>
      <w:r w:rsidR="0032381E">
        <w:t>.</w:t>
      </w:r>
      <w:r w:rsidR="00C56399">
        <w:t xml:space="preserve"> </w:t>
      </w:r>
      <w:r w:rsidR="0032381E">
        <w:t xml:space="preserve"> The</w:t>
      </w:r>
      <w:r w:rsidRPr="002C2BFB">
        <w:t xml:space="preserve"> Tensas River Basin (TRB)</w:t>
      </w:r>
      <w:r w:rsidR="0032381E">
        <w:t xml:space="preserve"> population,</w:t>
      </w:r>
      <w:r w:rsidR="00323FA5">
        <w:t xml:space="preserve"> in the northern part of the state</w:t>
      </w:r>
      <w:r w:rsidRPr="002C2BFB">
        <w:t>,</w:t>
      </w:r>
      <w:r w:rsidR="0032381E">
        <w:t xml:space="preserve"> </w:t>
      </w:r>
      <w:r w:rsidR="00C56399">
        <w:t>has</w:t>
      </w:r>
      <w:r w:rsidR="0032381E">
        <w:t xml:space="preserve"> the largest</w:t>
      </w:r>
      <w:r w:rsidRPr="002C2BFB">
        <w:t xml:space="preserve"> </w:t>
      </w:r>
      <w:r w:rsidR="00C56399">
        <w:t xml:space="preserve">number of bears (Hooker 2011).  The </w:t>
      </w:r>
      <w:r w:rsidRPr="002C2BFB">
        <w:t>Upper Atchafalaya River Basin (UARB)</w:t>
      </w:r>
      <w:r w:rsidR="00C56399">
        <w:t xml:space="preserve"> population, </w:t>
      </w:r>
      <w:r w:rsidR="00323FA5">
        <w:t>in the south central</w:t>
      </w:r>
      <w:r w:rsidRPr="002C2BFB">
        <w:t xml:space="preserve"> </w:t>
      </w:r>
      <w:r w:rsidR="00323FA5">
        <w:t>part of the state</w:t>
      </w:r>
      <w:r w:rsidR="00C56399">
        <w:t>, has the fewest number of bears.</w:t>
      </w:r>
      <w:r w:rsidRPr="002C2BFB">
        <w:t xml:space="preserve"> </w:t>
      </w:r>
      <w:r w:rsidR="00C56399">
        <w:t xml:space="preserve">The </w:t>
      </w:r>
      <w:r w:rsidRPr="002C2BFB">
        <w:t>Lower Atchafalaya River Basin (LARB</w:t>
      </w:r>
      <w:r>
        <w:t>)</w:t>
      </w:r>
      <w:r w:rsidR="00323FA5">
        <w:t xml:space="preserve"> </w:t>
      </w:r>
      <w:r w:rsidR="00C56399">
        <w:t xml:space="preserve">is located </w:t>
      </w:r>
      <w:r w:rsidR="00323FA5">
        <w:t>along the coast</w:t>
      </w:r>
      <w:r w:rsidR="00C56399">
        <w:t xml:space="preserve"> and is the most isolated population</w:t>
      </w:r>
      <w:r w:rsidR="00323FA5">
        <w:t xml:space="preserve"> (</w:t>
      </w:r>
      <w:r w:rsidR="00323FA5" w:rsidRPr="00724723">
        <w:rPr>
          <w:highlight w:val="yellow"/>
        </w:rPr>
        <w:t>Fig. 2</w:t>
      </w:r>
      <w:r w:rsidR="00323FA5">
        <w:t>)</w:t>
      </w:r>
      <w:r w:rsidRPr="002C2BFB">
        <w:t xml:space="preserve">.  </w:t>
      </w:r>
      <w:r w:rsidR="00A24B52">
        <w:t xml:space="preserve"> </w:t>
      </w:r>
    </w:p>
    <w:p w:rsidR="0073158A" w:rsidRPr="002C2BFB" w:rsidRDefault="0073158A" w:rsidP="0073158A">
      <w:pPr>
        <w:ind w:firstLine="720"/>
      </w:pPr>
      <w:r w:rsidRPr="002C2BFB">
        <w:t xml:space="preserve">Because of </w:t>
      </w:r>
      <w:r>
        <w:t xml:space="preserve">black bear </w:t>
      </w:r>
      <w:r w:rsidRPr="002C2BFB">
        <w:t xml:space="preserve">population declines, the Louisiana Department of </w:t>
      </w:r>
      <w:r>
        <w:t>Wildlife and Fisheries</w:t>
      </w:r>
      <w:r w:rsidRPr="002C2BFB">
        <w:t xml:space="preserve"> (LDWF) initiated a restocking program in 1964 to help</w:t>
      </w:r>
      <w:r w:rsidR="00323FA5">
        <w:t xml:space="preserve"> bolster bear numbers in the state</w:t>
      </w:r>
      <w:r w:rsidRPr="002C2BFB">
        <w:t>.  Bears were trapped in Minnesota and released into two of the subpopulations</w:t>
      </w:r>
      <w:r>
        <w:t>;</w:t>
      </w:r>
      <w:r w:rsidRPr="002C2BFB">
        <w:t xml:space="preserve"> 130</w:t>
      </w:r>
      <w:r>
        <w:t xml:space="preserve"> individuals</w:t>
      </w:r>
      <w:r w:rsidRPr="002C2BFB">
        <w:t xml:space="preserve"> </w:t>
      </w:r>
      <w:r>
        <w:t xml:space="preserve">were released </w:t>
      </w:r>
      <w:r w:rsidRPr="002C2BFB">
        <w:t>in UARB and 31</w:t>
      </w:r>
      <w:r>
        <w:t xml:space="preserve"> were released</w:t>
      </w:r>
      <w:r w:rsidRPr="002C2BFB">
        <w:t xml:space="preserve"> in TRB (Taylor 1971).  Thirty of </w:t>
      </w:r>
      <w:r w:rsidR="004A7351">
        <w:t xml:space="preserve">161 </w:t>
      </w:r>
      <w:r w:rsidRPr="002C2BFB">
        <w:t xml:space="preserve">released bears </w:t>
      </w:r>
      <w:r w:rsidR="004A7351">
        <w:t xml:space="preserve">were known to have </w:t>
      </w:r>
      <w:r w:rsidRPr="002C2BFB">
        <w:t>died</w:t>
      </w:r>
      <w:r w:rsidR="004A7351">
        <w:t xml:space="preserve"> shortly after release</w:t>
      </w:r>
      <w:r w:rsidRPr="002C2BFB">
        <w:t xml:space="preserve">; many others scattered and were never </w:t>
      </w:r>
      <w:r>
        <w:t>seen again</w:t>
      </w:r>
      <w:r w:rsidRPr="002C2BFB">
        <w:t xml:space="preserve"> (Taylor 1971).  </w:t>
      </w:r>
      <w:r w:rsidR="004A7351">
        <w:t xml:space="preserve">Although the </w:t>
      </w:r>
      <w:r w:rsidRPr="002C2BFB">
        <w:t xml:space="preserve">restocking effort was not considered </w:t>
      </w:r>
      <w:r>
        <w:t>successful (</w:t>
      </w:r>
      <w:r w:rsidR="00C56399">
        <w:t>Taylor 1971</w:t>
      </w:r>
      <w:r>
        <w:t>)</w:t>
      </w:r>
      <w:r w:rsidR="004A7351">
        <w:t>, genetic analyses suggest</w:t>
      </w:r>
      <w:r>
        <w:t xml:space="preserve"> that at least some animals persisted in the UARB (Miller et al. 1998; </w:t>
      </w:r>
      <w:proofErr w:type="spellStart"/>
      <w:r>
        <w:t>Warrillow</w:t>
      </w:r>
      <w:proofErr w:type="spellEnd"/>
      <w:r>
        <w:t xml:space="preserve"> et al. 2001; </w:t>
      </w:r>
      <w:proofErr w:type="spellStart"/>
      <w:r>
        <w:t>Csiki</w:t>
      </w:r>
      <w:proofErr w:type="spellEnd"/>
      <w:r>
        <w:t xml:space="preserve"> et al. 2003).  In addition to restocking efforts, t</w:t>
      </w:r>
      <w:r w:rsidRPr="002C2BFB">
        <w:t>he bear hunting season in Louisiana was closed in 1987 (</w:t>
      </w:r>
      <w:r>
        <w:t>Anderson 1997</w:t>
      </w:r>
      <w:r w:rsidRPr="002C2BFB">
        <w:t xml:space="preserve">).  </w:t>
      </w:r>
    </w:p>
    <w:p w:rsidR="0073158A" w:rsidRPr="002C2BFB" w:rsidRDefault="0073158A" w:rsidP="0073158A">
      <w:r w:rsidRPr="002C2BFB">
        <w:tab/>
      </w:r>
      <w:r>
        <w:t>In 1992, t</w:t>
      </w:r>
      <w:r w:rsidRPr="002C2BFB">
        <w:t xml:space="preserve">he US Fish and Wildlife Services (USFWS) listed the Louisiana black bear as Threatened </w:t>
      </w:r>
      <w:r>
        <w:t>under the Endangered Species Act (Neal 1992)</w:t>
      </w:r>
      <w:r w:rsidRPr="002C2BFB">
        <w:t>.  Habitat loss was cited as the primary reason for population decline and human</w:t>
      </w:r>
      <w:r>
        <w:t>-</w:t>
      </w:r>
      <w:r w:rsidRPr="002C2BFB">
        <w:t xml:space="preserve">related mortality </w:t>
      </w:r>
      <w:r w:rsidR="004A7351">
        <w:t xml:space="preserve">was listed </w:t>
      </w:r>
      <w:r w:rsidRPr="002C2BFB">
        <w:t xml:space="preserve">as a secondary cause.  In 1994 the USFWS </w:t>
      </w:r>
      <w:r w:rsidR="004A7351">
        <w:t>published</w:t>
      </w:r>
      <w:r>
        <w:t xml:space="preserve"> </w:t>
      </w:r>
      <w:r w:rsidRPr="002C2BFB">
        <w:t xml:space="preserve">the Louisiana </w:t>
      </w:r>
      <w:r>
        <w:t>B</w:t>
      </w:r>
      <w:r w:rsidRPr="002C2BFB">
        <w:t xml:space="preserve">lack </w:t>
      </w:r>
      <w:r>
        <w:t>B</w:t>
      </w:r>
      <w:r w:rsidRPr="002C2BFB">
        <w:t xml:space="preserve">ear Recovery Plan </w:t>
      </w:r>
      <w:r>
        <w:t>(USFWS 1995), which</w:t>
      </w:r>
      <w:r w:rsidRPr="002C2BFB">
        <w:t xml:space="preserve"> </w:t>
      </w:r>
      <w:r>
        <w:t>listed</w:t>
      </w:r>
      <w:r w:rsidRPr="002C2BFB">
        <w:t xml:space="preserve"> </w:t>
      </w:r>
      <w:r w:rsidR="004A7351">
        <w:t>3</w:t>
      </w:r>
      <w:r w:rsidRPr="002C2BFB">
        <w:t xml:space="preserve"> </w:t>
      </w:r>
      <w:r>
        <w:t xml:space="preserve">recovery </w:t>
      </w:r>
      <w:r w:rsidRPr="002C2BFB">
        <w:t>criteria</w:t>
      </w:r>
      <w:r>
        <w:t xml:space="preserve"> that must be met</w:t>
      </w:r>
      <w:r w:rsidRPr="002C2BFB">
        <w:t xml:space="preserve"> for delisting:</w:t>
      </w:r>
    </w:p>
    <w:p w:rsidR="0073158A" w:rsidRPr="002C2BFB" w:rsidRDefault="0073158A" w:rsidP="0073158A">
      <w:pPr>
        <w:pStyle w:val="ListParagraph"/>
        <w:numPr>
          <w:ilvl w:val="0"/>
          <w:numId w:val="2"/>
        </w:numPr>
      </w:pPr>
      <w:r>
        <w:t>T</w:t>
      </w:r>
      <w:r w:rsidR="004A7351">
        <w:t>wo of the 3</w:t>
      </w:r>
      <w:r w:rsidRPr="002C2BFB">
        <w:t xml:space="preserve"> sub</w:t>
      </w:r>
      <w:r>
        <w:t>-</w:t>
      </w:r>
      <w:r w:rsidRPr="002C2BFB">
        <w:t>populations must be viable</w:t>
      </w:r>
      <w:r>
        <w:t>,</w:t>
      </w:r>
      <w:r w:rsidRPr="002C2BFB">
        <w:t xml:space="preserve"> </w:t>
      </w:r>
    </w:p>
    <w:p w:rsidR="0073158A" w:rsidRDefault="0073158A" w:rsidP="0073158A">
      <w:pPr>
        <w:pStyle w:val="ListParagraph"/>
        <w:numPr>
          <w:ilvl w:val="0"/>
          <w:numId w:val="2"/>
        </w:numPr>
      </w:pPr>
      <w:r>
        <w:t>T</w:t>
      </w:r>
      <w:r w:rsidRPr="002C2BFB">
        <w:t xml:space="preserve">he </w:t>
      </w:r>
      <w:r w:rsidR="004A7351">
        <w:t>2</w:t>
      </w:r>
      <w:r w:rsidRPr="002C2BFB">
        <w:t xml:space="preserve"> viable sub</w:t>
      </w:r>
      <w:r>
        <w:t>-</w:t>
      </w:r>
      <w:r w:rsidRPr="002C2BFB">
        <w:t>populations must have habitat corridors that protect gene flow</w:t>
      </w:r>
      <w:r>
        <w:t xml:space="preserve">, and </w:t>
      </w:r>
    </w:p>
    <w:p w:rsidR="0073158A" w:rsidRDefault="0073158A" w:rsidP="0073158A">
      <w:pPr>
        <w:pStyle w:val="ListParagraph"/>
        <w:numPr>
          <w:ilvl w:val="0"/>
          <w:numId w:val="2"/>
        </w:numPr>
      </w:pPr>
      <w:r>
        <w:t>H</w:t>
      </w:r>
      <w:r w:rsidRPr="002C2BFB">
        <w:t>abitat corridors must be protected to ensure use and gene flow</w:t>
      </w:r>
      <w:r>
        <w:t>.</w:t>
      </w:r>
    </w:p>
    <w:p w:rsidR="00861971" w:rsidRDefault="00861971" w:rsidP="0073158A">
      <w:pPr>
        <w:ind w:firstLine="720"/>
      </w:pPr>
      <w:r>
        <w:lastRenderedPageBreak/>
        <w:t>S</w:t>
      </w:r>
      <w:r w:rsidR="0073158A">
        <w:t>ince the listing of the Louisiana black bear, many studies</w:t>
      </w:r>
      <w:r w:rsidR="004A7351">
        <w:t xml:space="preserve"> have been</w:t>
      </w:r>
      <w:r w:rsidR="0073158A">
        <w:t xml:space="preserve"> conducted on the different sub-populations</w:t>
      </w:r>
      <w:r w:rsidR="004A7351">
        <w:t xml:space="preserve"> to address different aspects of the recovery criteria</w:t>
      </w:r>
      <w:r w:rsidR="0073158A">
        <w:t xml:space="preserve">.  Most of these studies </w:t>
      </w:r>
      <w:r w:rsidR="00E85443">
        <w:t>have been f</w:t>
      </w:r>
      <w:r w:rsidR="0073158A">
        <w:t xml:space="preserve">ocused on movement and </w:t>
      </w:r>
      <w:proofErr w:type="spellStart"/>
      <w:r w:rsidR="0073158A">
        <w:t>denning</w:t>
      </w:r>
      <w:proofErr w:type="spellEnd"/>
      <w:r w:rsidR="0073158A">
        <w:t xml:space="preserve"> ecology (Anderson 1997; Beausoleil 1999; Wagner et al. 2001; </w:t>
      </w:r>
      <w:proofErr w:type="spellStart"/>
      <w:r w:rsidR="0073158A">
        <w:t>Boersen</w:t>
      </w:r>
      <w:proofErr w:type="spellEnd"/>
      <w:r w:rsidR="0073158A">
        <w:t xml:space="preserve"> et al. 2003; Benson and Chamberlain 2006; Benson and</w:t>
      </w:r>
      <w:r w:rsidR="00E85443">
        <w:t xml:space="preserve"> Chamberlain 2007; Hooker 2010) or have taken place in the TRB.  </w:t>
      </w:r>
      <w:r w:rsidR="00BF4CA4">
        <w:t xml:space="preserve">The goal of those studies was to study movement among the sub-populations and to address the viability in the TRB.  </w:t>
      </w:r>
      <w:r>
        <w:t xml:space="preserve">In addition to these studies, LDWF wanted to establish a new population located between the TRB and UARB to hopefully connect the populations.  </w:t>
      </w:r>
      <w:proofErr w:type="gramStart"/>
      <w:r>
        <w:t>From ????</w:t>
      </w:r>
      <w:proofErr w:type="gramEnd"/>
      <w:r>
        <w:t xml:space="preserve"> </w:t>
      </w:r>
      <w:proofErr w:type="gramStart"/>
      <w:r>
        <w:t>to ????</w:t>
      </w:r>
      <w:proofErr w:type="gramEnd"/>
      <w:r>
        <w:t xml:space="preserve">, </w:t>
      </w:r>
      <w:r w:rsidR="00D679AB">
        <w:t xml:space="preserve"># </w:t>
      </w:r>
      <w:r>
        <w:t>females with cubs were moved from the TRB to the Red River Wildlife Complex</w:t>
      </w:r>
      <w:r w:rsidR="00D679AB">
        <w:t xml:space="preserve"> or the “</w:t>
      </w:r>
      <w:proofErr w:type="spellStart"/>
      <w:r w:rsidR="00D679AB">
        <w:t>Repat</w:t>
      </w:r>
      <w:proofErr w:type="spellEnd"/>
      <w:r w:rsidR="00D679AB">
        <w:t>” area</w:t>
      </w:r>
      <w:r>
        <w:t xml:space="preserve">.  </w:t>
      </w:r>
      <w:r w:rsidR="00D679AB">
        <w:t xml:space="preserve">In 2013, a female cub moved to the </w:t>
      </w:r>
      <w:proofErr w:type="spellStart"/>
      <w:r w:rsidR="00D679AB">
        <w:t>Repat</w:t>
      </w:r>
      <w:proofErr w:type="spellEnd"/>
      <w:r w:rsidR="00D679AB">
        <w:t xml:space="preserve"> area had her first litter indicating that a male bear may have moved into the area and bred with her (J. Laufenberg, p. communication).  </w:t>
      </w:r>
    </w:p>
    <w:p w:rsidR="00861971" w:rsidRDefault="00861971" w:rsidP="00861971">
      <w:pPr>
        <w:ind w:firstLine="720"/>
      </w:pPr>
      <w:r>
        <w:t>The USFWS defines a viable population as one that will have 95% chance of persisting for 100 years.  To determine if a population is viable a Population Viability Analysis (PVA) must be performed.  PVA requires accurate estimates of the population’s vital rates, such as abundance (</w:t>
      </w:r>
      <w:r w:rsidRPr="00D169C6">
        <w:rPr>
          <w:i/>
        </w:rPr>
        <w:t>N</w:t>
      </w:r>
      <w:r>
        <w:t>), survival rates (φ), growth rates (λ), and fecundity (</w:t>
      </w:r>
      <w:r w:rsidRPr="005E7442">
        <w:rPr>
          <w:i/>
        </w:rPr>
        <w:t>f</w:t>
      </w:r>
      <w:r>
        <w:t xml:space="preserve">; </w:t>
      </w:r>
      <w:proofErr w:type="spellStart"/>
      <w:r>
        <w:t>Ginzburg</w:t>
      </w:r>
      <w:proofErr w:type="spellEnd"/>
      <w:r>
        <w:t xml:space="preserve"> et al. 1982; Gilpin and Soule 1986).  PVAs, also, require adequate data sets to estimate inter-annual variability in population parameters and growth rates.  </w:t>
      </w:r>
    </w:p>
    <w:p w:rsidR="0073158A" w:rsidRDefault="0073158A" w:rsidP="0073158A">
      <w:pPr>
        <w:ind w:firstLine="720"/>
      </w:pPr>
      <w:r w:rsidRPr="002C2BFB">
        <w:t>Only two studies (</w:t>
      </w:r>
      <w:r>
        <w:t>Triant et al. 2004; Lowe 2011</w:t>
      </w:r>
      <w:r w:rsidRPr="002C2BFB">
        <w:t>) have attempted to estimate the population</w:t>
      </w:r>
      <w:r w:rsidR="00E85443">
        <w:t xml:space="preserve"> size</w:t>
      </w:r>
      <w:r w:rsidRPr="002C2BFB">
        <w:t xml:space="preserve"> </w:t>
      </w:r>
      <w:r w:rsidR="00E85443">
        <w:t>(</w:t>
      </w:r>
      <w:r w:rsidR="00E85443" w:rsidRPr="00E85443">
        <w:rPr>
          <w:i/>
        </w:rPr>
        <w:t>N</w:t>
      </w:r>
      <w:r w:rsidR="00E85443">
        <w:t xml:space="preserve">) </w:t>
      </w:r>
      <w:r w:rsidRPr="00E85443">
        <w:t>of</w:t>
      </w:r>
      <w:r>
        <w:t xml:space="preserve"> </w:t>
      </w:r>
      <w:r w:rsidRPr="002C2BFB">
        <w:t>the UARB</w:t>
      </w:r>
      <w:r>
        <w:t xml:space="preserve"> sub-population. </w:t>
      </w:r>
      <w:r w:rsidRPr="002C2BFB">
        <w:t xml:space="preserve"> </w:t>
      </w:r>
      <w:r w:rsidR="00861971">
        <w:t xml:space="preserve">When populations have a small </w:t>
      </w:r>
      <w:r w:rsidR="00861971" w:rsidRPr="00861971">
        <w:rPr>
          <w:i/>
        </w:rPr>
        <w:t>N</w:t>
      </w:r>
      <w:r w:rsidR="00861971">
        <w:t xml:space="preserve"> there are many negative effects, such as genetic drift, genetic bottlenecking or higher rate of extinction.  In order to assess the viability of the UARB sub-population there must first be accurate estimates of </w:t>
      </w:r>
      <w:r w:rsidR="00861971">
        <w:rPr>
          <w:i/>
        </w:rPr>
        <w:t xml:space="preserve">N.  </w:t>
      </w:r>
      <w:r w:rsidRPr="00861971">
        <w:t>Triant</w:t>
      </w:r>
      <w:r>
        <w:t xml:space="preserve"> et al. (2003) used DNA mark-recapture during summer 1999 and estimated 52 ± 12 bears in the UARB population.  Lowe (2011) conducted DNA mark-recapture from 2007 to 2009 </w:t>
      </w:r>
      <w:r>
        <w:lastRenderedPageBreak/>
        <w:t xml:space="preserve">and estimated </w:t>
      </w:r>
      <m:oMath>
        <m:acc>
          <m:accPr>
            <m:chr m:val="̅"/>
            <m:ctrlPr>
              <w:rPr>
                <w:rFonts w:ascii="Cambria Math" w:hAnsi="Cambria Math"/>
                <w:i/>
              </w:rPr>
            </m:ctrlPr>
          </m:accPr>
          <m:e>
            <m:r>
              <w:rPr>
                <w:rFonts w:ascii="Cambria Math" w:hAnsi="Cambria Math"/>
              </w:rPr>
              <m:t xml:space="preserve">N </m:t>
            </m:r>
          </m:e>
        </m:acc>
      </m:oMath>
      <w:r w:rsidR="00E85443">
        <w:t xml:space="preserve">during that time </w:t>
      </w:r>
      <w:r>
        <w:t xml:space="preserve">to be 56 (SE = 4.5, 95% CI = 49-68).  </w:t>
      </w:r>
      <w:r w:rsidR="00D679AB">
        <w:t>The</w:t>
      </w:r>
      <w:r w:rsidR="00861971">
        <w:t xml:space="preserve"> field studies initiated by Lowe (2011) were proposed for continuation through 2011 so that better estimates of environmental variance could be made.  Consequently, I continued collecting data on the UARB bear population beginning in 2010 so that a PVA could eventually be performed.</w:t>
      </w:r>
    </w:p>
    <w:p w:rsidR="0073158A" w:rsidRDefault="0073158A" w:rsidP="00B83765">
      <w:pPr>
        <w:ind w:firstLine="720"/>
      </w:pPr>
      <w:r>
        <w:t>The Mississippi River is well known for its historic flood regime that created fertile croplands</w:t>
      </w:r>
      <w:r w:rsidR="00B83765">
        <w:t>.  However, these floods have been known to cause extensive</w:t>
      </w:r>
      <w:r>
        <w:t xml:space="preserve"> </w:t>
      </w:r>
      <w:r w:rsidR="00B83765">
        <w:t xml:space="preserve">urban and agricultural </w:t>
      </w:r>
      <w:r>
        <w:t xml:space="preserve">damage, </w:t>
      </w:r>
      <w:r w:rsidR="00B83765">
        <w:t xml:space="preserve">the most notable being </w:t>
      </w:r>
      <w:r>
        <w:t xml:space="preserve">the flood of 1927.  Following that, </w:t>
      </w:r>
      <w:r w:rsidRPr="00460D9D">
        <w:t xml:space="preserve">the </w:t>
      </w:r>
      <w:r w:rsidR="00B83765">
        <w:t xml:space="preserve">U.S. </w:t>
      </w:r>
      <w:r w:rsidRPr="00460D9D">
        <w:t>Flood Control Act was passed in Congress</w:t>
      </w:r>
      <w:r>
        <w:t xml:space="preserve"> and </w:t>
      </w:r>
      <w:r w:rsidRPr="00460D9D">
        <w:t xml:space="preserve">the </w:t>
      </w:r>
      <w:r>
        <w:t>U</w:t>
      </w:r>
      <w:r w:rsidR="00B83765">
        <w:t>.</w:t>
      </w:r>
      <w:r>
        <w:t>S</w:t>
      </w:r>
      <w:r w:rsidR="00B83765">
        <w:t>.</w:t>
      </w:r>
      <w:r>
        <w:t xml:space="preserve"> </w:t>
      </w:r>
      <w:r w:rsidRPr="00460D9D">
        <w:t>Army Corp</w:t>
      </w:r>
      <w:r>
        <w:t>s</w:t>
      </w:r>
      <w:r w:rsidRPr="00460D9D">
        <w:t xml:space="preserve"> of Engineers (</w:t>
      </w:r>
      <w:r w:rsidR="00670BD8">
        <w:t>A</w:t>
      </w:r>
      <w:r w:rsidRPr="00460D9D">
        <w:t xml:space="preserve">COE) developed a plan to contain the Mississippi River within its banks and divert water from the river when necessary.  </w:t>
      </w:r>
      <w:r>
        <w:t>T</w:t>
      </w:r>
      <w:r w:rsidRPr="00460D9D">
        <w:t>he Morganza Spillway</w:t>
      </w:r>
      <w:r w:rsidR="00B83765">
        <w:t>, which</w:t>
      </w:r>
      <w:r w:rsidRPr="00460D9D">
        <w:t xml:space="preserve"> </w:t>
      </w:r>
      <w:r w:rsidR="00B83765">
        <w:t>lies w</w:t>
      </w:r>
      <w:r w:rsidR="00B83765" w:rsidRPr="00460D9D">
        <w:t>ithin the UARB (</w:t>
      </w:r>
      <w:r w:rsidR="00323FA5">
        <w:t>Fig.</w:t>
      </w:r>
      <w:r w:rsidR="00B83765">
        <w:t xml:space="preserve"> 3</w:t>
      </w:r>
      <w:r w:rsidR="00B83765" w:rsidRPr="00460D9D">
        <w:t>)</w:t>
      </w:r>
      <w:r w:rsidR="00B83765">
        <w:t xml:space="preserve">, was </w:t>
      </w:r>
      <w:r w:rsidR="00670BD8">
        <w:t>completed</w:t>
      </w:r>
      <w:r w:rsidR="00B83765">
        <w:t xml:space="preserve"> in</w:t>
      </w:r>
      <w:r w:rsidR="00670BD8">
        <w:t xml:space="preserve"> 1953</w:t>
      </w:r>
      <w:r w:rsidR="00B83765">
        <w:t xml:space="preserve"> </w:t>
      </w:r>
      <w:r w:rsidR="00670BD8">
        <w:t>a</w:t>
      </w:r>
      <w:r>
        <w:t>nd</w:t>
      </w:r>
      <w:r w:rsidRPr="00460D9D">
        <w:t xml:space="preserve"> </w:t>
      </w:r>
      <w:r w:rsidR="00B83765">
        <w:t>wa</w:t>
      </w:r>
      <w:r w:rsidR="00B83765" w:rsidRPr="00460D9D">
        <w:t xml:space="preserve">s </w:t>
      </w:r>
      <w:r w:rsidRPr="00460D9D">
        <w:t>designed to divert water from the Mississippi River thr</w:t>
      </w:r>
      <w:r>
        <w:t>ough</w:t>
      </w:r>
      <w:r w:rsidRPr="00460D9D">
        <w:t xml:space="preserve"> </w:t>
      </w:r>
      <w:r w:rsidR="00762837">
        <w:t xml:space="preserve">the </w:t>
      </w:r>
      <w:r w:rsidRPr="00460D9D">
        <w:t>Atchafalaya Basin to the Gulf of Mexico</w:t>
      </w:r>
      <w:r>
        <w:t xml:space="preserve"> during periods of high flood waters</w:t>
      </w:r>
      <w:r w:rsidRPr="00460D9D">
        <w:t xml:space="preserve">.  </w:t>
      </w:r>
      <w:r>
        <w:t>In 1973, the spillway was opened for the first time.</w:t>
      </w:r>
      <w:r w:rsidRPr="00460D9D">
        <w:t xml:space="preserve"> </w:t>
      </w:r>
      <w:r>
        <w:t xml:space="preserve"> </w:t>
      </w:r>
      <w:r w:rsidR="00B83765">
        <w:t xml:space="preserve">The spillway was not opened again until </w:t>
      </w:r>
      <w:r w:rsidR="00B83765" w:rsidRPr="00460D9D">
        <w:t>May 2011</w:t>
      </w:r>
      <w:r w:rsidR="00B83765">
        <w:t xml:space="preserve"> to prevent flood waters from over-topping levees in Baton Rouge and New Orleans a</w:t>
      </w:r>
      <w:r w:rsidR="00B83765" w:rsidRPr="00460D9D">
        <w:t xml:space="preserve">fter </w:t>
      </w:r>
      <w:r w:rsidRPr="00460D9D">
        <w:t>record snow fall and spring rains</w:t>
      </w:r>
      <w:r>
        <w:t xml:space="preserve"> in the upper portion of the Mississippi Valley</w:t>
      </w:r>
      <w:r w:rsidRPr="00460D9D">
        <w:t>.  The flood gates of the Morganza Spillway were closed July 7</w:t>
      </w:r>
      <w:r>
        <w:t>, 2011</w:t>
      </w:r>
      <w:r w:rsidRPr="00460D9D">
        <w:t xml:space="preserve"> and the water subsided by the end of July</w:t>
      </w:r>
      <w:r>
        <w:t xml:space="preserve"> 2011</w:t>
      </w:r>
      <w:r w:rsidRPr="00460D9D">
        <w:t xml:space="preserve">.  </w:t>
      </w:r>
      <w:r w:rsidR="00E85443">
        <w:t xml:space="preserve">This flooding event also threatened the UARB bear population and consequently, its recovery.  </w:t>
      </w:r>
      <w:r w:rsidR="00B83765">
        <w:t>Information on wildlife responses to extreme flooding events</w:t>
      </w:r>
      <w:r w:rsidR="00B83765" w:rsidRPr="00460D9D">
        <w:t xml:space="preserve"> </w:t>
      </w:r>
      <w:r w:rsidR="00B83765">
        <w:t>ha</w:t>
      </w:r>
      <w:r w:rsidR="005C2577">
        <w:t>s</w:t>
      </w:r>
      <w:r w:rsidR="00B83765">
        <w:t xml:space="preserve"> been largely anecdotal; t</w:t>
      </w:r>
      <w:r w:rsidRPr="00460D9D">
        <w:t xml:space="preserve">here </w:t>
      </w:r>
      <w:r>
        <w:t xml:space="preserve">is little </w:t>
      </w:r>
      <w:r w:rsidR="00B83765">
        <w:t xml:space="preserve">quantitative </w:t>
      </w:r>
      <w:r>
        <w:t xml:space="preserve">data to document the </w:t>
      </w:r>
      <w:r w:rsidR="00B83765">
        <w:t>population-</w:t>
      </w:r>
      <w:r>
        <w:t>level responses of large mammals to</w:t>
      </w:r>
      <w:r w:rsidR="00B83765">
        <w:t xml:space="preserve"> flooding. </w:t>
      </w:r>
      <w:r>
        <w:t xml:space="preserve"> </w:t>
      </w:r>
      <w:r w:rsidR="00BE08B5">
        <w:t>The flooding of the spillway in 1973 caused extensive wildlife movement and mortality (</w:t>
      </w:r>
      <w:r w:rsidR="00D679AB">
        <w:t>J. Broussard, p. communication</w:t>
      </w:r>
      <w:r w:rsidR="00BE08B5">
        <w:t xml:space="preserve">).  </w:t>
      </w:r>
      <w:r>
        <w:t>Because Lowe (2011) collec</w:t>
      </w:r>
      <w:r w:rsidR="00D679AB">
        <w:t xml:space="preserve">ted data up to 2009 and I began the next summer </w:t>
      </w:r>
      <w:r>
        <w:t xml:space="preserve">collecting data in 2010, there was a unique opportunity to evaluate the effects of the flooding on this threatened </w:t>
      </w:r>
      <w:r>
        <w:lastRenderedPageBreak/>
        <w:t xml:space="preserve">bear population.  </w:t>
      </w:r>
      <w:r w:rsidR="00BE08B5">
        <w:t>Therefore</w:t>
      </w:r>
      <w:r>
        <w:t>, we continue</w:t>
      </w:r>
      <w:r w:rsidR="00E85443">
        <w:t>d</w:t>
      </w:r>
      <w:r>
        <w:t xml:space="preserve"> data collection into 2012 estimated </w:t>
      </w:r>
      <w:r w:rsidR="00E85443">
        <w:t xml:space="preserve">parameters </w:t>
      </w:r>
      <w:r>
        <w:t>before, duri</w:t>
      </w:r>
      <w:r w:rsidR="00E85443">
        <w:t xml:space="preserve">ng, and after the flood event to assess the flood damages on the UARB bear population. </w:t>
      </w:r>
    </w:p>
    <w:p w:rsidR="0073158A" w:rsidRDefault="0073158A" w:rsidP="00A477E6">
      <w:pPr>
        <w:ind w:firstLine="720"/>
      </w:pPr>
      <w:r>
        <w:t>Finally,</w:t>
      </w:r>
      <w:r w:rsidR="00E85443" w:rsidRPr="00E85443">
        <w:t xml:space="preserve"> </w:t>
      </w:r>
      <w:r w:rsidR="00E85443">
        <w:t xml:space="preserve">both Triant et al. (2004) and Lowe (2011) used a single-wire system that may have missed a portion of male bears, causing low male capture probabilities and, consequently, biased estimates of </w:t>
      </w:r>
      <w:r w:rsidR="00E85443">
        <w:rPr>
          <w:i/>
        </w:rPr>
        <w:t xml:space="preserve">N </w:t>
      </w:r>
      <w:r w:rsidR="00E85443">
        <w:t xml:space="preserve">low.  </w:t>
      </w:r>
      <w:r>
        <w:t xml:space="preserve">Lowe (2011) </w:t>
      </w:r>
      <w:r w:rsidR="00A477E6">
        <w:t xml:space="preserve">reported low capture probabilities for males (0.12) on the UARB study area which could lead to biased </w:t>
      </w:r>
      <w:r>
        <w:t>abundance estimate</w:t>
      </w:r>
      <w:r w:rsidR="00A477E6">
        <w:t>s</w:t>
      </w:r>
      <w:r>
        <w:t xml:space="preserve">.  </w:t>
      </w:r>
      <w:r w:rsidR="00A477E6">
        <w:t xml:space="preserve">Remote cameras recorded large bears (presumably males) stepping over or on the wire to enter hair sampling sites </w:t>
      </w:r>
      <w:r>
        <w:t xml:space="preserve">without leaving hair samples.  </w:t>
      </w:r>
      <w:r w:rsidR="00A477E6">
        <w:t>Such capture heterogeneity if not detected, could lead to population estimates that are biased low</w:t>
      </w:r>
      <w:r w:rsidR="007C6FBA">
        <w:t xml:space="preserve"> (Otis et al. 1973)</w:t>
      </w:r>
      <w:r w:rsidR="00A477E6">
        <w:t xml:space="preserve">.  Consequently, we were interested in evaluating the use of a second, higher wire to capture bears that Lowe (2011) may not have </w:t>
      </w:r>
      <w:r w:rsidR="00BE08B5">
        <w:t>sampled</w:t>
      </w:r>
      <w:r w:rsidR="00A477E6">
        <w:t xml:space="preserve">.  </w:t>
      </w:r>
    </w:p>
    <w:p w:rsidR="00437FE9" w:rsidRDefault="00437FE9" w:rsidP="00437FE9">
      <w:pPr>
        <w:ind w:firstLine="720"/>
      </w:pPr>
      <w:r>
        <w:t xml:space="preserve">Mark-recapture studies traditionally involve live-trapping and physical marking or tagging of animals.  Advances in genetic analysis have allowed us to “capture” and “mark” animals using their DNA through non-invasive sampling.  The use of DNA as the marker has many benefits including no loss of marks, greater capture and recapture rates, less invasive, and less bias (Woods et al. 1999).  Because of these benefits, Lowe (2011) chose to use DNA based mark-recapture by collecting hair samples and I continued this method in my study to supplement those data. </w:t>
      </w:r>
    </w:p>
    <w:p w:rsidR="0073158A" w:rsidRPr="00D51FDE" w:rsidRDefault="0073158A" w:rsidP="00D51FDE">
      <w:pPr>
        <w:pStyle w:val="Heading2"/>
        <w:rPr>
          <w:rFonts w:ascii="Times New Roman" w:hAnsi="Times New Roman" w:cs="Times New Roman"/>
          <w:b w:val="0"/>
          <w:color w:val="auto"/>
          <w:sz w:val="24"/>
          <w:szCs w:val="24"/>
        </w:rPr>
      </w:pPr>
      <w:bookmarkStart w:id="2" w:name="_Toc361839448"/>
      <w:r w:rsidRPr="00D51FDE">
        <w:rPr>
          <w:rFonts w:ascii="Times New Roman" w:hAnsi="Times New Roman" w:cs="Times New Roman"/>
          <w:color w:val="auto"/>
          <w:sz w:val="24"/>
          <w:szCs w:val="24"/>
        </w:rPr>
        <w:t>Objectives and Hypotheses:</w:t>
      </w:r>
      <w:bookmarkEnd w:id="2"/>
    </w:p>
    <w:p w:rsidR="00A477E6" w:rsidRPr="00A477E6" w:rsidRDefault="005E7442" w:rsidP="0073158A">
      <w:r w:rsidRPr="005E7442">
        <w:tab/>
        <w:t>My study objectives were to:</w:t>
      </w:r>
    </w:p>
    <w:p w:rsidR="00A477E6" w:rsidRDefault="005C2577" w:rsidP="00A477E6">
      <w:pPr>
        <w:pStyle w:val="ListParagraph"/>
        <w:numPr>
          <w:ilvl w:val="0"/>
          <w:numId w:val="1"/>
        </w:numPr>
      </w:pPr>
      <w:r>
        <w:lastRenderedPageBreak/>
        <w:t>C</w:t>
      </w:r>
      <w:r w:rsidR="00A477E6">
        <w:t xml:space="preserve">ontinue </w:t>
      </w:r>
      <w:r>
        <w:t>collecting bear hair for DNA mark-recapture analysis from 2010 to 2012 f</w:t>
      </w:r>
      <w:r w:rsidR="00A477E6">
        <w:t xml:space="preserve">ollowing general methods used by </w:t>
      </w:r>
      <w:r w:rsidR="00A477E6" w:rsidRPr="00B336BD">
        <w:t xml:space="preserve">Lowe </w:t>
      </w:r>
      <w:r w:rsidR="00A477E6">
        <w:t>(</w:t>
      </w:r>
      <w:r w:rsidR="00A477E6" w:rsidRPr="00B336BD">
        <w:t>2011</w:t>
      </w:r>
      <w:r w:rsidR="00A477E6">
        <w:t>)</w:t>
      </w:r>
      <w:r w:rsidR="00A477E6" w:rsidRPr="00B336BD">
        <w:t xml:space="preserve"> </w:t>
      </w:r>
      <w:r>
        <w:t xml:space="preserve">to refine and supplement the long-term data set </w:t>
      </w:r>
      <w:r w:rsidR="00A477E6" w:rsidRPr="00B336BD">
        <w:t xml:space="preserve">to estimate </w:t>
      </w:r>
      <w:r w:rsidR="00A477E6" w:rsidRPr="00A825C0">
        <w:rPr>
          <w:i/>
        </w:rPr>
        <w:t>N</w:t>
      </w:r>
      <w:r w:rsidR="00A477E6" w:rsidRPr="00B336BD">
        <w:t>, λ</w:t>
      </w:r>
      <w:r>
        <w:t>.</w:t>
      </w:r>
    </w:p>
    <w:p w:rsidR="0073158A" w:rsidRDefault="005559B4" w:rsidP="0073158A">
      <w:pPr>
        <w:pStyle w:val="ListParagraph"/>
        <w:numPr>
          <w:ilvl w:val="0"/>
          <w:numId w:val="1"/>
        </w:numPr>
      </w:pPr>
      <w:r>
        <w:t xml:space="preserve">Use parameter estimates to evaluate bear movement </w:t>
      </w:r>
      <w:r w:rsidR="0073158A">
        <w:t xml:space="preserve">from the flooded-area to non-flooded areas before, during, and after the flooding event.  I tested four hypotheses to </w:t>
      </w:r>
      <w:r>
        <w:t>assess</w:t>
      </w:r>
      <w:r w:rsidR="005C2577">
        <w:t xml:space="preserve"> population-level responses to </w:t>
      </w:r>
      <w:r w:rsidR="0073158A">
        <w:t>the flooding event</w:t>
      </w:r>
      <w:r w:rsidR="005C2577">
        <w:t xml:space="preserve">: </w:t>
      </w:r>
    </w:p>
    <w:p w:rsidR="0073158A" w:rsidRDefault="0073158A" w:rsidP="0073158A">
      <w:pPr>
        <w:pStyle w:val="ListParagraph"/>
        <w:numPr>
          <w:ilvl w:val="1"/>
          <w:numId w:val="3"/>
        </w:numPr>
      </w:pPr>
      <w:r>
        <w:t>Bears left the spillway during the flood and returned</w:t>
      </w:r>
      <w:r w:rsidR="005C2577">
        <w:t>,</w:t>
      </w:r>
    </w:p>
    <w:p w:rsidR="0073158A" w:rsidRDefault="0073158A" w:rsidP="0073158A">
      <w:pPr>
        <w:pStyle w:val="ListParagraph"/>
        <w:numPr>
          <w:ilvl w:val="1"/>
          <w:numId w:val="3"/>
        </w:numPr>
      </w:pPr>
      <w:r>
        <w:t>Bears left the spillway during the flood and did not return</w:t>
      </w:r>
      <w:r w:rsidR="005C2577">
        <w:t xml:space="preserve">, </w:t>
      </w:r>
    </w:p>
    <w:p w:rsidR="0073158A" w:rsidRDefault="0073158A" w:rsidP="0073158A">
      <w:pPr>
        <w:pStyle w:val="ListParagraph"/>
        <w:numPr>
          <w:ilvl w:val="1"/>
          <w:numId w:val="3"/>
        </w:numPr>
      </w:pPr>
      <w:r>
        <w:t>Bears did not survive the flooding event</w:t>
      </w:r>
      <w:r w:rsidR="005C2577">
        <w:t>, or</w:t>
      </w:r>
    </w:p>
    <w:p w:rsidR="0073158A" w:rsidRDefault="0073158A" w:rsidP="0073158A">
      <w:pPr>
        <w:pStyle w:val="ListParagraph"/>
        <w:numPr>
          <w:ilvl w:val="1"/>
          <w:numId w:val="3"/>
        </w:numPr>
      </w:pPr>
      <w:r>
        <w:t>Bears stayed in the spillway during the flood and survived.</w:t>
      </w:r>
    </w:p>
    <w:p w:rsidR="0073158A" w:rsidRPr="00B336BD" w:rsidRDefault="005C2577" w:rsidP="0073158A">
      <w:pPr>
        <w:pStyle w:val="ListParagraph"/>
        <w:numPr>
          <w:ilvl w:val="0"/>
          <w:numId w:val="1"/>
        </w:numPr>
      </w:pPr>
      <w:r>
        <w:t>I</w:t>
      </w:r>
      <w:r w:rsidR="0073158A" w:rsidRPr="00B336BD">
        <w:t xml:space="preserve">mplement a two-wire system </w:t>
      </w:r>
      <w:r>
        <w:t>from</w:t>
      </w:r>
      <w:r w:rsidR="0073158A" w:rsidRPr="00B336BD">
        <w:t xml:space="preserve"> 2010 </w:t>
      </w:r>
      <w:r>
        <w:t xml:space="preserve">to </w:t>
      </w:r>
      <w:r w:rsidR="0073158A" w:rsidRPr="00B336BD">
        <w:t>2012 and compare</w:t>
      </w:r>
      <w:r w:rsidR="0073158A">
        <w:t>d</w:t>
      </w:r>
      <w:r w:rsidR="0073158A" w:rsidRPr="00B336BD">
        <w:t xml:space="preserve"> capture </w:t>
      </w:r>
      <w:r>
        <w:t>rates</w:t>
      </w:r>
      <w:r w:rsidRPr="00B336BD">
        <w:t xml:space="preserve"> </w:t>
      </w:r>
      <w:r w:rsidR="0073158A" w:rsidRPr="00B336BD">
        <w:t xml:space="preserve">with </w:t>
      </w:r>
      <w:r>
        <w:t xml:space="preserve">the </w:t>
      </w:r>
      <w:r w:rsidR="0073158A" w:rsidRPr="00B336BD">
        <w:t>1-wire system</w:t>
      </w:r>
      <w:r>
        <w:t xml:space="preserve"> used by </w:t>
      </w:r>
      <w:r w:rsidR="0073158A" w:rsidRPr="00B336BD">
        <w:t xml:space="preserve">Lowe </w:t>
      </w:r>
      <w:r>
        <w:t>(</w:t>
      </w:r>
      <w:r w:rsidR="0073158A" w:rsidRPr="00B336BD">
        <w:t>2011).</w:t>
      </w:r>
      <w:r w:rsidR="0073158A">
        <w:t xml:space="preserve">  My hypothesis was the 2-wire system will decrease the number of bears able to step over the wire without leaving hair. </w:t>
      </w:r>
    </w:p>
    <w:p w:rsidR="001C68E3" w:rsidRDefault="001C68E3">
      <w:pPr>
        <w:spacing w:line="276" w:lineRule="auto"/>
        <w:rPr>
          <w:rFonts w:eastAsiaTheme="majorEastAsia"/>
          <w:b/>
          <w:bCs/>
          <w:sz w:val="28"/>
          <w:szCs w:val="28"/>
        </w:rPr>
      </w:pPr>
      <w:r>
        <w:br w:type="page"/>
      </w:r>
    </w:p>
    <w:p w:rsidR="0073158A" w:rsidRPr="00D51FDE" w:rsidRDefault="00E76DBE" w:rsidP="00D51FDE">
      <w:pPr>
        <w:pStyle w:val="Heading1"/>
        <w:jc w:val="center"/>
        <w:rPr>
          <w:rFonts w:ascii="Times New Roman" w:hAnsi="Times New Roman" w:cs="Times New Roman"/>
          <w:b w:val="0"/>
          <w:color w:val="auto"/>
        </w:rPr>
      </w:pPr>
      <w:bookmarkStart w:id="3" w:name="_Toc361839449"/>
      <w:r>
        <w:rPr>
          <w:rFonts w:ascii="Times New Roman" w:hAnsi="Times New Roman" w:cs="Times New Roman"/>
          <w:color w:val="auto"/>
        </w:rPr>
        <w:lastRenderedPageBreak/>
        <w:t xml:space="preserve">Chapter 2: </w:t>
      </w:r>
      <w:r w:rsidR="0073158A" w:rsidRPr="00D51FDE">
        <w:rPr>
          <w:rFonts w:ascii="Times New Roman" w:hAnsi="Times New Roman" w:cs="Times New Roman"/>
          <w:color w:val="auto"/>
        </w:rPr>
        <w:t>Study Area</w:t>
      </w:r>
      <w:bookmarkEnd w:id="3"/>
    </w:p>
    <w:p w:rsidR="0073158A" w:rsidRDefault="00677A73" w:rsidP="0073158A">
      <w:pPr>
        <w:ind w:firstLine="720"/>
      </w:pPr>
      <w:r>
        <w:t xml:space="preserve">My study area is part of the UARB and completely within the political boundaries of Pointe Coupee Parish.  </w:t>
      </w:r>
      <w:r w:rsidR="00BE08B5">
        <w:t>The</w:t>
      </w:r>
      <w:r w:rsidR="0073158A" w:rsidRPr="008F6125">
        <w:t xml:space="preserve"> area </w:t>
      </w:r>
      <w:r w:rsidR="00BE08B5">
        <w:t>consisted of</w:t>
      </w:r>
      <w:r>
        <w:t xml:space="preserve"> 270km</w:t>
      </w:r>
      <w:r>
        <w:rPr>
          <w:vertAlign w:val="superscript"/>
        </w:rPr>
        <w:t xml:space="preserve">2 </w:t>
      </w:r>
      <w:r>
        <w:t xml:space="preserve">forested </w:t>
      </w:r>
      <w:proofErr w:type="gramStart"/>
      <w:r>
        <w:t>land</w:t>
      </w:r>
      <w:proofErr w:type="gramEnd"/>
      <w:r>
        <w:t xml:space="preserve"> </w:t>
      </w:r>
      <w:r w:rsidR="0073158A">
        <w:t>in Pointe Coupee Parish</w:t>
      </w:r>
      <w:r w:rsidR="00BE08B5">
        <w:t xml:space="preserve"> and was </w:t>
      </w:r>
      <w:r w:rsidR="0073158A" w:rsidRPr="008F6125">
        <w:t xml:space="preserve">bordered to the </w:t>
      </w:r>
      <w:r w:rsidR="0073158A">
        <w:t>north by Louisiana Highway 1, east by the Mississippi River, south by US Highway190, and west by the Atchafalaya River (</w:t>
      </w:r>
      <w:r w:rsidR="00323FA5">
        <w:rPr>
          <w:highlight w:val="yellow"/>
        </w:rPr>
        <w:t>Fig.</w:t>
      </w:r>
      <w:r w:rsidR="0073158A" w:rsidRPr="007C6FBA">
        <w:rPr>
          <w:highlight w:val="yellow"/>
        </w:rPr>
        <w:t xml:space="preserve"> 4</w:t>
      </w:r>
      <w:r w:rsidR="0073158A">
        <w:t>).  The study area was located on</w:t>
      </w:r>
      <w:r w:rsidR="0073158A" w:rsidRPr="00F66449">
        <w:t xml:space="preserve"> </w:t>
      </w:r>
      <w:r w:rsidR="0073158A">
        <w:t>land</w:t>
      </w:r>
      <w:r w:rsidR="0073158A" w:rsidRPr="00F66449">
        <w:t xml:space="preserve"> privately owned by either timber companies or small land owners</w:t>
      </w:r>
      <w:r w:rsidR="0073158A">
        <w:t xml:space="preserve">.  The study area was </w:t>
      </w:r>
      <w:r w:rsidR="005C2577">
        <w:t xml:space="preserve">divided </w:t>
      </w:r>
      <w:r w:rsidR="0073158A">
        <w:t xml:space="preserve">into </w:t>
      </w:r>
      <w:r w:rsidR="005C2577">
        <w:t>3 main fragments</w:t>
      </w:r>
      <w:r w:rsidR="0073158A">
        <w:t>.  About half the study area, 150 km</w:t>
      </w:r>
      <w:r w:rsidR="0073158A">
        <w:rPr>
          <w:vertAlign w:val="superscript"/>
        </w:rPr>
        <w:t>2</w:t>
      </w:r>
      <w:r w:rsidR="0073158A">
        <w:t>, was within the levees of the Morganza spillway</w:t>
      </w:r>
      <w:r w:rsidR="002B6B91">
        <w:t xml:space="preserve"> and was comprised of relatively contiguous forest</w:t>
      </w:r>
      <w:r w:rsidR="00BE08B5">
        <w:t xml:space="preserve"> (hereafter,</w:t>
      </w:r>
      <w:r w:rsidR="007C6FBA">
        <w:t xml:space="preserve"> </w:t>
      </w:r>
      <w:r w:rsidR="00BE08B5">
        <w:t>Spillway)</w:t>
      </w:r>
      <w:r w:rsidR="0073158A">
        <w:t xml:space="preserve">.  </w:t>
      </w:r>
      <w:r w:rsidR="0073158A" w:rsidRPr="00D02CB9">
        <w:t>Northwest of</w:t>
      </w:r>
      <w:r w:rsidR="0073158A">
        <w:t xml:space="preserve"> the</w:t>
      </w:r>
      <w:r w:rsidR="0073158A" w:rsidRPr="00D02CB9">
        <w:t xml:space="preserve"> spillway</w:t>
      </w:r>
      <w:r w:rsidR="0073158A">
        <w:t>, there were several small wooded areas</w:t>
      </w:r>
      <w:r w:rsidR="002B6B91">
        <w:t xml:space="preserve"> (about 23 km</w:t>
      </w:r>
      <w:r w:rsidR="005E7442" w:rsidRPr="005E7442">
        <w:rPr>
          <w:vertAlign w:val="superscript"/>
        </w:rPr>
        <w:t>2</w:t>
      </w:r>
      <w:r w:rsidR="002B6B91">
        <w:t xml:space="preserve"> total)</w:t>
      </w:r>
      <w:r w:rsidR="0073158A">
        <w:t xml:space="preserve"> interspersed with agricultural fields, some of which </w:t>
      </w:r>
      <w:r w:rsidR="002B6B91">
        <w:t xml:space="preserve">had </w:t>
      </w:r>
      <w:r w:rsidR="0073158A">
        <w:t xml:space="preserve">been </w:t>
      </w:r>
      <w:r w:rsidR="002B6B91">
        <w:t xml:space="preserve">recently </w:t>
      </w:r>
      <w:r w:rsidR="0073158A">
        <w:t>enrolled</w:t>
      </w:r>
      <w:r w:rsidR="0073158A" w:rsidRPr="00D02CB9">
        <w:t xml:space="preserve"> in </w:t>
      </w:r>
      <w:r w:rsidR="0073158A">
        <w:t xml:space="preserve">the </w:t>
      </w:r>
      <w:r w:rsidR="0073158A" w:rsidRPr="00D02CB9">
        <w:t>Con</w:t>
      </w:r>
      <w:r w:rsidR="0073158A">
        <w:t xml:space="preserve">servation Reserve Program </w:t>
      </w:r>
      <w:r w:rsidR="0073158A" w:rsidRPr="00D02CB9">
        <w:t xml:space="preserve">or </w:t>
      </w:r>
      <w:r w:rsidR="0073158A">
        <w:t>the Wetland Reserve Program</w:t>
      </w:r>
      <w:r w:rsidR="00BE08B5">
        <w:t xml:space="preserve"> (hereafter, </w:t>
      </w:r>
      <w:proofErr w:type="spellStart"/>
      <w:r w:rsidR="007C6FBA">
        <w:t>Batchelor</w:t>
      </w:r>
      <w:proofErr w:type="spellEnd"/>
      <w:r w:rsidR="00BE08B5">
        <w:t>)</w:t>
      </w:r>
      <w:r w:rsidR="0073158A">
        <w:t xml:space="preserve">.  </w:t>
      </w:r>
      <w:r w:rsidR="0073158A" w:rsidRPr="00D02CB9">
        <w:t xml:space="preserve">East of the Morganza </w:t>
      </w:r>
      <w:r w:rsidR="0073158A">
        <w:t>S</w:t>
      </w:r>
      <w:r w:rsidR="0073158A" w:rsidRPr="00D02CB9">
        <w:t>pillway levee</w:t>
      </w:r>
      <w:r w:rsidR="0073158A">
        <w:t xml:space="preserve"> was a </w:t>
      </w:r>
      <w:r w:rsidR="0073158A" w:rsidRPr="00D02CB9">
        <w:t>97</w:t>
      </w:r>
      <w:r w:rsidR="0073158A">
        <w:t>-</w:t>
      </w:r>
      <w:r w:rsidR="0073158A" w:rsidRPr="00D02CB9">
        <w:t>km</w:t>
      </w:r>
      <w:r w:rsidR="0073158A" w:rsidRPr="00D02CB9">
        <w:rPr>
          <w:vertAlign w:val="superscript"/>
        </w:rPr>
        <w:t>2</w:t>
      </w:r>
      <w:r w:rsidR="0073158A" w:rsidRPr="00D02CB9">
        <w:t xml:space="preserve"> </w:t>
      </w:r>
      <w:r w:rsidR="002B6B91">
        <w:t xml:space="preserve">forested </w:t>
      </w:r>
      <w:r w:rsidR="0073158A" w:rsidRPr="00D02CB9">
        <w:t xml:space="preserve">tract </w:t>
      </w:r>
      <w:r w:rsidR="0073158A">
        <w:t>owned by different timber companies and small private landowners</w:t>
      </w:r>
      <w:r w:rsidR="00BE08B5">
        <w:t xml:space="preserve"> (hereafter, </w:t>
      </w:r>
      <w:proofErr w:type="spellStart"/>
      <w:r w:rsidR="00BE08B5">
        <w:t>Fordouche</w:t>
      </w:r>
      <w:proofErr w:type="spellEnd"/>
      <w:r w:rsidR="00BE08B5">
        <w:t>).</w:t>
      </w:r>
    </w:p>
    <w:p w:rsidR="0073158A" w:rsidRDefault="0073158A" w:rsidP="0073158A">
      <w:pPr>
        <w:ind w:firstLine="720"/>
      </w:pPr>
      <w:r>
        <w:t xml:space="preserve">The UARB </w:t>
      </w:r>
      <w:r w:rsidR="00BE08B5">
        <w:t>forests were b</w:t>
      </w:r>
      <w:r w:rsidRPr="00A018B7">
        <w:t>ottomland hardwood</w:t>
      </w:r>
      <w:r>
        <w:t xml:space="preserve">s, </w:t>
      </w:r>
      <w:r w:rsidR="00BE08B5">
        <w:t>much</w:t>
      </w:r>
      <w:r>
        <w:t xml:space="preserve"> of which </w:t>
      </w:r>
      <w:r w:rsidR="00BE08B5">
        <w:t>was</w:t>
      </w:r>
      <w:r>
        <w:t xml:space="preserve"> </w:t>
      </w:r>
      <w:r w:rsidRPr="00A26FA4">
        <w:t>inundat</w:t>
      </w:r>
      <w:r>
        <w:t>ed</w:t>
      </w:r>
      <w:r w:rsidRPr="00A26FA4">
        <w:t xml:space="preserve"> during winter</w:t>
      </w:r>
      <w:r>
        <w:t xml:space="preserve">, regulated by a series of levees and dams.  </w:t>
      </w:r>
      <w:r w:rsidRPr="00D02CB9">
        <w:t xml:space="preserve">Water features </w:t>
      </w:r>
      <w:r>
        <w:t>in the UARB include</w:t>
      </w:r>
      <w:r w:rsidRPr="00D02CB9">
        <w:t xml:space="preserve"> bayous, canals, rivers, and lakes</w:t>
      </w:r>
      <w:r w:rsidR="00BE08B5">
        <w:t>.  Tree</w:t>
      </w:r>
      <w:r w:rsidRPr="00D02CB9">
        <w:t xml:space="preserve"> species</w:t>
      </w:r>
      <w:r>
        <w:t xml:space="preserve"> were </w:t>
      </w:r>
      <w:proofErr w:type="spellStart"/>
      <w:r>
        <w:t>baldcypress</w:t>
      </w:r>
      <w:proofErr w:type="spellEnd"/>
      <w:r>
        <w:t xml:space="preserve"> </w:t>
      </w:r>
      <w:r>
        <w:rPr>
          <w:i/>
        </w:rPr>
        <w:t>(</w:t>
      </w:r>
      <w:proofErr w:type="spellStart"/>
      <w:r>
        <w:rPr>
          <w:i/>
        </w:rPr>
        <w:t>Taxodium</w:t>
      </w:r>
      <w:proofErr w:type="spellEnd"/>
      <w:r>
        <w:rPr>
          <w:i/>
        </w:rPr>
        <w:t xml:space="preserve"> </w:t>
      </w:r>
      <w:proofErr w:type="spellStart"/>
      <w:r>
        <w:rPr>
          <w:i/>
        </w:rPr>
        <w:t>distichum</w:t>
      </w:r>
      <w:proofErr w:type="spellEnd"/>
      <w:r>
        <w:rPr>
          <w:i/>
        </w:rPr>
        <w:t>)</w:t>
      </w:r>
      <w:r>
        <w:t>, water tupelo (</w:t>
      </w:r>
      <w:r>
        <w:rPr>
          <w:i/>
        </w:rPr>
        <w:t xml:space="preserve">Nyssa </w:t>
      </w:r>
      <w:proofErr w:type="spellStart"/>
      <w:r>
        <w:rPr>
          <w:i/>
        </w:rPr>
        <w:t>aquatica</w:t>
      </w:r>
      <w:proofErr w:type="spellEnd"/>
      <w:r>
        <w:t>)</w:t>
      </w:r>
      <w:r w:rsidRPr="00D02CB9">
        <w:t>, oaks</w:t>
      </w:r>
      <w:r>
        <w:t xml:space="preserve"> (</w:t>
      </w:r>
      <w:proofErr w:type="spellStart"/>
      <w:r>
        <w:rPr>
          <w:i/>
        </w:rPr>
        <w:t>Quercus</w:t>
      </w:r>
      <w:proofErr w:type="spellEnd"/>
      <w:r>
        <w:rPr>
          <w:i/>
        </w:rPr>
        <w:t xml:space="preserve"> </w:t>
      </w:r>
      <w:r w:rsidRPr="0002751E">
        <w:t>spp</w:t>
      </w:r>
      <w:r>
        <w:rPr>
          <w:i/>
        </w:rPr>
        <w:t>.</w:t>
      </w:r>
      <w:r>
        <w:t>)</w:t>
      </w:r>
      <w:r w:rsidRPr="00D02CB9">
        <w:t>, hickory</w:t>
      </w:r>
      <w:r>
        <w:t xml:space="preserve"> (</w:t>
      </w:r>
      <w:proofErr w:type="spellStart"/>
      <w:r>
        <w:rPr>
          <w:i/>
        </w:rPr>
        <w:t>Carya</w:t>
      </w:r>
      <w:proofErr w:type="spellEnd"/>
      <w:r>
        <w:rPr>
          <w:i/>
        </w:rPr>
        <w:t xml:space="preserve"> </w:t>
      </w:r>
      <w:r w:rsidRPr="0002751E">
        <w:t>spp</w:t>
      </w:r>
      <w:r>
        <w:rPr>
          <w:i/>
        </w:rPr>
        <w:t>.)</w:t>
      </w:r>
      <w:r w:rsidRPr="00D02CB9">
        <w:t xml:space="preserve">, </w:t>
      </w:r>
      <w:proofErr w:type="spellStart"/>
      <w:r w:rsidRPr="00D02CB9">
        <w:t>sweetgum</w:t>
      </w:r>
      <w:proofErr w:type="spellEnd"/>
      <w:r>
        <w:t xml:space="preserve"> (</w:t>
      </w:r>
      <w:r>
        <w:rPr>
          <w:i/>
        </w:rPr>
        <w:t>Li</w:t>
      </w:r>
      <w:r w:rsidRPr="00D74AF3">
        <w:rPr>
          <w:i/>
        </w:rPr>
        <w:t xml:space="preserve">quidambar </w:t>
      </w:r>
      <w:proofErr w:type="spellStart"/>
      <w:r w:rsidRPr="00D74AF3">
        <w:rPr>
          <w:i/>
        </w:rPr>
        <w:t>styraciflua</w:t>
      </w:r>
      <w:proofErr w:type="spellEnd"/>
      <w:r>
        <w:t>)</w:t>
      </w:r>
      <w:r w:rsidRPr="00D02CB9">
        <w:t>, and red maple</w:t>
      </w:r>
      <w:r>
        <w:t xml:space="preserve"> (</w:t>
      </w:r>
      <w:r>
        <w:rPr>
          <w:i/>
        </w:rPr>
        <w:t xml:space="preserve">Acer </w:t>
      </w:r>
      <w:proofErr w:type="spellStart"/>
      <w:r>
        <w:rPr>
          <w:i/>
        </w:rPr>
        <w:t>rubrum</w:t>
      </w:r>
      <w:proofErr w:type="spellEnd"/>
      <w:r>
        <w:rPr>
          <w:i/>
        </w:rPr>
        <w:t>)</w:t>
      </w:r>
      <w:r>
        <w:t>.  The climate</w:t>
      </w:r>
      <w:r w:rsidR="00BE08B5">
        <w:t xml:space="preserve"> was </w:t>
      </w:r>
      <w:r>
        <w:t xml:space="preserve">humid subtropical with an average temperature of </w:t>
      </w:r>
      <w:r w:rsidR="000A3D45">
        <w:t>19.7</w:t>
      </w:r>
      <w:r w:rsidRPr="00D02CB9">
        <w:t>°C</w:t>
      </w:r>
      <w:r>
        <w:t xml:space="preserve"> and average rainfall of 143</w:t>
      </w:r>
      <w:r w:rsidR="000A3D45">
        <w:t>.5</w:t>
      </w:r>
      <w:r>
        <w:t xml:space="preserve"> cm (N</w:t>
      </w:r>
      <w:r w:rsidR="00BE08B5">
        <w:t xml:space="preserve">ational </w:t>
      </w:r>
      <w:r>
        <w:t>C</w:t>
      </w:r>
      <w:r w:rsidR="00BE08B5">
        <w:t xml:space="preserve">limate </w:t>
      </w:r>
      <w:r>
        <w:t>D</w:t>
      </w:r>
      <w:r w:rsidR="00BE08B5">
        <w:t xml:space="preserve">ata </w:t>
      </w:r>
      <w:r>
        <w:t>C</w:t>
      </w:r>
      <w:r w:rsidR="00BE08B5">
        <w:t xml:space="preserve">enter </w:t>
      </w:r>
      <w:r>
        <w:t>20</w:t>
      </w:r>
      <w:r w:rsidR="000A3D45">
        <w:t>13</w:t>
      </w:r>
      <w:r>
        <w:t>).</w:t>
      </w:r>
    </w:p>
    <w:p w:rsidR="0073158A" w:rsidRDefault="0073158A" w:rsidP="0073158A">
      <w:pPr>
        <w:ind w:firstLine="720"/>
      </w:pPr>
      <w:r>
        <w:t xml:space="preserve">The bottomland hardwood forests of the UARB were for timber </w:t>
      </w:r>
      <w:r w:rsidR="00BE08B5">
        <w:t>reduction</w:t>
      </w:r>
      <w:r>
        <w:t xml:space="preserve">.  The largest timber company in the area was Roy O. Martin, which </w:t>
      </w:r>
      <w:r w:rsidR="002B6B91">
        <w:t xml:space="preserve">conducted </w:t>
      </w:r>
      <w:r>
        <w:t>both uneven and even-aged stand management (</w:t>
      </w:r>
      <w:r w:rsidR="002B71F8">
        <w:t xml:space="preserve">Roy O. Martin Forest Management Plan 2013; </w:t>
      </w:r>
      <w:hyperlink r:id="rId9" w:history="1">
        <w:r w:rsidR="002B71F8">
          <w:rPr>
            <w:rStyle w:val="Hyperlink"/>
          </w:rPr>
          <w:t>http://www.royomartin.com/sites/default/files/2013_forest_management_plan.pdf</w:t>
        </w:r>
      </w:hyperlink>
      <w:r>
        <w:t xml:space="preserve">).  Agriculture </w:t>
      </w:r>
      <w:r>
        <w:lastRenderedPageBreak/>
        <w:t>and cattle production were also prominent land uses in the UARB.  Major crops in the area were s</w:t>
      </w:r>
      <w:r w:rsidRPr="00F66449">
        <w:t>oybeans</w:t>
      </w:r>
      <w:r>
        <w:t xml:space="preserve"> (</w:t>
      </w:r>
      <w:r w:rsidRPr="00BA211B">
        <w:rPr>
          <w:bCs/>
          <w:i/>
          <w:color w:val="222222"/>
        </w:rPr>
        <w:t>Glycine max</w:t>
      </w:r>
      <w:r>
        <w:rPr>
          <w:bCs/>
          <w:i/>
          <w:color w:val="222222"/>
        </w:rPr>
        <w:t>)</w:t>
      </w:r>
      <w:r w:rsidRPr="00BA211B">
        <w:rPr>
          <w:i/>
        </w:rPr>
        <w:t>,</w:t>
      </w:r>
      <w:r w:rsidRPr="00F66449">
        <w:t xml:space="preserve"> corn</w:t>
      </w:r>
      <w:r>
        <w:t xml:space="preserve"> (</w:t>
      </w:r>
      <w:r w:rsidRPr="00BA211B">
        <w:rPr>
          <w:bCs/>
          <w:i/>
          <w:color w:val="222222"/>
        </w:rPr>
        <w:t>Zea mays</w:t>
      </w:r>
      <w:r>
        <w:t>)</w:t>
      </w:r>
      <w:r w:rsidRPr="00F66449">
        <w:t xml:space="preserve">, </w:t>
      </w:r>
      <w:r>
        <w:t>m</w:t>
      </w:r>
      <w:r w:rsidRPr="00F66449">
        <w:t>ilo</w:t>
      </w:r>
      <w:r>
        <w:t xml:space="preserve"> (</w:t>
      </w:r>
      <w:r w:rsidRPr="00BA211B">
        <w:rPr>
          <w:rStyle w:val="ft"/>
          <w:i/>
          <w:color w:val="222222"/>
        </w:rPr>
        <w:t>Sorghum bicolor</w:t>
      </w:r>
      <w:r>
        <w:rPr>
          <w:rStyle w:val="ft"/>
          <w:rFonts w:ascii="Arial" w:hAnsi="Arial" w:cs="Arial"/>
          <w:color w:val="222222"/>
        </w:rPr>
        <w:t>),</w:t>
      </w:r>
      <w:r w:rsidRPr="00F66449">
        <w:t xml:space="preserve"> a</w:t>
      </w:r>
      <w:r>
        <w:t>nd sugarcane (</w:t>
      </w:r>
      <w:r w:rsidRPr="00BA211B">
        <w:rPr>
          <w:rStyle w:val="ft"/>
          <w:bCs/>
          <w:i/>
          <w:color w:val="000000"/>
        </w:rPr>
        <w:t>Saccharum</w:t>
      </w:r>
      <w:r w:rsidRPr="00BA211B">
        <w:rPr>
          <w:rStyle w:val="ft"/>
          <w:i/>
          <w:color w:val="222222"/>
        </w:rPr>
        <w:t xml:space="preserve"> officinaru</w:t>
      </w:r>
      <w:r>
        <w:rPr>
          <w:rStyle w:val="ft"/>
          <w:rFonts w:ascii="Arial" w:hAnsi="Arial" w:cs="Arial"/>
          <w:color w:val="222222"/>
        </w:rPr>
        <w:t>)</w:t>
      </w:r>
      <w:r>
        <w:t>.  Levees of the Morganza Spillway were used for cattle grazing.  The most common recreational activity in the UARB was h</w:t>
      </w:r>
      <w:r w:rsidRPr="00F66449">
        <w:t>unting</w:t>
      </w:r>
      <w:r>
        <w:t xml:space="preserve"> through leases from timber companies and private land owners.  </w:t>
      </w:r>
      <w:r w:rsidRPr="00F66449">
        <w:t xml:space="preserve"> </w:t>
      </w:r>
      <w:r>
        <w:t>Prominent game species included: w</w:t>
      </w:r>
      <w:r w:rsidRPr="00D02CB9">
        <w:t>hite-tail</w:t>
      </w:r>
      <w:r>
        <w:t>ed deer (</w:t>
      </w:r>
      <w:r>
        <w:rPr>
          <w:i/>
        </w:rPr>
        <w:t>Odocoileus virginianus</w:t>
      </w:r>
      <w:r>
        <w:t>)</w:t>
      </w:r>
      <w:r w:rsidRPr="00D02CB9">
        <w:t xml:space="preserve">, </w:t>
      </w:r>
      <w:r>
        <w:t xml:space="preserve">wild </w:t>
      </w:r>
      <w:r w:rsidRPr="00D02CB9">
        <w:t>turkey</w:t>
      </w:r>
      <w:r>
        <w:t xml:space="preserve"> (</w:t>
      </w:r>
      <w:r>
        <w:rPr>
          <w:i/>
        </w:rPr>
        <w:t>Melaeagris gallopavo</w:t>
      </w:r>
      <w:r>
        <w:t>)</w:t>
      </w:r>
      <w:r w:rsidRPr="00D02CB9">
        <w:t>, rabbit</w:t>
      </w:r>
      <w:r>
        <w:t xml:space="preserve"> (</w:t>
      </w:r>
      <w:r w:rsidRPr="00BA211B">
        <w:rPr>
          <w:i/>
        </w:rPr>
        <w:t>Sylvilagus</w:t>
      </w:r>
      <w:r>
        <w:t xml:space="preserve"> spp.)</w:t>
      </w:r>
      <w:r w:rsidRPr="00D02CB9">
        <w:t xml:space="preserve">, </w:t>
      </w:r>
      <w:r>
        <w:t xml:space="preserve">wild </w:t>
      </w:r>
      <w:r w:rsidRPr="00D02CB9">
        <w:t>hog</w:t>
      </w:r>
      <w:r>
        <w:t xml:space="preserve"> (</w:t>
      </w:r>
      <w:r>
        <w:rPr>
          <w:i/>
        </w:rPr>
        <w:t>Sus scrofa)</w:t>
      </w:r>
      <w:r w:rsidRPr="00D02CB9">
        <w:t>, raccoon</w:t>
      </w:r>
      <w:r>
        <w:t xml:space="preserve"> (</w:t>
      </w:r>
      <w:r>
        <w:rPr>
          <w:i/>
        </w:rPr>
        <w:t>Procyon lotor)</w:t>
      </w:r>
      <w:r w:rsidRPr="00D02CB9">
        <w:t>, squirrel</w:t>
      </w:r>
      <w:r>
        <w:t xml:space="preserve"> (</w:t>
      </w:r>
      <w:r>
        <w:rPr>
          <w:i/>
        </w:rPr>
        <w:t>Sciurus</w:t>
      </w:r>
      <w:r>
        <w:t xml:space="preserve"> spp.),</w:t>
      </w:r>
      <w:r w:rsidRPr="00D02CB9">
        <w:t xml:space="preserve"> </w:t>
      </w:r>
      <w:r>
        <w:t xml:space="preserve">American </w:t>
      </w:r>
      <w:r w:rsidRPr="00D02CB9">
        <w:t>alligator</w:t>
      </w:r>
      <w:r>
        <w:t xml:space="preserve"> (</w:t>
      </w:r>
      <w:r>
        <w:rPr>
          <w:i/>
        </w:rPr>
        <w:t>Alligator mississippiensis</w:t>
      </w:r>
      <w:r>
        <w:t>), and several different duck species.  Other recreational activities included the use of ATV trails and fishing, mostly for crayfish (</w:t>
      </w:r>
      <w:r>
        <w:rPr>
          <w:i/>
        </w:rPr>
        <w:t>Procambarus</w:t>
      </w:r>
      <w:r w:rsidR="00BE08B5">
        <w:rPr>
          <w:i/>
        </w:rPr>
        <w:t xml:space="preserve"> clarkii</w:t>
      </w:r>
      <w:r w:rsidR="00BE08B5">
        <w:t xml:space="preserve">), </w:t>
      </w:r>
      <w:r w:rsidRPr="00BE08B5">
        <w:t>catfish</w:t>
      </w:r>
      <w:r>
        <w:t xml:space="preserve"> </w:t>
      </w:r>
      <w:r w:rsidRPr="00854232">
        <w:t>(</w:t>
      </w:r>
      <w:r w:rsidRPr="00854232">
        <w:rPr>
          <w:rStyle w:val="ft"/>
          <w:i/>
          <w:color w:val="222222"/>
        </w:rPr>
        <w:t>Ictaluru</w:t>
      </w:r>
      <w:r w:rsidRPr="00854232">
        <w:rPr>
          <w:rStyle w:val="ft"/>
          <w:color w:val="222222"/>
        </w:rPr>
        <w:t xml:space="preserve">s </w:t>
      </w:r>
      <w:r w:rsidRPr="00854232">
        <w:t xml:space="preserve"> spp</w:t>
      </w:r>
      <w:r>
        <w:t>.), and gar (</w:t>
      </w:r>
      <w:r w:rsidRPr="00854232">
        <w:rPr>
          <w:bCs/>
          <w:i/>
          <w:iCs/>
        </w:rPr>
        <w:t>Atractosteus</w:t>
      </w:r>
      <w:r>
        <w:rPr>
          <w:bCs/>
          <w:i/>
          <w:iCs/>
        </w:rPr>
        <w:t xml:space="preserve"> </w:t>
      </w:r>
      <w:r>
        <w:t>spp.).</w:t>
      </w:r>
    </w:p>
    <w:p w:rsidR="001C68E3" w:rsidRDefault="001C68E3">
      <w:pPr>
        <w:spacing w:line="276" w:lineRule="auto"/>
        <w:rPr>
          <w:b/>
          <w:sz w:val="28"/>
          <w:szCs w:val="28"/>
        </w:rPr>
      </w:pPr>
      <w:r>
        <w:rPr>
          <w:b/>
          <w:sz w:val="28"/>
          <w:szCs w:val="28"/>
        </w:rPr>
        <w:br w:type="page"/>
      </w:r>
    </w:p>
    <w:p w:rsidR="0073158A" w:rsidRPr="000B3C47" w:rsidRDefault="00E76DBE" w:rsidP="00D51FDE">
      <w:pPr>
        <w:pStyle w:val="ListParagraph"/>
        <w:jc w:val="center"/>
        <w:outlineLvl w:val="0"/>
        <w:rPr>
          <w:b/>
          <w:sz w:val="28"/>
          <w:szCs w:val="28"/>
        </w:rPr>
      </w:pPr>
      <w:bookmarkStart w:id="4" w:name="_Toc361839450"/>
      <w:r>
        <w:rPr>
          <w:b/>
          <w:sz w:val="28"/>
          <w:szCs w:val="28"/>
        </w:rPr>
        <w:lastRenderedPageBreak/>
        <w:t xml:space="preserve">Chapter 3: </w:t>
      </w:r>
      <w:r w:rsidR="0073158A">
        <w:rPr>
          <w:b/>
          <w:sz w:val="28"/>
          <w:szCs w:val="28"/>
        </w:rPr>
        <w:t>Materials and Methods</w:t>
      </w:r>
      <w:bookmarkEnd w:id="4"/>
    </w:p>
    <w:p w:rsidR="0073158A" w:rsidRPr="00D51FDE" w:rsidRDefault="0073158A" w:rsidP="00D51FDE">
      <w:pPr>
        <w:pStyle w:val="Heading2"/>
        <w:rPr>
          <w:rFonts w:ascii="Times New Roman" w:hAnsi="Times New Roman" w:cs="Times New Roman"/>
          <w:b w:val="0"/>
          <w:color w:val="auto"/>
          <w:sz w:val="24"/>
          <w:szCs w:val="24"/>
        </w:rPr>
      </w:pPr>
      <w:bookmarkStart w:id="5" w:name="_Toc361839451"/>
      <w:r w:rsidRPr="00D51FDE">
        <w:rPr>
          <w:rFonts w:ascii="Times New Roman" w:hAnsi="Times New Roman" w:cs="Times New Roman"/>
          <w:color w:val="auto"/>
          <w:sz w:val="24"/>
          <w:szCs w:val="24"/>
        </w:rPr>
        <w:t>Site placement and construction:</w:t>
      </w:r>
      <w:bookmarkEnd w:id="5"/>
    </w:p>
    <w:p w:rsidR="0073158A" w:rsidRDefault="0073158A" w:rsidP="0073158A">
      <w:pPr>
        <w:ind w:firstLine="720"/>
      </w:pPr>
      <w:r>
        <w:t xml:space="preserve">Lowe (2011) collected hair samples from 2007 to 2009.  To optimize encounter rates, Otis et al. (1978) recommend </w:t>
      </w:r>
      <w:r w:rsidRPr="009135E6">
        <w:t xml:space="preserve">≥4 </w:t>
      </w:r>
      <w:r>
        <w:t>s</w:t>
      </w:r>
      <w:r w:rsidRPr="009135E6">
        <w:t xml:space="preserve">ampling sites per </w:t>
      </w:r>
      <w:r>
        <w:t>individual bear home range.  Lowe (2011) used a home range size of 15.7 km</w:t>
      </w:r>
      <w:r>
        <w:rPr>
          <w:vertAlign w:val="superscript"/>
        </w:rPr>
        <w:t>2</w:t>
      </w:r>
      <w:r>
        <w:t>, an estimate of female spring-summer home ranges</w:t>
      </w:r>
      <w:r w:rsidRPr="009135E6">
        <w:t xml:space="preserve"> </w:t>
      </w:r>
      <w:r>
        <w:t xml:space="preserve">in the UARB (Wagner 1995).  </w:t>
      </w:r>
      <w:r w:rsidR="00BE6DF0">
        <w:t xml:space="preserve">Lowe (2011) chose this home range size because it was the smallest female home range size and therefore, would give every individual at least 4 traps per home range.  </w:t>
      </w:r>
      <w:r>
        <w:t xml:space="preserve">Using this home range size, Lowe (2011) created and used a 1.6 x 1.6 km grid for site placement, </w:t>
      </w:r>
      <w:r w:rsidR="00BE6DF0">
        <w:t>resulting in a</w:t>
      </w:r>
      <w:r>
        <w:t xml:space="preserve"> total </w:t>
      </w:r>
      <w:r w:rsidR="00BE6DF0">
        <w:t xml:space="preserve">of </w:t>
      </w:r>
      <w:r>
        <w:t>115 sites (</w:t>
      </w:r>
      <w:r w:rsidR="00323FA5">
        <w:t>Fig.</w:t>
      </w:r>
      <w:r>
        <w:t xml:space="preserve"> 5).  For consistency, I used the same site locations as Lowe (2011). </w:t>
      </w:r>
    </w:p>
    <w:p w:rsidR="0073158A" w:rsidRPr="00023B6B" w:rsidRDefault="0073158A" w:rsidP="0073158A">
      <w:pPr>
        <w:ind w:firstLine="720"/>
      </w:pPr>
      <w:r>
        <w:t>Lowe (2011) used a 1-wire system placed at 40</w:t>
      </w:r>
      <w:r w:rsidR="006860DB">
        <w:t>–</w:t>
      </w:r>
      <w:r>
        <w:t>50 cm but</w:t>
      </w:r>
      <w:r w:rsidR="00BE6DF0">
        <w:t xml:space="preserve">, </w:t>
      </w:r>
      <w:r>
        <w:t>large</w:t>
      </w:r>
      <w:r w:rsidR="00BE6DF0">
        <w:t>, presumably male,</w:t>
      </w:r>
      <w:r>
        <w:t xml:space="preserve"> bears may have been able to step on or over that wire.  Consequently, I switched to a 2-wire system to determine if </w:t>
      </w:r>
      <w:r w:rsidR="00BE6DF0">
        <w:t>the sample of bears was less biased than with the 1-wire system</w:t>
      </w:r>
      <w:r>
        <w:t>.  I wrapped 2 strands of 4-point 15.5-gauge barbed wire around 3–4 corner trees; the bottom wire was set at 35</w:t>
      </w:r>
      <w:r w:rsidR="006860DB">
        <w:t>–</w:t>
      </w:r>
      <w:r>
        <w:t>40 cm and the top wire at 65</w:t>
      </w:r>
      <w:r w:rsidR="006860DB">
        <w:t>–</w:t>
      </w:r>
      <w:r>
        <w:t>70 cm (</w:t>
      </w:r>
      <w:r w:rsidR="00323FA5">
        <w:t>Fig.</w:t>
      </w:r>
      <w:r>
        <w:t xml:space="preserve"> 6).  </w:t>
      </w:r>
      <w:r w:rsidR="006860DB">
        <w:t xml:space="preserve">The barbed </w:t>
      </w:r>
      <w:r>
        <w:t>wire</w:t>
      </w:r>
      <w:r w:rsidR="006860DB">
        <w:t>s</w:t>
      </w:r>
      <w:r>
        <w:t xml:space="preserve"> were kept tight throughout the </w:t>
      </w:r>
      <w:r w:rsidR="006860DB">
        <w:t>sampling period</w:t>
      </w:r>
      <w:r>
        <w:t>; lose wire was tightened using twine.  Bait, consisting of 1–2 doughnuts or other bakery products</w:t>
      </w:r>
      <w:r w:rsidR="006860DB">
        <w:t xml:space="preserve">, </w:t>
      </w:r>
      <w:r w:rsidR="0048758C">
        <w:t>was</w:t>
      </w:r>
      <w:r>
        <w:t xml:space="preserve"> hung in the center of the site.  I also hung a tampon soaked in artificial candy flavoring (Mother Murphy’s Laboratories, Greensboro, North Carolina) as scent lure.  </w:t>
      </w:r>
      <w:r w:rsidRPr="00023B6B">
        <w:t xml:space="preserve">Caution tape and flagging </w:t>
      </w:r>
      <w:r>
        <w:t>were</w:t>
      </w:r>
      <w:r w:rsidRPr="00023B6B">
        <w:t xml:space="preserve"> used to mark the corner trees and barbed wire as a safety precaution. </w:t>
      </w:r>
    </w:p>
    <w:p w:rsidR="0073158A" w:rsidRPr="00D51FDE" w:rsidRDefault="0073158A" w:rsidP="00D51FDE">
      <w:pPr>
        <w:pStyle w:val="Heading2"/>
        <w:rPr>
          <w:rFonts w:ascii="Times New Roman" w:hAnsi="Times New Roman" w:cs="Times New Roman"/>
          <w:b w:val="0"/>
          <w:color w:val="auto"/>
          <w:sz w:val="24"/>
          <w:szCs w:val="24"/>
        </w:rPr>
      </w:pPr>
      <w:bookmarkStart w:id="6" w:name="_Toc361839452"/>
      <w:r w:rsidRPr="00D51FDE">
        <w:rPr>
          <w:rFonts w:ascii="Times New Roman" w:hAnsi="Times New Roman" w:cs="Times New Roman"/>
          <w:color w:val="auto"/>
          <w:sz w:val="24"/>
          <w:szCs w:val="24"/>
        </w:rPr>
        <w:lastRenderedPageBreak/>
        <w:t>Sample Collection:</w:t>
      </w:r>
      <w:bookmarkEnd w:id="6"/>
    </w:p>
    <w:p w:rsidR="009B3B04" w:rsidRDefault="0073158A" w:rsidP="0073158A">
      <w:pPr>
        <w:ind w:firstLine="720"/>
      </w:pPr>
      <w:r>
        <w:t>I checked sites</w:t>
      </w:r>
      <w:r w:rsidRPr="00023B6B">
        <w:t xml:space="preserve"> </w:t>
      </w:r>
      <w:r>
        <w:t>weekly</w:t>
      </w:r>
      <w:r w:rsidRPr="00023B6B">
        <w:t xml:space="preserve"> for 8 weeks</w:t>
      </w:r>
      <w:r>
        <w:t xml:space="preserve"> during June and July </w:t>
      </w:r>
      <w:r w:rsidRPr="00023B6B">
        <w:t>2010</w:t>
      </w:r>
      <w:r>
        <w:t>–2012.</w:t>
      </w:r>
      <w:r w:rsidRPr="00023B6B">
        <w:t xml:space="preserve"> </w:t>
      </w:r>
      <w:r>
        <w:t xml:space="preserve"> I collected h</w:t>
      </w:r>
      <w:r w:rsidRPr="009135E6">
        <w:t xml:space="preserve">air samples if there </w:t>
      </w:r>
      <w:r w:rsidR="00480AB8">
        <w:t>were</w:t>
      </w:r>
      <w:r w:rsidRPr="009135E6">
        <w:t xml:space="preserve"> &gt;5 guard hairs or &gt;20 underfur hairs</w:t>
      </w:r>
      <w:r>
        <w:t xml:space="preserve"> (Paetkau 2003; Tredick et al. 2007).  Hair s</w:t>
      </w:r>
      <w:r w:rsidRPr="009135E6">
        <w:t xml:space="preserve">amples </w:t>
      </w:r>
      <w:r>
        <w:t>were collected with tweezers and placed in</w:t>
      </w:r>
      <w:r w:rsidRPr="009135E6">
        <w:t xml:space="preserve"> coin </w:t>
      </w:r>
      <w:r>
        <w:t>envelopes.  I labeled each envelope with date, site location, s</w:t>
      </w:r>
      <w:r w:rsidRPr="009135E6">
        <w:t xml:space="preserve">ample </w:t>
      </w:r>
      <w:r>
        <w:t>number,</w:t>
      </w:r>
      <w:r w:rsidRPr="009135E6">
        <w:t xml:space="preserve"> and </w:t>
      </w:r>
      <w:r>
        <w:t>indicate if the sample</w:t>
      </w:r>
      <w:r w:rsidRPr="009135E6">
        <w:t xml:space="preserve"> came from the top or bottom wire</w:t>
      </w:r>
      <w:r>
        <w:t xml:space="preserve">.  </w:t>
      </w:r>
      <w:r w:rsidRPr="009135E6">
        <w:t xml:space="preserve">After each sample </w:t>
      </w:r>
      <w:r>
        <w:t>was</w:t>
      </w:r>
      <w:r w:rsidRPr="009135E6">
        <w:t xml:space="preserve"> collected</w:t>
      </w:r>
      <w:r>
        <w:t>,</w:t>
      </w:r>
      <w:r w:rsidRPr="009135E6">
        <w:t xml:space="preserve"> </w:t>
      </w:r>
      <w:r>
        <w:t xml:space="preserve">I burned </w:t>
      </w:r>
      <w:r w:rsidRPr="009135E6">
        <w:t xml:space="preserve">the tweezers </w:t>
      </w:r>
      <w:r>
        <w:t xml:space="preserve">with </w:t>
      </w:r>
      <w:r w:rsidRPr="009135E6">
        <w:t xml:space="preserve">a lighter to sterilize them for the next sample. </w:t>
      </w:r>
      <w:r>
        <w:t xml:space="preserve"> After each sampling occasion, I burned the b</w:t>
      </w:r>
      <w:r w:rsidRPr="009135E6">
        <w:t xml:space="preserve">arbed wire with a </w:t>
      </w:r>
      <w:r>
        <w:t xml:space="preserve">propane </w:t>
      </w:r>
      <w:r w:rsidRPr="009135E6">
        <w:t xml:space="preserve">torch to ensure all hair </w:t>
      </w:r>
      <w:r>
        <w:t>was</w:t>
      </w:r>
      <w:r w:rsidRPr="009135E6">
        <w:t xml:space="preserve"> </w:t>
      </w:r>
      <w:r>
        <w:t>removed</w:t>
      </w:r>
      <w:r w:rsidRPr="009135E6">
        <w:t xml:space="preserve"> to reduce the chance of cross-contamination</w:t>
      </w:r>
      <w:r>
        <w:t xml:space="preserve">. </w:t>
      </w:r>
      <w:r w:rsidRPr="009135E6">
        <w:t xml:space="preserve"> </w:t>
      </w:r>
      <w:r>
        <w:t>A</w:t>
      </w:r>
      <w:r w:rsidRPr="009135E6">
        <w:t xml:space="preserve">fter each visit, </w:t>
      </w:r>
      <w:r>
        <w:t>I re-baited and re-scented</w:t>
      </w:r>
      <w:r w:rsidRPr="009135E6">
        <w:t xml:space="preserve"> the site</w:t>
      </w:r>
      <w:r>
        <w:t>s.  I sent samples to Wildlife Genetics International (WGI, Nelson, British Columbia, Canada) for analysis.  Because of the large amount o</w:t>
      </w:r>
      <w:r w:rsidR="00BE6DF0">
        <w:t xml:space="preserve">f samples collected each summer, </w:t>
      </w:r>
      <w:r w:rsidRPr="00B230C3">
        <w:t xml:space="preserve">WGI </w:t>
      </w:r>
      <w:r w:rsidR="003A1BC2">
        <w:t xml:space="preserve">attempted to </w:t>
      </w:r>
      <w:r w:rsidRPr="00B230C3">
        <w:t>analy</w:t>
      </w:r>
      <w:r>
        <w:t>ze a subset of</w:t>
      </w:r>
      <w:r w:rsidR="00A10CCB">
        <w:t xml:space="preserve"> </w:t>
      </w:r>
      <w:r>
        <w:t>samples by selecting sample</w:t>
      </w:r>
      <w:r w:rsidR="00A10CCB">
        <w:t>s</w:t>
      </w:r>
      <w:r>
        <w:t xml:space="preserve"> from selected sites </w:t>
      </w:r>
      <w:r w:rsidRPr="00B230C3">
        <w:t>per week.</w:t>
      </w:r>
      <w:r w:rsidR="003A1BC2">
        <w:t xml:space="preserve">  </w:t>
      </w:r>
    </w:p>
    <w:p w:rsidR="00A32752" w:rsidRPr="00D51FDE" w:rsidRDefault="00A32752" w:rsidP="00D51FDE">
      <w:pPr>
        <w:pStyle w:val="Heading2"/>
        <w:rPr>
          <w:rFonts w:ascii="Times New Roman" w:hAnsi="Times New Roman" w:cs="Times New Roman"/>
          <w:b w:val="0"/>
          <w:color w:val="auto"/>
          <w:sz w:val="24"/>
          <w:szCs w:val="24"/>
        </w:rPr>
      </w:pPr>
      <w:bookmarkStart w:id="7" w:name="_Toc361839453"/>
      <w:r w:rsidRPr="00D51FDE">
        <w:rPr>
          <w:rFonts w:ascii="Times New Roman" w:hAnsi="Times New Roman" w:cs="Times New Roman"/>
          <w:color w:val="auto"/>
          <w:sz w:val="24"/>
          <w:szCs w:val="24"/>
        </w:rPr>
        <w:t>Genetic analysis:</w:t>
      </w:r>
      <w:bookmarkEnd w:id="7"/>
    </w:p>
    <w:p w:rsidR="00F15C58" w:rsidRDefault="00F15C58" w:rsidP="00BB17C7">
      <w:pPr>
        <w:ind w:firstLine="720"/>
      </w:pPr>
      <w:r>
        <w:t xml:space="preserve">WGI conducted the microsatellite analysis for my study.  </w:t>
      </w:r>
      <w:r w:rsidR="00BB17C7">
        <w:t>Because microsatellites are relatively easy to isolate,</w:t>
      </w:r>
      <w:r w:rsidR="00B53946">
        <w:t xml:space="preserve"> they</w:t>
      </w:r>
      <w:r w:rsidR="00BB17C7">
        <w:t xml:space="preserve"> have become </w:t>
      </w:r>
      <w:r w:rsidR="00B53946">
        <w:t xml:space="preserve">commonly used in </w:t>
      </w:r>
      <w:r w:rsidR="00BB17C7">
        <w:t xml:space="preserve">analysis for indentifying individuals, estimating relatedness among individuals, and assess genetic variation (Paetkau and Strobeck 1994).  </w:t>
      </w:r>
      <w:r>
        <w:t xml:space="preserve">Microsatellites </w:t>
      </w:r>
      <w:r w:rsidR="00BB17C7">
        <w:t xml:space="preserve">are indentified by amplifying individual loci using polymerase chain reaction (PCA) to produce strings of DNA unique to each individual (Paetkau and Strobeck 1994; McKelvey and Schwartz 2004).  Individuals are indentified by joining multiple highly variable microsatellites together (Paetkau and Strobeck 1994; McKelvey and Schwartz 2004).    </w:t>
      </w:r>
      <w:r w:rsidR="00C15072">
        <w:t xml:space="preserve">Upon initiating this project, Lowe (2011) analyzed a group of 30 samples from the UARB populations at 22 loci (A06, CPH9, CXX110, CXX20, G10B, G10H, G10U, G10X, MSUT2, MU50, MU51, PO7, G1A, G1D, G10J, G10C, G10L, G10M, G10P, MU23, MU26, </w:t>
      </w:r>
      <w:r w:rsidR="00C15072">
        <w:lastRenderedPageBreak/>
        <w:t xml:space="preserve">and MU59).  </w:t>
      </w:r>
      <w:r w:rsidR="00B53946">
        <w:t>Lowe (2011)</w:t>
      </w:r>
      <w:r w:rsidR="00C15072">
        <w:t xml:space="preserve"> then used the 7 most variable markers (G10C, G10L, G10M, G10P, MU23, MU26, and MU59) for the rest of the analysis, plus an additional marker to identify sex.  I used these same 8 markers for the continuation of the study.  </w:t>
      </w:r>
    </w:p>
    <w:p w:rsidR="00731832" w:rsidRDefault="00731832" w:rsidP="00BB17C7">
      <w:pPr>
        <w:ind w:firstLine="720"/>
      </w:pPr>
      <w:r>
        <w:t xml:space="preserve">Error checking was an important part of the genetic analysis.  Within marker selection </w:t>
      </w:r>
      <w:r w:rsidR="00BE6DF0">
        <w:t>2 errors can occur:</w:t>
      </w:r>
      <w:r>
        <w:t xml:space="preserve"> </w:t>
      </w:r>
      <w:r w:rsidR="00BE6DF0">
        <w:t>1)</w:t>
      </w:r>
      <w:r>
        <w:t xml:space="preserve"> the markers are too variable causing too many individuals to be identified and </w:t>
      </w:r>
      <w:r w:rsidR="00BE6DF0">
        <w:t xml:space="preserve">2) </w:t>
      </w:r>
      <w:r>
        <w:t xml:space="preserve">markers are not variable enough causing too few individuals to be identified (Woods et al. 1999).  These errors are </w:t>
      </w:r>
      <w:r w:rsidR="005E5B51">
        <w:t>minimized</w:t>
      </w:r>
      <w:r>
        <w:t xml:space="preserve"> by selecting markers that are both highly variable and </w:t>
      </w:r>
      <w:r w:rsidR="005E5B51">
        <w:t>have a low probability</w:t>
      </w:r>
      <w:r>
        <w:t xml:space="preserve"> of identity; </w:t>
      </w:r>
      <w:r w:rsidR="004631FC">
        <w:t>this</w:t>
      </w:r>
      <w:r w:rsidR="00BE6DF0">
        <w:t xml:space="preserve"> can also be checked</w:t>
      </w:r>
      <w:r>
        <w:t xml:space="preserve"> by reanalyzing closely related individuals to insure they are not the same individual</w:t>
      </w:r>
      <w:r w:rsidR="005E5B51">
        <w:t xml:space="preserve"> (Woods et al. 1999)</w:t>
      </w:r>
      <w:r>
        <w:t>.</w:t>
      </w:r>
      <w:r w:rsidR="005E5B51">
        <w:t xml:space="preserve">  Paetkau (2003) developed strict lab protocols followed by WGI that minimize </w:t>
      </w:r>
      <w:r w:rsidR="00BE6DF0">
        <w:t xml:space="preserve">such </w:t>
      </w:r>
      <w:r w:rsidR="005E5B51">
        <w:t xml:space="preserve">errors.  </w:t>
      </w:r>
    </w:p>
    <w:p w:rsidR="002868ED" w:rsidRDefault="002868ED" w:rsidP="002868ED">
      <w:pPr>
        <w:ind w:firstLine="720"/>
      </w:pPr>
      <w:r>
        <w:t xml:space="preserve">Because </w:t>
      </w:r>
      <w:r w:rsidR="00B53946">
        <w:t>WGI</w:t>
      </w:r>
      <w:r>
        <w:t xml:space="preserve"> only genotyped some loci and not all, there was a chance of two individuals having the same genotypes at those particular locus.  </w:t>
      </w:r>
      <w:r w:rsidR="00B53946">
        <w:t>Bears frequently</w:t>
      </w:r>
      <w:r>
        <w:t xml:space="preserve"> have over-lapping home r</w:t>
      </w:r>
      <w:r w:rsidR="00B53946">
        <w:t>anges with siblings and parents; consequently,</w:t>
      </w:r>
      <w:r>
        <w:t xml:space="preserve"> this increased the risk of two closely related individuals being </w:t>
      </w:r>
      <w:r w:rsidR="00B53946">
        <w:t xml:space="preserve">sampled and </w:t>
      </w:r>
      <w:r>
        <w:t>considered one</w:t>
      </w:r>
      <w:r w:rsidR="00B53946">
        <w:t xml:space="preserve"> (Woods et al. 1999)</w:t>
      </w:r>
      <w:r>
        <w:t xml:space="preserve">. </w:t>
      </w:r>
      <w:r w:rsidR="00B53946">
        <w:t xml:space="preserve"> </w:t>
      </w:r>
      <w:r>
        <w:t>To test for this I calculated the probability of identity for random individuals (P</w:t>
      </w:r>
      <w:r w:rsidRPr="00DD5735">
        <w:rPr>
          <w:vertAlign w:val="subscript"/>
        </w:rPr>
        <w:t>ran</w:t>
      </w:r>
      <w:r w:rsidR="00BE6DF0">
        <w:t>), for parent</w:t>
      </w:r>
      <w:r>
        <w:t>–offspring pairs (P</w:t>
      </w:r>
      <w:r w:rsidRPr="00DD5735">
        <w:rPr>
          <w:vertAlign w:val="subscript"/>
        </w:rPr>
        <w:t>par-offs</w:t>
      </w:r>
      <w:r>
        <w:t>), and for siblings (P</w:t>
      </w:r>
      <w:r w:rsidRPr="00DD5735">
        <w:rPr>
          <w:vertAlign w:val="subscript"/>
        </w:rPr>
        <w:t>sib</w:t>
      </w:r>
      <w:r>
        <w:t>) having the same genotype at those alleles.   P</w:t>
      </w:r>
      <w:r w:rsidRPr="00DD5735">
        <w:rPr>
          <w:vertAlign w:val="subscript"/>
        </w:rPr>
        <w:t>sib</w:t>
      </w:r>
      <w:r>
        <w:t xml:space="preserve"> is the most conservative of all these tests and was of particular interest since many siblings may have over-lapping home ranges.  Woods et al. (1999) recommended P</w:t>
      </w:r>
      <w:r w:rsidRPr="00DD5735">
        <w:rPr>
          <w:vertAlign w:val="subscript"/>
        </w:rPr>
        <w:t>sib</w:t>
      </w:r>
      <w:r>
        <w:t xml:space="preserve"> &gt; 0.25.  </w:t>
      </w:r>
    </w:p>
    <w:p w:rsidR="00ED7AA4" w:rsidRDefault="002868ED" w:rsidP="002868ED">
      <w:pPr>
        <w:ind w:firstLine="720"/>
      </w:pPr>
      <w:r>
        <w:t xml:space="preserve">Many genetic analyses are based on the assumption that the population of interest </w:t>
      </w:r>
      <w:r w:rsidR="00BE6DF0">
        <w:t>is</w:t>
      </w:r>
      <w:r>
        <w:t xml:space="preserve"> in Hardy-Weinberg equilibrium (HWE).  </w:t>
      </w:r>
      <w:r w:rsidR="00ED7AA4">
        <w:t xml:space="preserve">HWE is </w:t>
      </w:r>
      <w:r w:rsidR="00B53946">
        <w:t>reached when</w:t>
      </w:r>
      <w:r w:rsidR="00ED7AA4">
        <w:t xml:space="preserve"> large populations random</w:t>
      </w:r>
      <w:r w:rsidR="00B53946">
        <w:t xml:space="preserve">ly mate and have </w:t>
      </w:r>
      <w:r w:rsidR="00ED7AA4">
        <w:t>no mutation, migration, or selection (</w:t>
      </w:r>
      <w:r w:rsidR="00ED7AA4" w:rsidRPr="00ED7AA4">
        <w:rPr>
          <w:highlight w:val="yellow"/>
        </w:rPr>
        <w:t>CITATION</w:t>
      </w:r>
      <w:r w:rsidR="00ED7AA4">
        <w:t xml:space="preserve">).  It can provide indications of </w:t>
      </w:r>
      <w:r w:rsidR="00ED7AA4">
        <w:lastRenderedPageBreak/>
        <w:t>inbreeding and estimates of allele frequencies (</w:t>
      </w:r>
      <w:r w:rsidR="00ED7AA4" w:rsidRPr="00ED7AA4">
        <w:rPr>
          <w:highlight w:val="yellow"/>
        </w:rPr>
        <w:t>CITATION</w:t>
      </w:r>
      <w:r w:rsidR="00ED7AA4">
        <w:t xml:space="preserve">).  I calculated HWE with GenALEx 6.5 (Peakall and Smouse 2006) in Excel to test the assumption that the UARB was in HWE.  </w:t>
      </w:r>
    </w:p>
    <w:p w:rsidR="002868ED" w:rsidRDefault="00BE6DF0" w:rsidP="00ED7AA4">
      <w:pPr>
        <w:ind w:firstLine="720"/>
      </w:pPr>
      <w:r>
        <w:t>H</w:t>
      </w:r>
      <w:r w:rsidR="002F2455">
        <w:t>eterozygosity (i.e., the amount of genetic variation) of the population can directly indicate population health and if the population is at risk of genetic bottlenecking</w:t>
      </w:r>
      <w:r w:rsidR="00ED7AA4">
        <w:t xml:space="preserve"> or inbreeding (</w:t>
      </w:r>
      <w:r w:rsidR="00ED7AA4" w:rsidRPr="00ED7AA4">
        <w:rPr>
          <w:highlight w:val="yellow"/>
        </w:rPr>
        <w:t>CITATION</w:t>
      </w:r>
      <w:r w:rsidR="00ED7AA4">
        <w:t>)</w:t>
      </w:r>
      <w:r w:rsidR="002F2455">
        <w:t xml:space="preserve">.  </w:t>
      </w:r>
      <w:r w:rsidR="00ED7AA4">
        <w:t xml:space="preserve">Because the UARB population was a small, somewhat isolated population, it was important to </w:t>
      </w:r>
      <w:r w:rsidR="00B53946">
        <w:t xml:space="preserve">also </w:t>
      </w:r>
      <w:r w:rsidR="00ED7AA4">
        <w:t xml:space="preserve">calculate the </w:t>
      </w:r>
      <w:r w:rsidR="002868ED">
        <w:t>mean</w:t>
      </w:r>
      <w:r w:rsidR="00882937">
        <w:t xml:space="preserve"> observed</w:t>
      </w:r>
      <w:r w:rsidR="002868ED">
        <w:t xml:space="preserve"> heterozygosity</w:t>
      </w:r>
      <w:r w:rsidR="00882937">
        <w:t xml:space="preserve"> (H</w:t>
      </w:r>
      <w:r w:rsidR="00882937">
        <w:rPr>
          <w:vertAlign w:val="subscript"/>
        </w:rPr>
        <w:t>o</w:t>
      </w:r>
      <w:r w:rsidR="00882937">
        <w:t>)</w:t>
      </w:r>
      <w:r w:rsidR="003E4D07">
        <w:t xml:space="preserve"> versus the mean expected heterozygosity (H</w:t>
      </w:r>
      <w:r w:rsidR="003E4D07">
        <w:rPr>
          <w:vertAlign w:val="subscript"/>
        </w:rPr>
        <w:t>E</w:t>
      </w:r>
      <w:r w:rsidR="003E4D07">
        <w:t>).  If the population was genetically healthy and diverse, H</w:t>
      </w:r>
      <w:r w:rsidR="003E4D07">
        <w:rPr>
          <w:vertAlign w:val="subscript"/>
        </w:rPr>
        <w:t>o</w:t>
      </w:r>
      <w:r w:rsidR="003E4D07">
        <w:t xml:space="preserve"> will not be lower than H</w:t>
      </w:r>
      <w:r w:rsidR="003E4D07">
        <w:rPr>
          <w:vertAlign w:val="subscript"/>
        </w:rPr>
        <w:t xml:space="preserve">E.  </w:t>
      </w:r>
      <w:r w:rsidR="00ED7AA4">
        <w:t>I did this with</w:t>
      </w:r>
      <w:r w:rsidR="002868ED">
        <w:t xml:space="preserve"> GenALEx 6.5 (Peakall and Smouse 2006) in Excel.  </w:t>
      </w:r>
    </w:p>
    <w:p w:rsidR="00437FE9" w:rsidRPr="00D51FDE" w:rsidRDefault="00437FE9" w:rsidP="00437FE9">
      <w:pPr>
        <w:pStyle w:val="Heading2"/>
        <w:rPr>
          <w:rFonts w:ascii="Times New Roman" w:hAnsi="Times New Roman" w:cs="Times New Roman"/>
          <w:b w:val="0"/>
          <w:color w:val="auto"/>
          <w:sz w:val="24"/>
          <w:szCs w:val="24"/>
        </w:rPr>
      </w:pPr>
      <w:bookmarkStart w:id="8" w:name="_Toc361839454"/>
      <w:r>
        <w:rPr>
          <w:rFonts w:ascii="Times New Roman" w:hAnsi="Times New Roman" w:cs="Times New Roman"/>
          <w:color w:val="auto"/>
          <w:sz w:val="24"/>
          <w:szCs w:val="24"/>
        </w:rPr>
        <w:t>Data Analyses:</w:t>
      </w:r>
      <w:bookmarkEnd w:id="8"/>
      <w:r>
        <w:rPr>
          <w:rFonts w:ascii="Times New Roman" w:hAnsi="Times New Roman" w:cs="Times New Roman"/>
          <w:color w:val="auto"/>
          <w:sz w:val="24"/>
          <w:szCs w:val="24"/>
        </w:rPr>
        <w:t xml:space="preserve"> </w:t>
      </w:r>
    </w:p>
    <w:p w:rsidR="00437FE9" w:rsidRDefault="00437FE9" w:rsidP="00437FE9">
      <w:r>
        <w:rPr>
          <w:b/>
        </w:rPr>
        <w:tab/>
      </w:r>
      <w:r>
        <w:t>I used mark-recapture (MRC) methods to estimate abundance (</w:t>
      </w:r>
      <w:r w:rsidRPr="005E7442">
        <w:rPr>
          <w:i/>
        </w:rPr>
        <w:t>N</w:t>
      </w:r>
      <w:r>
        <w:t>), growth rate (λ), survival (φ), fecundity (</w:t>
      </w:r>
      <w:r w:rsidRPr="005E7442">
        <w:rPr>
          <w:i/>
        </w:rPr>
        <w:t>f</w:t>
      </w:r>
      <w:r>
        <w:t>), and density (</w:t>
      </w:r>
      <w:r w:rsidRPr="005E7442">
        <w:rPr>
          <w:i/>
        </w:rPr>
        <w:t>D</w:t>
      </w:r>
      <w:r>
        <w:t xml:space="preserve">).  In MRC analysis, there are two basic types of populations: closed and open.  A closed population </w:t>
      </w:r>
      <w:r w:rsidRPr="009135E6">
        <w:t xml:space="preserve">is </w:t>
      </w:r>
      <w:r>
        <w:t>one</w:t>
      </w:r>
      <w:r w:rsidRPr="009135E6">
        <w:t xml:space="preserve"> that is </w:t>
      </w:r>
      <w:r>
        <w:t xml:space="preserve">both </w:t>
      </w:r>
      <w:r w:rsidRPr="009135E6">
        <w:t>geographically “closed”,</w:t>
      </w:r>
      <w:r>
        <w:t xml:space="preserve"> i.e., there are</w:t>
      </w:r>
      <w:r w:rsidRPr="009135E6">
        <w:t xml:space="preserve"> no immigrations or emigrations, and demographically “closed”,</w:t>
      </w:r>
      <w:r>
        <w:t xml:space="preserve"> i.e., there are</w:t>
      </w:r>
      <w:r w:rsidRPr="009135E6">
        <w:t xml:space="preserve"> no births or deaths. </w:t>
      </w:r>
      <w:r>
        <w:t xml:space="preserve"> The most basic model for closed population abundance estimation is the Lincoln-Peterson model:</w:t>
      </w:r>
    </w:p>
    <w:p w:rsidR="00437FE9" w:rsidRDefault="00437FE9" w:rsidP="00437FE9">
      <w:pPr>
        <w:jc w:val="center"/>
      </w:pPr>
      <m:oMath>
        <m:r>
          <w:rPr>
            <w:rFonts w:ascii="Cambria Math" w:hAnsi="Cambria Math"/>
          </w:rPr>
          <m:t>N</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p</m:t>
            </m:r>
          </m:den>
        </m:f>
      </m:oMath>
      <w:r>
        <w:t>,</w:t>
      </w:r>
    </w:p>
    <w:p w:rsidR="00437FE9" w:rsidRPr="00EB12AF" w:rsidRDefault="00437FE9" w:rsidP="00437FE9">
      <w:r>
        <w:t xml:space="preserve">where </w:t>
      </w:r>
      <w:r>
        <w:rPr>
          <w:i/>
        </w:rPr>
        <w:t xml:space="preserve">M </w:t>
      </w:r>
      <w:r>
        <w:t xml:space="preserve">is the number of marked individuals, </w:t>
      </w:r>
      <w:r>
        <w:rPr>
          <w:i/>
        </w:rPr>
        <w:t>p</w:t>
      </w:r>
      <w:r>
        <w:t xml:space="preserve"> is the capture probability, and </w:t>
      </w:r>
      <w:r>
        <w:rPr>
          <w:i/>
        </w:rPr>
        <w:t>N</w:t>
      </w:r>
      <w:r>
        <w:t xml:space="preserve"> is the number of individuals in the population.  Assumptions associated with the Lincoln-Peterson method are (1) a</w:t>
      </w:r>
      <w:r w:rsidRPr="009135E6">
        <w:t xml:space="preserve">ll individuals have the same probability of being </w:t>
      </w:r>
      <w:r>
        <w:t>captured, (2) there are no</w:t>
      </w:r>
      <w:r w:rsidRPr="009135E6">
        <w:t xml:space="preserve"> additions</w:t>
      </w:r>
      <w:r>
        <w:t xml:space="preserve"> via births or immigration and no subtractions via deaths or emigration, (3) all individuals are indentified correctly, and (4) marks on the individual are not lost.  Whereas the assumption of strict closure is not realistic in wild populations, a population can be considered “closed” if </w:t>
      </w:r>
      <w:r w:rsidRPr="009135E6">
        <w:t xml:space="preserve">a </w:t>
      </w:r>
      <w:r w:rsidRPr="009135E6">
        <w:lastRenderedPageBreak/>
        <w:t xml:space="preserve">large area </w:t>
      </w:r>
      <w:r>
        <w:t xml:space="preserve">is sampled </w:t>
      </w:r>
      <w:r w:rsidRPr="009135E6">
        <w:t xml:space="preserve">during a short period, when the study species is not giving birth or </w:t>
      </w:r>
      <w:r>
        <w:t>migrating (Otis et al. 1978).  Conversely, open populations can be</w:t>
      </w:r>
      <w:r w:rsidRPr="009135E6">
        <w:t xml:space="preserve"> geographically “open”, </w:t>
      </w:r>
      <w:r>
        <w:t xml:space="preserve">i.e., allows for </w:t>
      </w:r>
      <w:r w:rsidRPr="009135E6">
        <w:t xml:space="preserve">immigrations or emigrations, </w:t>
      </w:r>
      <w:r>
        <w:t>or</w:t>
      </w:r>
      <w:r w:rsidRPr="009135E6">
        <w:t xml:space="preserve"> demographically “open”,</w:t>
      </w:r>
      <w:r>
        <w:t xml:space="preserve"> i.e., allows for </w:t>
      </w:r>
      <w:r w:rsidRPr="009135E6">
        <w:t>births or deaths.</w:t>
      </w:r>
      <w:r>
        <w:t xml:space="preserve">  </w:t>
      </w:r>
      <w:r w:rsidRPr="009135E6">
        <w:t>Assump</w:t>
      </w:r>
      <w:r>
        <w:t>tions associated with this method are (1) a</w:t>
      </w:r>
      <w:r w:rsidRPr="009135E6">
        <w:t>ll individuals have the same probability of being captured</w:t>
      </w:r>
      <w:r>
        <w:t xml:space="preserve">, (2) all individuals are indentified correctly and (3) marks are not lost.  </w:t>
      </w:r>
      <w:r w:rsidRPr="00EB12AF">
        <w:t>The Jolly-Seber model</w:t>
      </w:r>
      <w:r>
        <w:t xml:space="preserve"> (Jolly 1965; Seber 1965)</w:t>
      </w:r>
      <w:r w:rsidRPr="00EB12AF">
        <w:t xml:space="preserve"> is the simplest method for estimating </w:t>
      </w:r>
      <w:r w:rsidRPr="00EB12AF">
        <w:rPr>
          <w:i/>
        </w:rPr>
        <w:t>N</w:t>
      </w:r>
      <w:r>
        <w:t xml:space="preserve"> in open populations. </w:t>
      </w:r>
    </w:p>
    <w:p w:rsidR="00437FE9" w:rsidRDefault="00437FE9" w:rsidP="00437FE9">
      <w:pPr>
        <w:ind w:firstLine="720"/>
      </w:pPr>
      <w:r>
        <w:t xml:space="preserve">Violating these assumptions can bias population parameter estimates, particularly </w:t>
      </w:r>
      <w:r w:rsidRPr="00A825C0">
        <w:rPr>
          <w:i/>
        </w:rPr>
        <w:t>N</w:t>
      </w:r>
      <w:r>
        <w:rPr>
          <w:i/>
        </w:rPr>
        <w:t xml:space="preserve"> </w:t>
      </w:r>
      <w:r>
        <w:t>(Otis et al. 1978).  Capture b</w:t>
      </w:r>
      <w:r w:rsidRPr="00B2425E">
        <w:t xml:space="preserve">iases </w:t>
      </w:r>
      <w:r>
        <w:t xml:space="preserve">are classified as behavioral (when </w:t>
      </w:r>
      <w:r w:rsidRPr="009135E6">
        <w:t>being trapped change</w:t>
      </w:r>
      <w:r>
        <w:t>s</w:t>
      </w:r>
      <w:r w:rsidRPr="009135E6">
        <w:t xml:space="preserve"> the </w:t>
      </w:r>
      <w:r>
        <w:t xml:space="preserve">subsequent </w:t>
      </w:r>
      <w:r w:rsidRPr="009135E6">
        <w:t>capture probability of</w:t>
      </w:r>
      <w:r>
        <w:t xml:space="preserve"> the individual), temporal (</w:t>
      </w:r>
      <w:r w:rsidRPr="009135E6">
        <w:t>changes in capture probability vary across the duration of the study due to things lik</w:t>
      </w:r>
      <w:r>
        <w:t>e temperature or precipitation), or h</w:t>
      </w:r>
      <w:r w:rsidRPr="009135E6">
        <w:t>eterogeneity</w:t>
      </w:r>
      <w:r>
        <w:t xml:space="preserve"> (individuals have</w:t>
      </w:r>
      <w:r w:rsidRPr="009135E6">
        <w:t xml:space="preserve"> inherent</w:t>
      </w:r>
      <w:r>
        <w:t>ly different</w:t>
      </w:r>
      <w:r w:rsidRPr="009135E6">
        <w:t xml:space="preserve"> </w:t>
      </w:r>
      <w:r>
        <w:t>probabilities</w:t>
      </w:r>
      <w:r w:rsidRPr="009135E6">
        <w:t xml:space="preserve"> of being captured</w:t>
      </w:r>
      <w:r>
        <w:t xml:space="preserve">). </w:t>
      </w:r>
      <w:r w:rsidRPr="009135E6">
        <w:t xml:space="preserve"> </w:t>
      </w:r>
      <w:r>
        <w:t>Models have been developed to estimate and correct for these biases.  Capture heterogeneity is the most common bias and most difficult to correct (Boulanger et al. 2002; Link 2003).</w:t>
      </w:r>
    </w:p>
    <w:p w:rsidR="00437FE9" w:rsidRDefault="00437FE9" w:rsidP="00437FE9">
      <w:pPr>
        <w:ind w:firstLine="720"/>
      </w:pPr>
      <w:r>
        <w:t>The robust design</w:t>
      </w:r>
      <w:r w:rsidRPr="00FF07FF">
        <w:t xml:space="preserve"> </w:t>
      </w:r>
      <w:r>
        <w:t>(Pollock 1982) is a mixture of both</w:t>
      </w:r>
      <w:r w:rsidRPr="00FF07FF">
        <w:t xml:space="preserve"> open and closed models to estimate population parameters</w:t>
      </w:r>
      <w:r>
        <w:t xml:space="preserve">.  Sampling consists of a series of sessions whereby the population is considered closed (i.e., secondary sampling sessions or weeks from June to July) and open (i.e., primary sessions or years).  The two different sampling occasions allows for more realistic assumptions associated with natural populations.  The robust design can be used to estimate </w:t>
      </w:r>
      <w:r>
        <w:rPr>
          <w:i/>
        </w:rPr>
        <w:t xml:space="preserve">N, </w:t>
      </w:r>
      <w:r>
        <w:t>φ, λ (Pollock 1982), and temporary emigration and immigration (</w:t>
      </w:r>
      <w:r w:rsidRPr="009C4001">
        <w:rPr>
          <w:highlight w:val="yellow"/>
        </w:rPr>
        <w:t>γ’ and γ”, respectively</w:t>
      </w:r>
      <w:r>
        <w:t xml:space="preserve">; Kendall et al. 1997).  The primary sampling occasions are used to estimate φ, λ, and γ, whereas the secondary sampling occasions are used to estimate </w:t>
      </w:r>
      <w:r>
        <w:rPr>
          <w:i/>
        </w:rPr>
        <w:t xml:space="preserve">N. </w:t>
      </w:r>
      <w:r>
        <w:t xml:space="preserve"> I used the robust design with hair </w:t>
      </w:r>
      <w:r>
        <w:lastRenderedPageBreak/>
        <w:t xml:space="preserve">sampling weeks (June and July) as the secondary sampling occasions and each of the years (2007–2012) as the primary sampling occasions. </w:t>
      </w:r>
    </w:p>
    <w:p w:rsidR="00437FE9" w:rsidRDefault="00437FE9" w:rsidP="00437FE9">
      <w:pPr>
        <w:ind w:firstLine="720"/>
      </w:pPr>
      <w:r>
        <w:t xml:space="preserve">Multi-state models are used to measure transition rates (Ψ).  Transition rates can be defined as animals moving from one age class to another, animals moving through reproductive stages (e.g., from having cubs, to having yearlings, to having no young), or animals physically moving from one area to another, like migrating waterfowl </w:t>
      </w:r>
      <w:r w:rsidRPr="003B5C73">
        <w:t>(Arnason 1972,1973; Schwarz et</w:t>
      </w:r>
      <w:r>
        <w:t xml:space="preserve"> </w:t>
      </w:r>
      <w:r w:rsidRPr="003B5C73">
        <w:t>al.1993</w:t>
      </w:r>
      <w:r>
        <w:t xml:space="preserve">).  Multi-state models estimate Ψ the same way the Robust Design estimates γ.  With the improvement in computer and computation speed, researchers have been able to combine the Robust Design and Multi-state models to create one model, Robust Design Multi-State (RDMS).   The original Multi-state model only estimates φ, </w:t>
      </w:r>
      <w:r>
        <w:rPr>
          <w:i/>
        </w:rPr>
        <w:t>p</w:t>
      </w:r>
      <w:r>
        <w:t xml:space="preserve">, and Ψ.  In this model Ψ to replaces γ and is calculated between primary occasions.  In addition, the RDMS model has a number of different versions.  It can allow for state uncertainty, open secondary occasions, or closed secondary occasions.  </w:t>
      </w:r>
    </w:p>
    <w:p w:rsidR="007D7AB4" w:rsidRDefault="007D7AB4" w:rsidP="00437FE9">
      <w:pPr>
        <w:ind w:firstLine="720"/>
      </w:pPr>
      <w:r>
        <w:t xml:space="preserve">I used the Closed Robust Design Multi-Strata (CRDMS) to answer 2 of my 3 objectives.  Objective 1 focused on the overall parameter estimates for the PVA and on building on the results found by Lowe (2011).  Objective 2 focused on the flooding effects on the different parameters.  </w:t>
      </w:r>
    </w:p>
    <w:p w:rsidR="00D51FDE" w:rsidRPr="00D51FDE" w:rsidRDefault="00437FE9" w:rsidP="00D51FDE">
      <w:pPr>
        <w:pStyle w:val="Heading3"/>
        <w:rPr>
          <w:rFonts w:ascii="Times New Roman" w:hAnsi="Times New Roman" w:cs="Times New Roman"/>
          <w:b w:val="0"/>
          <w:i/>
          <w:color w:val="auto"/>
          <w:u w:val="single"/>
        </w:rPr>
      </w:pPr>
      <w:bookmarkStart w:id="9" w:name="_Toc361839455"/>
      <w:r>
        <w:rPr>
          <w:rFonts w:ascii="Times New Roman" w:hAnsi="Times New Roman" w:cs="Times New Roman"/>
          <w:b w:val="0"/>
          <w:i/>
          <w:color w:val="auto"/>
          <w:u w:val="single"/>
        </w:rPr>
        <w:t>O</w:t>
      </w:r>
      <w:r w:rsidR="00D431D5" w:rsidRPr="00D51FDE">
        <w:rPr>
          <w:rFonts w:ascii="Times New Roman" w:hAnsi="Times New Roman" w:cs="Times New Roman"/>
          <w:b w:val="0"/>
          <w:i/>
          <w:color w:val="auto"/>
          <w:u w:val="single"/>
        </w:rPr>
        <w:t>bjective 1: Population parameter estimates</w:t>
      </w:r>
      <w:r w:rsidR="00D51FDE" w:rsidRPr="00D51FDE">
        <w:rPr>
          <w:rFonts w:ascii="Times New Roman" w:hAnsi="Times New Roman" w:cs="Times New Roman"/>
          <w:b w:val="0"/>
          <w:i/>
          <w:color w:val="auto"/>
          <w:u w:val="single"/>
        </w:rPr>
        <w:t>.</w:t>
      </w:r>
      <w:bookmarkEnd w:id="9"/>
    </w:p>
    <w:p w:rsidR="00D431D5" w:rsidRDefault="00D431D5" w:rsidP="005E4F1C">
      <w:r>
        <w:rPr>
          <w:i/>
        </w:rPr>
        <w:t xml:space="preserve"> </w:t>
      </w:r>
      <w:r w:rsidR="00437FE9">
        <w:t>The PVA necessary for delisting require</w:t>
      </w:r>
      <w:r w:rsidR="005E4F1C">
        <w:t xml:space="preserve">s accurate population parameter estimates.  </w:t>
      </w:r>
      <w:r>
        <w:t>I used data collected from 2010 to 2012 and data collected by Lowe (2011) from 2007 to 2009</w:t>
      </w:r>
      <w:r w:rsidR="00C95B83">
        <w:t xml:space="preserve">.  I used </w:t>
      </w:r>
      <w:r>
        <w:t>a closed robust design multi-state Huggins full-heterogeneity model in Program MARK (White and Burnham 1999)</w:t>
      </w:r>
      <w:r w:rsidR="005E4F1C">
        <w:t xml:space="preserve"> to calculate parameters needed for the PVA</w:t>
      </w:r>
      <w:r>
        <w:t>.  The “closed robust design” referred to the primary periods (between years) as open and the secondary years (8 weeks of collection each summer) as closed.  “Multi-state” referred to the 3 different strata I had in my study area, Fordoche, Batchelor, and Spillway.  “Huggins full heterogeneity” allowed the use of individual covariates (e.g., capture frequency; Huggins 1989, 1991) and two heterogeneity mixture models (</w:t>
      </w:r>
      <w:r w:rsidRPr="00320712">
        <w:t>Pledger 2000</w:t>
      </w:r>
      <w:r>
        <w:t xml:space="preserve">).  Heterogeneity mixture models allowed individuals to be split into two groups based on similar capture probabilities (e.g., easy- vs. hard-to-catch individuals; Pledger 2000).  This analytical framework allowed us to directly estimate </w:t>
      </w:r>
      <w:r w:rsidRPr="00320712">
        <w:rPr>
          <w:i/>
        </w:rPr>
        <w:t>p</w:t>
      </w:r>
      <w:r>
        <w:t xml:space="preserve"> and recapture (</w:t>
      </w:r>
      <w:r w:rsidRPr="00320712">
        <w:rPr>
          <w:i/>
        </w:rPr>
        <w:t>c</w:t>
      </w:r>
      <w:r>
        <w:t xml:space="preserve">) probabilities, heterogeneity mixtures (π), φ, and Ψ.  </w:t>
      </w:r>
      <w:r w:rsidRPr="00663312">
        <w:rPr>
          <w:i/>
        </w:rPr>
        <w:t>N</w:t>
      </w:r>
      <w:r>
        <w:t xml:space="preserve"> was a derived parameter and λ was calculated based on the change in </w:t>
      </w:r>
      <w:r w:rsidRPr="00663312">
        <w:rPr>
          <w:i/>
        </w:rPr>
        <w:t>N</w:t>
      </w:r>
      <w:r>
        <w:t xml:space="preserve"> from year to year</w:t>
      </w:r>
      <w:r w:rsidR="00F67FB9">
        <w:t xml:space="preserve">. </w:t>
      </w:r>
    </w:p>
    <w:p w:rsidR="00557F6C" w:rsidRDefault="00557F6C" w:rsidP="005E4F1C">
      <w:r>
        <w:t xml:space="preserve">… Survival is an important parameter when estimating viability of an endangered species.  Because the model does not differentiate between bears that die and bears that move off the study area permanently or bears that were there but never caught again, the survival parameter is referred as “apparent survival” (φ).  </w:t>
      </w:r>
    </w:p>
    <w:p w:rsidR="000E2E89" w:rsidRPr="000E2E89" w:rsidRDefault="000E2E89" w:rsidP="005E4F1C">
      <w:r>
        <w:tab/>
      </w:r>
      <w:r w:rsidR="00095F95">
        <w:t>I modeled each of the parameters based on bear biology and previously found results from Lowe (2011).  Typically males and females have different probabilities of surviving and φ can change over time.  Therefore, I modeled φ with a sex effect and a time effect.  Lowe (2011) found there was heterogeneity</w:t>
      </w:r>
      <w:r w:rsidR="000D2E77">
        <w:t xml:space="preserve"> in the population</w:t>
      </w:r>
      <w:r w:rsidR="00095F95">
        <w:t xml:space="preserve">.  I modeled π as constant, by sex, and over time.  </w:t>
      </w:r>
      <w:r w:rsidR="006B337C">
        <w:t xml:space="preserve">I modeled </w:t>
      </w:r>
      <w:r w:rsidR="006B337C" w:rsidRPr="006B337C">
        <w:rPr>
          <w:i/>
        </w:rPr>
        <w:t>p</w:t>
      </w:r>
      <w:r w:rsidR="006B337C">
        <w:t xml:space="preserve"> as constant, with a heterogeneity effect, a sex effect, and over time.  </w:t>
      </w:r>
      <w:r w:rsidRPr="006B337C">
        <w:t>Because</w:t>
      </w:r>
      <w:r>
        <w:t xml:space="preserve"> of the bait and scent lure at the site, I expected there to be a behavioral effect in </w:t>
      </w:r>
      <w:r>
        <w:rPr>
          <w:i/>
        </w:rPr>
        <w:t>c</w:t>
      </w:r>
      <w:r>
        <w:t xml:space="preserve">, i.e., bears would have a positive response to being captured.  This effect was shown in Lowe’s (2011) study. </w:t>
      </w:r>
      <w:r w:rsidR="008D36C6">
        <w:t xml:space="preserve"> </w:t>
      </w:r>
    </w:p>
    <w:p w:rsidR="00D431D5" w:rsidRDefault="00D431D5" w:rsidP="00D431D5">
      <w:pPr>
        <w:spacing w:before="240"/>
        <w:ind w:firstLine="720"/>
      </w:pPr>
      <w:r>
        <w:t xml:space="preserve">Parameters estimated by models in Program MARK </w:t>
      </w:r>
      <w:r w:rsidR="00FE3996">
        <w:t>are</w:t>
      </w:r>
      <w:r>
        <w:t xml:space="preserve"> based on Maximum Likelihood Estimators (MLE).  I created these models based on </w:t>
      </w:r>
      <w:r>
        <w:rPr>
          <w:i/>
        </w:rPr>
        <w:t xml:space="preserve">a priori </w:t>
      </w:r>
      <w:r>
        <w:t xml:space="preserve">selection.  I </w:t>
      </w:r>
      <w:r w:rsidRPr="000C7513">
        <w:t>use</w:t>
      </w:r>
      <w:r>
        <w:t>d</w:t>
      </w:r>
      <w:r w:rsidRPr="000C7513">
        <w:t xml:space="preserve"> Akaike’s </w:t>
      </w:r>
      <w:r w:rsidRPr="000C7513">
        <w:lastRenderedPageBreak/>
        <w:t>Inform</w:t>
      </w:r>
      <w:r>
        <w:t>ation Criterion (AIC, Burnham and Anderson 2002) to choose among the different models.  AIC values were calculated using both the likelihood function (i.e. how well the model fits the data) and the number of parameters in the model (i.e. how simple the model is).  AIC weights were calculated from AIC values to show how much support was given to an individual model compared to the other models.  I chose models with the lowest AIC value and the highest AIC weight as my top models.</w:t>
      </w:r>
      <w:r w:rsidR="002571F7">
        <w:t xml:space="preserve">  In the case of multiple top models, i.e., models with similar AIC weights, I used all models to model averaging and obtain parameter estimates.  With model averaging, models with higher weight have more influence in the calculation.   I used Beta (β), or the slope of the effect being modeled on the parameter, to assess significance.  If the confidence interval for β included 0 then there was no slope and the effect was considered not significant; if the confidence interval did not include 0, then the effect had a slope and was considered significant.  </w:t>
      </w:r>
    </w:p>
    <w:p w:rsidR="004C087E" w:rsidRDefault="004C087E" w:rsidP="00D431D5">
      <w:pPr>
        <w:spacing w:before="240"/>
        <w:ind w:firstLine="720"/>
      </w:pPr>
      <w:r>
        <w:t>To calculate an over-all parameter estimate, when appropriate,</w:t>
      </w:r>
      <w:r w:rsidR="006B337C">
        <w:t xml:space="preserve"> I </w:t>
      </w:r>
      <w:r>
        <w:t xml:space="preserve">calculated the mean of the estimate and </w:t>
      </w:r>
      <w:r w:rsidR="006B337C">
        <w:t xml:space="preserve">used the Delta method </w:t>
      </w:r>
      <w:r w:rsidR="00230E20">
        <w:t xml:space="preserve">for independent variables </w:t>
      </w:r>
      <w:r>
        <w:t xml:space="preserve">to calculate </w:t>
      </w:r>
      <w:r w:rsidR="006B337C">
        <w:t xml:space="preserve">respective variances. </w:t>
      </w:r>
      <w:r>
        <w:t xml:space="preserve"> </w:t>
      </w:r>
      <w:r w:rsidR="00602760">
        <w:t xml:space="preserve">This method was used for π, φ, and </w:t>
      </w:r>
      <w:r w:rsidR="00602760">
        <w:rPr>
          <w:i/>
        </w:rPr>
        <w:t>N</w:t>
      </w:r>
      <w:r w:rsidR="00602760">
        <w:t xml:space="preserve">.  </w:t>
      </w:r>
      <w:r w:rsidR="002C5CC9">
        <w:t xml:space="preserve">Overall </w:t>
      </w:r>
      <w:r w:rsidR="002C5CC9">
        <w:rPr>
          <w:i/>
        </w:rPr>
        <w:t xml:space="preserve">p, </w:t>
      </w:r>
      <w:r w:rsidR="002C5CC9">
        <w:t>or</w:t>
      </w:r>
      <m:oMath>
        <m:acc>
          <m:accPr>
            <m:chr m:val="̅"/>
            <m:ctrlPr>
              <w:rPr>
                <w:rFonts w:ascii="Cambria Math" w:hAnsi="Cambria Math"/>
                <w:i/>
                <w:vertAlign w:val="subscript"/>
              </w:rPr>
            </m:ctrlPr>
          </m:accPr>
          <m:e>
            <m:r>
              <w:rPr>
                <w:rFonts w:ascii="Cambria Math" w:hAnsi="Cambria Math"/>
                <w:vertAlign w:val="subscript"/>
              </w:rPr>
              <m:t xml:space="preserve"> p</m:t>
            </m:r>
          </m:e>
        </m:acc>
      </m:oMath>
      <w:r w:rsidR="002C5CC9">
        <w:t xml:space="preserve">, was calculated by multiplying each mixture (π) by its respective </w:t>
      </w:r>
      <w:r w:rsidR="002C5CC9">
        <w:rPr>
          <w:i/>
        </w:rPr>
        <w:t>p</w:t>
      </w:r>
      <w:r w:rsidR="002C5CC9">
        <w:t xml:space="preserve"> (</w:t>
      </w:r>
      <m:oMath>
        <m:sSub>
          <m:sSubPr>
            <m:ctrlPr>
              <w:rPr>
                <w:rFonts w:ascii="Cambria Math" w:hAnsi="Cambria Math"/>
                <w:i/>
                <w:vertAlign w:val="subscript"/>
              </w:rPr>
            </m:ctrlPr>
          </m:sSubPr>
          <m:e>
            <m:r>
              <m:rPr>
                <m:sty m:val="p"/>
              </m:rPr>
              <w:rPr>
                <w:rFonts w:ascii="Cambria Math" w:hAnsi="Cambria Math"/>
                <w:vertAlign w:val="subscript"/>
              </w:rPr>
              <m:t>p</m:t>
            </m:r>
          </m:e>
          <m:sub>
            <m:r>
              <w:rPr>
                <w:rFonts w:ascii="Cambria Math" w:hAnsi="Cambria Math"/>
                <w:vertAlign w:val="subscript"/>
              </w:rPr>
              <m:t>a</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rPr>
              <m:t>π</m:t>
            </m:r>
          </m:e>
          <m:sub>
            <m:r>
              <w:rPr>
                <w:rFonts w:ascii="Cambria Math" w:hAnsi="Cambria Math"/>
                <w:vertAlign w:val="subscript"/>
              </w:rPr>
              <m:t>a</m:t>
            </m:r>
          </m:sub>
        </m:sSub>
        <m:r>
          <w:rPr>
            <w:rFonts w:ascii="Cambria Math" w:hAnsi="Cambria Math"/>
            <w:vertAlign w:val="subscript"/>
          </w:rPr>
          <m:t xml:space="preserve">+ </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b</m:t>
            </m:r>
          </m:sub>
        </m:sSub>
        <m:r>
          <w:rPr>
            <w:rFonts w:ascii="Cambria Math" w:hAnsi="Cambria Math"/>
            <w:vertAlign w:val="subscript"/>
          </w:rPr>
          <m:t xml:space="preserve">* </m:t>
        </m:r>
        <m:sSub>
          <m:sSubPr>
            <m:ctrlPr>
              <w:rPr>
                <w:rFonts w:ascii="Cambria Math" w:hAnsi="Cambria Math"/>
                <w:i/>
                <w:vertAlign w:val="subscript"/>
              </w:rPr>
            </m:ctrlPr>
          </m:sSubPr>
          <m:e>
            <m:r>
              <w:rPr>
                <w:rFonts w:ascii="Cambria Math" w:hAnsi="Cambria Math"/>
              </w:rPr>
              <m:t>(1-π</m:t>
            </m:r>
          </m:e>
          <m:sub>
            <m:r>
              <w:rPr>
                <w:rFonts w:ascii="Cambria Math" w:hAnsi="Cambria Math"/>
                <w:vertAlign w:val="subscript"/>
              </w:rPr>
              <m:t>a</m:t>
            </m:r>
          </m:sub>
        </m:sSub>
        <m:r>
          <w:rPr>
            <w:rFonts w:ascii="Cambria Math" w:hAnsi="Cambria Math"/>
            <w:vertAlign w:val="subscript"/>
          </w:rPr>
          <m:t>)</m:t>
        </m:r>
      </m:oMath>
      <w:r w:rsidR="002C5CC9">
        <w:t xml:space="preserve">).  For the variance I used the Delta method for non-independent variances: </w:t>
      </w:r>
    </w:p>
    <w:p w:rsidR="002C5CC9" w:rsidRDefault="00230E20" w:rsidP="00D431D5">
      <w:pPr>
        <w:spacing w:before="240"/>
        <w:ind w:firstLine="720"/>
      </w:pPr>
      <w:r>
        <w:tab/>
      </w:r>
      <m:oMath>
        <m:r>
          <w:rPr>
            <w:rFonts w:ascii="Cambria Math" w:hAnsi="Cambria Math"/>
          </w:rPr>
          <m:t>var</m:t>
        </m:r>
        <m:d>
          <m:dPr>
            <m:ctrlPr>
              <w:rPr>
                <w:rFonts w:ascii="Cambria Math" w:hAnsi="Cambria Math"/>
                <w:i/>
              </w:rPr>
            </m:ctrlPr>
          </m:dPr>
          <m:e>
            <m:acc>
              <m:accPr>
                <m:chr m:val="̅"/>
                <m:ctrlPr>
                  <w:rPr>
                    <w:rFonts w:ascii="Cambria Math" w:hAnsi="Cambria Math"/>
                    <w:i/>
                  </w:rPr>
                </m:ctrlPr>
              </m:accPr>
              <m:e>
                <m:r>
                  <w:rPr>
                    <w:rFonts w:ascii="Cambria Math" w:hAnsi="Cambria Math"/>
                  </w:rPr>
                  <m:t>p</m:t>
                </m:r>
              </m:e>
            </m:acc>
          </m:e>
        </m:d>
        <m:r>
          <w:rPr>
            <w:rFonts w:ascii="Cambria Math" w:hAnsi="Cambria Math"/>
          </w:rPr>
          <m:t>=2cov</m:t>
        </m:r>
        <m:d>
          <m:dPr>
            <m:ctrlPr>
              <w:rPr>
                <w:rFonts w:ascii="Cambria Math" w:hAnsi="Cambria Math"/>
                <w:i/>
              </w:rPr>
            </m:ctrlPr>
          </m:dPr>
          <m:e>
            <m:r>
              <w:rPr>
                <w:rFonts w:ascii="Cambria Math" w:hAnsi="Cambria Math"/>
              </w:rPr>
              <m:t>π,</m:t>
            </m:r>
            <m:sSub>
              <m:sSubPr>
                <m:ctrlPr>
                  <w:rPr>
                    <w:rFonts w:ascii="Cambria Math" w:hAnsi="Cambria Math"/>
                    <w:i/>
                  </w:rPr>
                </m:ctrlPr>
              </m:sSubPr>
              <m:e>
                <m:r>
                  <w:rPr>
                    <w:rFonts w:ascii="Cambria Math" w:hAnsi="Cambria Math"/>
                  </w:rPr>
                  <m:t>p</m:t>
                </m:r>
              </m:e>
              <m:sub>
                <m:r>
                  <w:rPr>
                    <w:rFonts w:ascii="Cambria Math" w:hAnsi="Cambria Math"/>
                  </w:rPr>
                  <m:t>a</m:t>
                </m:r>
              </m:sub>
            </m:sSub>
          </m:e>
        </m:d>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e>
        </m:d>
        <m:r>
          <w:rPr>
            <w:rFonts w:ascii="Cambria Math" w:hAnsi="Cambria Math"/>
          </w:rPr>
          <m:t>+ 2cov</m:t>
        </m:r>
        <m:d>
          <m:dPr>
            <m:ctrlPr>
              <w:rPr>
                <w:rFonts w:ascii="Cambria Math" w:hAnsi="Cambria Math"/>
                <w:i/>
              </w:rPr>
            </m:ctrlPr>
          </m:dPr>
          <m:e>
            <m:r>
              <w:rPr>
                <w:rFonts w:ascii="Cambria Math" w:hAnsi="Cambria Math"/>
              </w:rPr>
              <m:t xml:space="preserve">π, </m:t>
            </m:r>
            <m:sSub>
              <m:sSubPr>
                <m:ctrlPr>
                  <w:rPr>
                    <w:rFonts w:ascii="Cambria Math" w:hAnsi="Cambria Math"/>
                    <w:i/>
                  </w:rPr>
                </m:ctrlPr>
              </m:sSubPr>
              <m:e>
                <m:r>
                  <w:rPr>
                    <w:rFonts w:ascii="Cambria Math" w:hAnsi="Cambria Math"/>
                  </w:rPr>
                  <m:t>p</m:t>
                </m:r>
              </m:e>
              <m:sub>
                <m:r>
                  <w:rPr>
                    <w:rFonts w:ascii="Cambria Math" w:hAnsi="Cambria Math"/>
                  </w:rPr>
                  <m:t>b</m:t>
                </m:r>
              </m:sub>
            </m:sSub>
          </m:e>
        </m:d>
        <m:d>
          <m:dPr>
            <m:ctrlPr>
              <w:rPr>
                <w:rFonts w:ascii="Cambria Math" w:hAnsi="Cambria Math"/>
                <w:i/>
              </w:rPr>
            </m:ctrlPr>
          </m:dPr>
          <m:e>
            <m:r>
              <w:rPr>
                <w:rFonts w:ascii="Cambria Math" w:hAnsi="Cambria Math"/>
              </w:rPr>
              <m:t>1-π</m:t>
            </m:r>
          </m:e>
        </m:d>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e>
        </m:d>
        <m:r>
          <w:rPr>
            <w:rFonts w:ascii="Cambria Math" w:hAnsi="Cambria Math"/>
          </w:rPr>
          <m:t>+2cov</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e>
        </m:d>
        <m:d>
          <m:dPr>
            <m:ctrlPr>
              <w:rPr>
                <w:rFonts w:ascii="Cambria Math" w:hAnsi="Cambria Math"/>
                <w:i/>
              </w:rPr>
            </m:ctrlPr>
          </m:dPr>
          <m:e>
            <m:r>
              <w:rPr>
                <w:rFonts w:ascii="Cambria Math" w:hAnsi="Cambria Math"/>
              </w:rPr>
              <m:t xml:space="preserve">π </m:t>
            </m:r>
            <m:d>
              <m:dPr>
                <m:ctrlPr>
                  <w:rPr>
                    <w:rFonts w:ascii="Cambria Math" w:hAnsi="Cambria Math"/>
                    <w:i/>
                  </w:rPr>
                </m:ctrlPr>
              </m:dPr>
              <m:e>
                <m:r>
                  <w:rPr>
                    <w:rFonts w:ascii="Cambria Math" w:hAnsi="Cambria Math"/>
                  </w:rPr>
                  <m:t>1-π</m:t>
                </m:r>
              </m:e>
            </m:d>
          </m:e>
        </m:d>
        <m:r>
          <w:rPr>
            <w:rFonts w:ascii="Cambria Math" w:hAnsi="Cambria Math"/>
          </w:rPr>
          <m:t>+var</m:t>
        </m:r>
        <m:d>
          <m:dPr>
            <m:ctrlPr>
              <w:rPr>
                <w:rFonts w:ascii="Cambria Math" w:hAnsi="Cambria Math"/>
                <w:i/>
              </w:rPr>
            </m:ctrlPr>
          </m:dPr>
          <m:e>
            <m:r>
              <w:rPr>
                <w:rFonts w:ascii="Cambria Math" w:hAnsi="Cambria Math"/>
              </w:rPr>
              <m:t>π</m:t>
            </m:r>
          </m:e>
        </m:d>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b</m:t>
                    </m:r>
                  </m:sub>
                </m:sSub>
              </m:e>
            </m:d>
          </m:e>
          <m:sup>
            <m:r>
              <w:rPr>
                <w:rFonts w:ascii="Cambria Math" w:hAnsi="Cambria Math"/>
              </w:rPr>
              <m:t>2</m:t>
            </m:r>
          </m:sup>
        </m:sSup>
        <m:r>
          <w:rPr>
            <w:rFonts w:ascii="Cambria Math" w:hAnsi="Cambria Math"/>
          </w:rPr>
          <m:t>+ var</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d>
          <m:dPr>
            <m:ctrlPr>
              <w:rPr>
                <w:rFonts w:ascii="Cambria Math" w:hAnsi="Cambria Math"/>
                <w:i/>
              </w:rPr>
            </m:ctrlPr>
          </m:dPr>
          <m:e>
            <m:sSup>
              <m:sSupPr>
                <m:ctrlPr>
                  <w:rPr>
                    <w:rFonts w:ascii="Cambria Math" w:hAnsi="Cambria Math"/>
                    <w:i/>
                  </w:rPr>
                </m:ctrlPr>
              </m:sSupPr>
              <m:e>
                <m:r>
                  <w:rPr>
                    <w:rFonts w:ascii="Cambria Math" w:hAnsi="Cambria Math"/>
                  </w:rPr>
                  <m:t>π</m:t>
                </m:r>
              </m:e>
              <m:sup>
                <m:r>
                  <w:rPr>
                    <w:rFonts w:ascii="Cambria Math" w:hAnsi="Cambria Math"/>
                  </w:rPr>
                  <m:t>2</m:t>
                </m:r>
              </m:sup>
            </m:sSup>
          </m:e>
        </m:d>
        <m:r>
          <w:rPr>
            <w:rFonts w:ascii="Cambria Math" w:hAnsi="Cambria Math"/>
          </w:rPr>
          <m:t>+var</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e>
        </m:d>
        <m:sSup>
          <m:sSupPr>
            <m:ctrlPr>
              <w:rPr>
                <w:rFonts w:ascii="Cambria Math" w:hAnsi="Cambria Math"/>
                <w:i/>
              </w:rPr>
            </m:ctrlPr>
          </m:sSupPr>
          <m:e>
            <m:d>
              <m:dPr>
                <m:ctrlPr>
                  <w:rPr>
                    <w:rFonts w:ascii="Cambria Math" w:hAnsi="Cambria Math"/>
                    <w:i/>
                  </w:rPr>
                </m:ctrlPr>
              </m:dPr>
              <m:e>
                <m:r>
                  <w:rPr>
                    <w:rFonts w:ascii="Cambria Math" w:hAnsi="Cambria Math"/>
                  </w:rPr>
                  <m:t>π-1</m:t>
                </m:r>
              </m:e>
            </m:d>
          </m:e>
          <m:sup>
            <m:r>
              <w:rPr>
                <w:rFonts w:ascii="Cambria Math" w:hAnsi="Cambria Math"/>
              </w:rPr>
              <m:t>2</m:t>
            </m:r>
          </m:sup>
        </m:sSup>
      </m:oMath>
    </w:p>
    <w:p w:rsidR="002C5CC9" w:rsidRDefault="00F67FB9" w:rsidP="002C5CC9">
      <w:pPr>
        <w:spacing w:before="240"/>
      </w:pPr>
      <w:r>
        <w:t xml:space="preserve">Growth rates, λ, were calculated using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t-1</m:t>
            </m:r>
          </m:sub>
        </m:sSub>
      </m:oMath>
      <w:r>
        <w:t xml:space="preserve">.  The </w:t>
      </w:r>
      <w:r w:rsidR="00230E20">
        <w:t>variances for λ were</w:t>
      </w:r>
      <w:r>
        <w:t xml:space="preserve"> calculated using</w:t>
      </w:r>
      <w:r w:rsidR="00230E20">
        <w:t xml:space="preserve">: </w:t>
      </w:r>
    </w:p>
    <w:p w:rsidR="00230E20" w:rsidRPr="00602760" w:rsidRDefault="00230E20" w:rsidP="002C5CC9">
      <w:pPr>
        <w:spacing w:before="240"/>
      </w:pPr>
      <m:oMathPara>
        <m:oMath>
          <m:r>
            <w:rPr>
              <w:rFonts w:ascii="Cambria Math" w:hAnsi="Cambria Math"/>
            </w:rPr>
            <m:t xml:space="preserve">var </m:t>
          </m:r>
          <m:d>
            <m:dPr>
              <m:ctrlPr>
                <w:rPr>
                  <w:rFonts w:ascii="Cambria Math" w:hAnsi="Cambria Math"/>
                  <w:i/>
                </w:rPr>
              </m:ctrlPr>
            </m:dPr>
            <m:e>
              <m:r>
                <w:rPr>
                  <w:rFonts w:ascii="Cambria Math" w:hAnsi="Cambria Math"/>
                </w:rPr>
                <m:t>λ</m:t>
              </m:r>
            </m:e>
          </m:d>
          <m:r>
            <w:rPr>
              <w:rFonts w:ascii="Cambria Math" w:hAnsi="Cambria Math"/>
            </w:rPr>
            <m:t xml:space="preserve">= </m:t>
          </m:r>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 var(</m:t>
          </m:r>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N</m:t>
                  </m:r>
                </m:e>
                <m:sub>
                  <m:r>
                    <w:rPr>
                      <w:rFonts w:ascii="Cambria Math" w:hAnsi="Cambria Math"/>
                    </w:rPr>
                    <m:t>t-1</m:t>
                  </m:r>
                </m:sub>
              </m:sSub>
              <m:r>
                <w:rPr>
                  <w:rFonts w:ascii="Cambria Math" w:hAnsi="Cambria Math"/>
                </w:rPr>
                <m:t>)</m:t>
              </m:r>
            </m:e>
            <m:sup>
              <m:r>
                <w:rPr>
                  <w:rFonts w:ascii="Cambria Math" w:hAnsi="Cambria Math"/>
                </w:rPr>
                <m:t>2</m:t>
              </m:r>
            </m:sup>
          </m:sSup>
          <m:r>
            <w:rPr>
              <w:rFonts w:ascii="Cambria Math" w:hAnsi="Cambria Math"/>
            </w:rPr>
            <m:t>+va</m:t>
          </m:r>
          <m:r>
            <w:rPr>
              <w:rFonts w:ascii="Cambria Math" w:hAnsi="Cambria Math"/>
            </w:rPr>
            <m:t>r(</m:t>
          </m:r>
          <m:sSub>
            <m:sSubPr>
              <m:ctrlPr>
                <w:rPr>
                  <w:rFonts w:ascii="Cambria Math" w:hAnsi="Cambria Math"/>
                  <w:i/>
                </w:rPr>
              </m:ctrlPr>
            </m:sSubPr>
            <m:e>
              <m:r>
                <w:rPr>
                  <w:rFonts w:ascii="Cambria Math" w:hAnsi="Cambria Math"/>
                </w:rPr>
                <m:t>N</m:t>
              </m:r>
            </m:e>
            <m:sub>
              <m:r>
                <w:rPr>
                  <w:rFonts w:ascii="Cambria Math" w:hAnsi="Cambria Math"/>
                </w:rPr>
                <m:t>t-1</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e>
            <m:sup>
              <m:r>
                <w:rPr>
                  <w:rFonts w:ascii="Cambria Math" w:hAnsi="Cambria Math"/>
                </w:rPr>
                <m:t>2</m:t>
              </m:r>
            </m:sup>
          </m:sSup>
          <m:r>
            <w:rPr>
              <w:rFonts w:ascii="Cambria Math" w:hAnsi="Cambria Math"/>
            </w:rPr>
            <m:t>- 2cov(</m:t>
          </m:r>
          <m:r>
            <m:rPr>
              <m:sty m:val="p"/>
            </m:rPr>
            <w:rPr>
              <w:rFonts w:ascii="Cambria Math" w:hAnsi="Cambria Math"/>
            </w:rPr>
            <m:t>λ</m:t>
          </m:r>
          <m:r>
            <m:rPr>
              <m:sty m:val="p"/>
            </m:rPr>
            <w:rPr>
              <w:rFonts w:ascii="Cambria Math"/>
            </w:rPr>
            <m:t>)/(</m:t>
          </m:r>
          <m:sSub>
            <m:sSubPr>
              <m:ctrlPr>
                <w:rPr>
                  <w:rFonts w:ascii="Cambria Math" w:hAnsi="Cambria Math"/>
                </w:rPr>
              </m:ctrlPr>
            </m:sSubPr>
            <m:e>
              <m:r>
                <m:rPr>
                  <m:sty m:val="p"/>
                </m:rPr>
                <w:rPr>
                  <w:rFonts w:ascii="Cambria Math"/>
                </w:rPr>
                <m:t>N</m:t>
              </m:r>
            </m:e>
            <m:sub>
              <m:r>
                <m:rPr>
                  <m:sty m:val="p"/>
                </m:rPr>
                <w:rPr>
                  <w:rFonts w:ascii="Cambria Math"/>
                </w:rPr>
                <m:t>t</m:t>
              </m:r>
            </m:sub>
          </m:sSub>
          <m:r>
            <m:rPr>
              <m:sty m:val="p"/>
            </m:rPr>
            <w:rPr>
              <w:rFonts w:asci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t-1</m:t>
              </m:r>
            </m:sub>
          </m:sSub>
          <m:r>
            <m:rPr>
              <m:sty m:val="p"/>
            </m:rPr>
            <w:rPr>
              <w:rFonts w:ascii="Cambria Math" w:hAnsi="Cambria Math"/>
            </w:rPr>
            <m:t>)</m:t>
          </m:r>
        </m:oMath>
      </m:oMathPara>
    </w:p>
    <w:p w:rsidR="006B337C" w:rsidRDefault="006B337C" w:rsidP="00D431D5">
      <w:pPr>
        <w:spacing w:before="240"/>
        <w:ind w:firstLine="720"/>
        <w:rPr>
          <w:b/>
        </w:rPr>
      </w:pPr>
      <w:r>
        <w:lastRenderedPageBreak/>
        <w:t xml:space="preserve"> (INSERT EQUATION)</w:t>
      </w:r>
    </w:p>
    <w:p w:rsidR="00D51FDE" w:rsidRPr="00D51FDE" w:rsidRDefault="00D431D5" w:rsidP="00D51FDE">
      <w:pPr>
        <w:pStyle w:val="Heading3"/>
        <w:rPr>
          <w:rFonts w:ascii="Times New Roman" w:hAnsi="Times New Roman" w:cs="Times New Roman"/>
          <w:b w:val="0"/>
          <w:i/>
          <w:color w:val="auto"/>
        </w:rPr>
      </w:pPr>
      <w:bookmarkStart w:id="10" w:name="_Toc361839456"/>
      <w:r w:rsidRPr="00D51FDE">
        <w:rPr>
          <w:rFonts w:ascii="Times New Roman" w:hAnsi="Times New Roman" w:cs="Times New Roman"/>
          <w:b w:val="0"/>
          <w:i/>
          <w:color w:val="auto"/>
          <w:u w:val="single"/>
        </w:rPr>
        <w:t>Objective 2: Modeling affects of flooding on UARB</w:t>
      </w:r>
      <w:r w:rsidRPr="00D51FDE">
        <w:rPr>
          <w:rFonts w:ascii="Times New Roman" w:hAnsi="Times New Roman" w:cs="Times New Roman"/>
          <w:b w:val="0"/>
          <w:i/>
          <w:color w:val="auto"/>
        </w:rPr>
        <w:t>.</w:t>
      </w:r>
      <w:bookmarkEnd w:id="10"/>
    </w:p>
    <w:p w:rsidR="00D431D5" w:rsidRDefault="00D431D5" w:rsidP="00D431D5">
      <w:r>
        <w:t>I used a multi-state mark-recapture model</w:t>
      </w:r>
      <w:r w:rsidR="007C73AC">
        <w:t xml:space="preserve"> to evaluate </w:t>
      </w:r>
      <w:r w:rsidR="006B337C">
        <w:t>flooding effects by</w:t>
      </w:r>
      <w:r w:rsidR="007C73AC">
        <w:t xml:space="preserve"> using estimates and changes of Ψ before, during, and after the opening of the Morganza spillway</w:t>
      </w:r>
      <w:r>
        <w:t xml:space="preserve">.  My study area consisted of three different areas, Fordoche, Batchelor, and the Spillway </w:t>
      </w:r>
      <w:r w:rsidRPr="003954B5">
        <w:t>(</w:t>
      </w:r>
      <w:r w:rsidR="00323FA5">
        <w:t>Fig.</w:t>
      </w:r>
      <w:r w:rsidRPr="003954B5">
        <w:t xml:space="preserve"> 7</w:t>
      </w:r>
      <w:r>
        <w:t>), that were somewhat isolated by levees and highways, but bears are known to move between them.  I considered these three areas as three separate “states” between which bears could move freely.  Transition</w:t>
      </w:r>
      <w:r w:rsidR="007C73AC">
        <w:t>s</w:t>
      </w:r>
      <w:r>
        <w:t xml:space="preserve"> can be defined as</w:t>
      </w:r>
      <w:r w:rsidR="007C73AC">
        <w:t xml:space="preserve"> the rate at which</w:t>
      </w:r>
      <w:r>
        <w:t xml:space="preserve"> animal</w:t>
      </w:r>
      <w:r w:rsidR="007C73AC">
        <w:t>s move</w:t>
      </w:r>
      <w:r>
        <w:t xml:space="preserve"> from one age </w:t>
      </w:r>
      <w:r w:rsidR="007C73AC">
        <w:t>class to another,</w:t>
      </w:r>
      <w:r>
        <w:t xml:space="preserve"> </w:t>
      </w:r>
      <w:r w:rsidR="007C73AC">
        <w:t xml:space="preserve">move </w:t>
      </w:r>
      <w:r>
        <w:t xml:space="preserve">through reproductive stages (e.g., from having cubs, to having yearlings, to having </w:t>
      </w:r>
      <w:r w:rsidR="007C73AC">
        <w:t>no young), or animals physical movements</w:t>
      </w:r>
      <w:r>
        <w:t xml:space="preserve"> from one area to another, like migrating waterfowl </w:t>
      </w:r>
      <w:r w:rsidRPr="003B5C73">
        <w:t>(Arnason 1972,1973; Schwarz et</w:t>
      </w:r>
      <w:r>
        <w:t xml:space="preserve"> </w:t>
      </w:r>
      <w:r w:rsidRPr="003B5C73">
        <w:t>al.1993</w:t>
      </w:r>
      <w:r>
        <w:t xml:space="preserve">).  </w:t>
      </w:r>
      <w:r w:rsidRPr="002251B8">
        <w:t>I</w:t>
      </w:r>
      <w:r>
        <w:t xml:space="preserve"> estimated Ψ to infer movement in response to the flooding event.  I defined and estimated Ψ as the rates at which bears move between the three different “states” of my study area. I modeled φ as constant (.), differing by state, differing by sex, across time, and with a flood effect.  </w:t>
      </w:r>
    </w:p>
    <w:p w:rsidR="00D431D5" w:rsidRDefault="00C52FC1" w:rsidP="00D431D5">
      <w:pPr>
        <w:ind w:firstLine="720"/>
      </w:pPr>
      <w:r>
        <w:t>I</w:t>
      </w:r>
      <w:r w:rsidR="00D431D5">
        <w:t xml:space="preserve"> used the</w:t>
      </w:r>
      <w:r>
        <w:t xml:space="preserve"> same</w:t>
      </w:r>
      <w:r w:rsidR="00D431D5">
        <w:t xml:space="preserve"> Closed Robust Design Multi-Strata </w:t>
      </w:r>
      <w:r>
        <w:t xml:space="preserve">(CRDMS) </w:t>
      </w:r>
      <w:r w:rsidR="00D431D5">
        <w:t>Full Heterogeneity model to calculate</w:t>
      </w:r>
      <w:r>
        <w:t xml:space="preserve"> flooding effects as I did in objective 1 to get parameter estimates. </w:t>
      </w:r>
      <w:r w:rsidR="00D431D5">
        <w:t xml:space="preserve"> </w:t>
      </w:r>
      <w:r>
        <w:t xml:space="preserve">The CRDMS model estimates </w:t>
      </w:r>
      <w:r w:rsidR="00D431D5">
        <w:t xml:space="preserve">Ψ, φ, π, </w:t>
      </w:r>
      <w:r w:rsidR="00D431D5">
        <w:rPr>
          <w:i/>
        </w:rPr>
        <w:t xml:space="preserve">p, c, </w:t>
      </w:r>
      <w:r w:rsidR="00D431D5">
        <w:t xml:space="preserve">and </w:t>
      </w:r>
      <w:r w:rsidR="00D431D5">
        <w:rPr>
          <w:i/>
        </w:rPr>
        <w:t>N</w:t>
      </w:r>
      <w:r w:rsidR="00D431D5">
        <w:t xml:space="preserve"> for each of the different states.  The </w:t>
      </w:r>
      <w:r>
        <w:t>CRDMS model</w:t>
      </w:r>
      <w:r w:rsidR="00D431D5">
        <w:t xml:space="preserve"> has the same assumptions as the Closed Robust Design with addition of one: that each “state” is closed to movement during the secondary sampling period, i.e., movement between states during my 8 weeks of hair collection was prohibited.  </w:t>
      </w:r>
    </w:p>
    <w:p w:rsidR="00D431D5" w:rsidRPr="00315DBC" w:rsidRDefault="00C52FC1" w:rsidP="00D431D5">
      <w:pPr>
        <w:ind w:firstLine="720"/>
      </w:pPr>
      <w:r>
        <w:t xml:space="preserve">In addition to the effects modeled in Objective 1, </w:t>
      </w:r>
      <w:r w:rsidR="00D431D5">
        <w:t xml:space="preserve">I created models based on 4 </w:t>
      </w:r>
      <w:r w:rsidR="00D431D5">
        <w:rPr>
          <w:i/>
        </w:rPr>
        <w:t>a prior</w:t>
      </w:r>
      <w:r w:rsidR="00D431D5">
        <w:t xml:space="preserve"> hypotheses based on possible bear response to the flooding event and changes in parameters for </w:t>
      </w:r>
      <w:r w:rsidR="00D431D5">
        <w:lastRenderedPageBreak/>
        <w:t>each response.  Using the change in the estimates, Ψ</w:t>
      </w:r>
      <w:r>
        <w:t xml:space="preserve">, </w:t>
      </w:r>
      <w:r>
        <w:rPr>
          <w:i/>
        </w:rPr>
        <w:t>p</w:t>
      </w:r>
      <w:r>
        <w:t>,</w:t>
      </w:r>
      <w:r w:rsidR="00D431D5">
        <w:t xml:space="preserve"> and φ, before, during, and after the flooding event, I tested my hypotheses of bear movement.</w:t>
      </w:r>
    </w:p>
    <w:p w:rsidR="00D431D5" w:rsidRDefault="00D431D5" w:rsidP="00D431D5">
      <w:r>
        <w:rPr>
          <w:i/>
        </w:rPr>
        <w:tab/>
      </w:r>
      <w:r>
        <w:rPr>
          <w:i/>
          <w:u w:val="single"/>
        </w:rPr>
        <w:t>Hypothesis 1:</w:t>
      </w:r>
      <w:r>
        <w:t xml:space="preserve"> If bears left the spillway during the flood and returned, Ψ would have increased from the flooded area (Spillway) to the non-flooded areas (Batchelor or Fordoche) from year 4 to 5 and increased from the non-flooded to flooded areas from year 5 to 6.  Because of bears moving into non-flooded areas, φ would have increased of the non-flooded areas during the flooding.  An increase in the number of bears in the non-flooded areas during year 5 would have decreased </w:t>
      </w:r>
      <w:r>
        <w:rPr>
          <w:i/>
        </w:rPr>
        <w:t>p.</w:t>
      </w:r>
      <w:r>
        <w:t xml:space="preserve">  </w:t>
      </w:r>
    </w:p>
    <w:p w:rsidR="00D431D5" w:rsidRDefault="00D431D5" w:rsidP="00D431D5">
      <w:pPr>
        <w:ind w:firstLine="720"/>
      </w:pPr>
      <w:r>
        <w:rPr>
          <w:i/>
          <w:u w:val="single"/>
        </w:rPr>
        <w:t>Hypothesis 2:</w:t>
      </w:r>
      <w:r>
        <w:t xml:space="preserve"> If bears left the spillway during the flood and did not return, there would have been an increase in Ψ from the flooded area (Spillway) to the non-flooded areas (Batchelor or Fordoche) from year 4 to 5.  Because bears did not return to the spillway after the flooding event, Ψ remained constant from the non-flooded areas to flooded areas.  Survival estimates in the flooded area would have decreased due to the bears moving out of the flooded areas for year 6.  An increase in the number of bears in the non-flooded areas during year 5 would have decreased </w:t>
      </w:r>
      <w:r>
        <w:rPr>
          <w:i/>
        </w:rPr>
        <w:t>p.</w:t>
      </w:r>
      <w:r>
        <w:t xml:space="preserve">  </w:t>
      </w:r>
    </w:p>
    <w:p w:rsidR="00D431D5" w:rsidRDefault="00D431D5" w:rsidP="00D431D5">
      <w:pPr>
        <w:ind w:firstLine="720"/>
      </w:pPr>
      <w:r>
        <w:rPr>
          <w:i/>
          <w:u w:val="single"/>
        </w:rPr>
        <w:t>Hypothesis 3:</w:t>
      </w:r>
      <w:r>
        <w:rPr>
          <w:i/>
        </w:rPr>
        <w:t xml:space="preserve"> </w:t>
      </w:r>
      <w:r>
        <w:t xml:space="preserve">Bears stayed in the spillway and did not survive the flooding event.  Transition rates are constant across all years and states.  Survival estimates in the non-flooded areas are constant across all years, but decreased in the flooded areas.  Parameters, Ψ, φ, and </w:t>
      </w:r>
      <w:r>
        <w:rPr>
          <w:i/>
        </w:rPr>
        <w:t xml:space="preserve">p </w:t>
      </w:r>
      <w:r>
        <w:t xml:space="preserve">in non-flooded areas showed no significant change across years.  </w:t>
      </w:r>
    </w:p>
    <w:p w:rsidR="00D431D5" w:rsidRDefault="00D431D5" w:rsidP="006E400E">
      <w:pPr>
        <w:ind w:firstLine="720"/>
      </w:pPr>
      <w:r>
        <w:rPr>
          <w:i/>
          <w:u w:val="single"/>
        </w:rPr>
        <w:t>Hypothesis 4:</w:t>
      </w:r>
      <w:r w:rsidRPr="005727C5">
        <w:rPr>
          <w:i/>
        </w:rPr>
        <w:t xml:space="preserve"> </w:t>
      </w:r>
      <w:r>
        <w:t xml:space="preserve">Bears stayed in the spillway during the flood and survived.  Parameters, Ψ, φ, and </w:t>
      </w:r>
      <w:r>
        <w:rPr>
          <w:i/>
        </w:rPr>
        <w:t>p</w:t>
      </w:r>
      <w:r>
        <w:t>, showed no significant change among flood and non-flooded area and across years.</w:t>
      </w:r>
    </w:p>
    <w:p w:rsidR="00D431D5" w:rsidRPr="00C52FC1" w:rsidRDefault="00C52FC1" w:rsidP="004947B1">
      <w:r>
        <w:tab/>
        <w:t xml:space="preserve">I evaluated the model fit based on AIC values and weights.  </w:t>
      </w:r>
    </w:p>
    <w:p w:rsidR="00D51FDE" w:rsidRPr="00D51FDE" w:rsidRDefault="007F4B51" w:rsidP="00D51FDE">
      <w:pPr>
        <w:pStyle w:val="Heading3"/>
        <w:rPr>
          <w:rFonts w:ascii="Times New Roman" w:hAnsi="Times New Roman" w:cs="Times New Roman"/>
          <w:b w:val="0"/>
          <w:i/>
          <w:color w:val="auto"/>
        </w:rPr>
      </w:pPr>
      <w:bookmarkStart w:id="11" w:name="_Toc361839457"/>
      <w:r w:rsidRPr="00D51FDE">
        <w:rPr>
          <w:rFonts w:ascii="Times New Roman" w:hAnsi="Times New Roman" w:cs="Times New Roman"/>
          <w:b w:val="0"/>
          <w:i/>
          <w:color w:val="auto"/>
          <w:u w:val="single"/>
        </w:rPr>
        <w:lastRenderedPageBreak/>
        <w:t>Objective 3: Comparison of 1-wire and 2-wire sampling systems.</w:t>
      </w:r>
      <w:bookmarkEnd w:id="11"/>
      <w:r w:rsidRPr="00D51FDE">
        <w:rPr>
          <w:rFonts w:ascii="Times New Roman" w:hAnsi="Times New Roman" w:cs="Times New Roman"/>
          <w:b w:val="0"/>
          <w:i/>
          <w:color w:val="auto"/>
          <w:u w:val="single"/>
        </w:rPr>
        <w:t xml:space="preserve"> </w:t>
      </w:r>
      <w:r w:rsidRPr="00D51FDE">
        <w:rPr>
          <w:rFonts w:ascii="Times New Roman" w:hAnsi="Times New Roman" w:cs="Times New Roman"/>
          <w:b w:val="0"/>
          <w:i/>
          <w:color w:val="auto"/>
        </w:rPr>
        <w:t xml:space="preserve"> </w:t>
      </w:r>
    </w:p>
    <w:p w:rsidR="007F4B51" w:rsidRDefault="007F4B51" w:rsidP="001017D7">
      <w:r>
        <w:t>In previous studies</w:t>
      </w:r>
      <w:r w:rsidR="00BB045B">
        <w:t xml:space="preserve"> in Louisiana</w:t>
      </w:r>
      <w:r>
        <w:t xml:space="preserve">, </w:t>
      </w:r>
      <w:r w:rsidR="006E400E">
        <w:t xml:space="preserve">trail cameras revealed large bears stepping over the 1-wire system creating a possible bias in our estimates.  In addition, </w:t>
      </w:r>
      <w:r w:rsidRPr="00B11E9C">
        <w:rPr>
          <w:i/>
        </w:rPr>
        <w:t>p</w:t>
      </w:r>
      <w:r>
        <w:t xml:space="preserve"> for male</w:t>
      </w:r>
      <w:r w:rsidR="00BB045B">
        <w:t xml:space="preserve"> bear</w:t>
      </w:r>
      <w:r>
        <w:t xml:space="preserve">s has been low </w:t>
      </w:r>
      <w:r w:rsidR="006E400E">
        <w:t>(Hooker 2010; Lowe 2011) which has been</w:t>
      </w:r>
      <w:r>
        <w:t xml:space="preserve"> known to result in poor precision and possibly bias in </w:t>
      </w:r>
      <w:r w:rsidRPr="00D169C6">
        <w:rPr>
          <w:i/>
        </w:rPr>
        <w:t>N</w:t>
      </w:r>
      <w:r w:rsidR="0029674D">
        <w:t xml:space="preserve"> (</w:t>
      </w:r>
      <w:r w:rsidR="0029674D" w:rsidRPr="00BB045B">
        <w:rPr>
          <w:highlight w:val="yellow"/>
        </w:rPr>
        <w:t>citation</w:t>
      </w:r>
      <w:r w:rsidR="0029674D">
        <w:t>)</w:t>
      </w:r>
      <w:r>
        <w:t xml:space="preserve">.  I </w:t>
      </w:r>
      <w:r w:rsidR="0029674D">
        <w:t>used</w:t>
      </w:r>
      <w:r>
        <w:t xml:space="preserve"> </w:t>
      </w:r>
      <w:r w:rsidR="0029674D">
        <w:t xml:space="preserve">the Robust Design full-heterogeneity model in Program Mark to compare estimates of </w:t>
      </w:r>
      <w:r w:rsidRPr="00A825C0">
        <w:rPr>
          <w:i/>
        </w:rPr>
        <w:t>p</w:t>
      </w:r>
      <w:r>
        <w:t xml:space="preserve"> </w:t>
      </w:r>
      <w:r w:rsidR="0029674D">
        <w:t xml:space="preserve">and π with </w:t>
      </w:r>
      <w:r w:rsidR="00FA4F42">
        <w:t>the 1-wire system (2007–2009</w:t>
      </w:r>
      <w:r w:rsidR="0029674D">
        <w:t>) versus</w:t>
      </w:r>
      <w:r>
        <w:t xml:space="preserve"> the 2-wire system </w:t>
      </w:r>
      <w:r w:rsidR="0029674D">
        <w:t>(</w:t>
      </w:r>
      <w:r>
        <w:t>2010–2012</w:t>
      </w:r>
      <w:r w:rsidR="0029674D">
        <w:t>).  I did this by creating model</w:t>
      </w:r>
      <w:r w:rsidR="006E400E">
        <w:t>s by grouping years associated with</w:t>
      </w:r>
      <w:r w:rsidR="0029674D">
        <w:t xml:space="preserve"> each respective sampling system</w:t>
      </w:r>
      <w:r w:rsidR="00FA4F42">
        <w:t xml:space="preserve"> and called this effect “wire”.  Then,</w:t>
      </w:r>
      <w:r w:rsidR="0029674D">
        <w:t xml:space="preserve"> compared those models with null models</w:t>
      </w:r>
      <w:r w:rsidR="00FA4F42">
        <w:t xml:space="preserve"> (i.e., models without the wire effect)</w:t>
      </w:r>
      <w:r w:rsidR="0029674D">
        <w:t xml:space="preserve"> based on AIC values and weights</w:t>
      </w:r>
      <w:r w:rsidR="006E400E">
        <w:t xml:space="preserve"> (</w:t>
      </w:r>
      <w:r w:rsidR="006E400E" w:rsidRPr="006E400E">
        <w:rPr>
          <w:highlight w:val="yellow"/>
        </w:rPr>
        <w:t>CITATION</w:t>
      </w:r>
      <w:r w:rsidR="006E400E">
        <w:t>)</w:t>
      </w:r>
      <w:r w:rsidR="0029674D">
        <w:t xml:space="preserve">.  </w:t>
      </w:r>
    </w:p>
    <w:p w:rsidR="001017D7" w:rsidRPr="001017D7" w:rsidRDefault="001017D7" w:rsidP="001017D7">
      <w:pPr>
        <w:rPr>
          <w:b/>
        </w:rPr>
      </w:pPr>
      <w:r>
        <w:tab/>
        <w:t xml:space="preserve">My hypothesis was if the one-wire system was missing a portion of male bears, then individual </w:t>
      </w:r>
      <w:r>
        <w:rPr>
          <w:i/>
        </w:rPr>
        <w:t>p</w:t>
      </w:r>
      <w:r>
        <w:t xml:space="preserve"> for males would decrease. </w:t>
      </w:r>
      <w:r w:rsidR="002266B0">
        <w:t xml:space="preserve"> The decrease would be caused by more bears being caught than in previous years.  </w:t>
      </w:r>
      <w:r>
        <w:t xml:space="preserve">However, overall </w:t>
      </w:r>
      <w:r>
        <w:rPr>
          <w:i/>
        </w:rPr>
        <w:t>p</w:t>
      </w:r>
      <w:r>
        <w:t xml:space="preserve"> </w:t>
      </w:r>
      <w:r w:rsidR="00D46C68">
        <w:t>for males was</w:t>
      </w:r>
      <w:r>
        <w:t xml:space="preserve"> expected to increase.  Overall </w:t>
      </w:r>
      <w:r>
        <w:rPr>
          <w:i/>
        </w:rPr>
        <w:t xml:space="preserve">p, </w:t>
      </w:r>
      <w:r>
        <w:t>or</w:t>
      </w:r>
      <m:oMath>
        <m:acc>
          <m:accPr>
            <m:chr m:val="̅"/>
            <m:ctrlPr>
              <w:rPr>
                <w:rFonts w:ascii="Cambria Math" w:hAnsi="Cambria Math"/>
                <w:i/>
                <w:vertAlign w:val="subscript"/>
              </w:rPr>
            </m:ctrlPr>
          </m:accPr>
          <m:e>
            <m:r>
              <w:rPr>
                <w:rFonts w:ascii="Cambria Math" w:hAnsi="Cambria Math"/>
                <w:vertAlign w:val="subscript"/>
              </w:rPr>
              <m:t xml:space="preserve"> p</m:t>
            </m:r>
          </m:e>
        </m:acc>
      </m:oMath>
      <w:r>
        <w:t>, was calculated by multiplying</w:t>
      </w:r>
      <w:r w:rsidR="00D46C68">
        <w:t xml:space="preserve"> each mixture (π) by its respective </w:t>
      </w:r>
      <w:r w:rsidR="00D46C68">
        <w:rPr>
          <w:i/>
        </w:rPr>
        <w:t>p</w:t>
      </w:r>
      <w:r w:rsidR="00D46C68">
        <w:t xml:space="preserve"> (</w:t>
      </w:r>
      <m:oMath>
        <m:sSub>
          <m:sSubPr>
            <m:ctrlPr>
              <w:rPr>
                <w:rFonts w:ascii="Cambria Math" w:hAnsi="Cambria Math"/>
                <w:i/>
                <w:vertAlign w:val="subscript"/>
              </w:rPr>
            </m:ctrlPr>
          </m:sSubPr>
          <m:e>
            <m:r>
              <m:rPr>
                <m:sty m:val="p"/>
              </m:rPr>
              <w:rPr>
                <w:rFonts w:ascii="Cambria Math" w:hAnsi="Cambria Math"/>
                <w:vertAlign w:val="subscript"/>
              </w:rPr>
              <m:t>p</m:t>
            </m:r>
          </m:e>
          <m:sub>
            <m:r>
              <w:rPr>
                <w:rFonts w:ascii="Cambria Math" w:hAnsi="Cambria Math"/>
                <w:vertAlign w:val="subscript"/>
              </w:rPr>
              <m:t>a</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rPr>
              <m:t>π</m:t>
            </m:r>
          </m:e>
          <m:sub>
            <m:r>
              <w:rPr>
                <w:rFonts w:ascii="Cambria Math" w:hAnsi="Cambria Math"/>
                <w:vertAlign w:val="subscript"/>
              </w:rPr>
              <m:t>a</m:t>
            </m:r>
          </m:sub>
        </m:sSub>
        <m:r>
          <w:rPr>
            <w:rFonts w:ascii="Cambria Math" w:hAnsi="Cambria Math"/>
            <w:vertAlign w:val="subscript"/>
          </w:rPr>
          <m:t xml:space="preserve">+ </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b</m:t>
            </m:r>
          </m:sub>
        </m:sSub>
        <m:r>
          <w:rPr>
            <w:rFonts w:ascii="Cambria Math" w:hAnsi="Cambria Math"/>
            <w:vertAlign w:val="subscript"/>
          </w:rPr>
          <m:t xml:space="preserve">* </m:t>
        </m:r>
        <m:sSub>
          <m:sSubPr>
            <m:ctrlPr>
              <w:rPr>
                <w:rFonts w:ascii="Cambria Math" w:hAnsi="Cambria Math"/>
                <w:i/>
                <w:vertAlign w:val="subscript"/>
              </w:rPr>
            </m:ctrlPr>
          </m:sSubPr>
          <m:e>
            <m:r>
              <w:rPr>
                <w:rFonts w:ascii="Cambria Math" w:hAnsi="Cambria Math"/>
              </w:rPr>
              <m:t>π</m:t>
            </m:r>
          </m:e>
          <m:sub>
            <m:r>
              <w:rPr>
                <w:rFonts w:ascii="Cambria Math" w:hAnsi="Cambria Math"/>
                <w:vertAlign w:val="subscript"/>
              </w:rPr>
              <m:t>b</m:t>
            </m:r>
          </m:sub>
        </m:sSub>
      </m:oMath>
      <w:r w:rsidR="00D46C68">
        <w:t xml:space="preserve">).  Females </w:t>
      </w:r>
      <w:r w:rsidR="00D46C68">
        <w:rPr>
          <w:i/>
        </w:rPr>
        <w:t xml:space="preserve">p </w:t>
      </w:r>
      <w:r w:rsidR="00D46C68">
        <w:t>and</w:t>
      </w:r>
      <m:oMath>
        <m:r>
          <w:rPr>
            <w:rFonts w:ascii="Cambria Math" w:hAnsi="Cambria Math"/>
          </w:rPr>
          <m:t xml:space="preserve"> </m:t>
        </m:r>
        <m:acc>
          <m:accPr>
            <m:chr m:val="̅"/>
            <m:ctrlPr>
              <w:rPr>
                <w:rFonts w:ascii="Cambria Math" w:hAnsi="Cambria Math"/>
                <w:i/>
                <w:vertAlign w:val="subscript"/>
              </w:rPr>
            </m:ctrlPr>
          </m:accPr>
          <m:e>
            <m:r>
              <w:rPr>
                <w:rFonts w:ascii="Cambria Math" w:hAnsi="Cambria Math"/>
                <w:vertAlign w:val="subscript"/>
              </w:rPr>
              <m:t xml:space="preserve"> p</m:t>
            </m:r>
          </m:e>
        </m:acc>
      </m:oMath>
      <w:r w:rsidR="00D46C68">
        <w:t xml:space="preserve"> were not expect to change.  </w:t>
      </w:r>
    </w:p>
    <w:p w:rsidR="001C68E3" w:rsidRDefault="001C68E3">
      <w:pPr>
        <w:spacing w:line="276" w:lineRule="auto"/>
        <w:rPr>
          <w:rFonts w:eastAsiaTheme="majorEastAsia"/>
          <w:b/>
          <w:bCs/>
          <w:sz w:val="28"/>
          <w:szCs w:val="28"/>
        </w:rPr>
      </w:pPr>
      <w:r>
        <w:br w:type="page"/>
      </w:r>
    </w:p>
    <w:p w:rsidR="00883639" w:rsidRPr="00D51FDE" w:rsidRDefault="00E76DBE" w:rsidP="00D51FDE">
      <w:pPr>
        <w:pStyle w:val="Heading1"/>
        <w:jc w:val="center"/>
        <w:rPr>
          <w:rFonts w:ascii="Times New Roman" w:hAnsi="Times New Roman" w:cs="Times New Roman"/>
          <w:b w:val="0"/>
          <w:color w:val="auto"/>
        </w:rPr>
      </w:pPr>
      <w:bookmarkStart w:id="12" w:name="_Toc361839458"/>
      <w:r>
        <w:rPr>
          <w:rFonts w:ascii="Times New Roman" w:hAnsi="Times New Roman" w:cs="Times New Roman"/>
          <w:color w:val="auto"/>
        </w:rPr>
        <w:t xml:space="preserve">Chapter 4: </w:t>
      </w:r>
      <w:r w:rsidR="007D3380" w:rsidRPr="00D51FDE">
        <w:rPr>
          <w:rFonts w:ascii="Times New Roman" w:hAnsi="Times New Roman" w:cs="Times New Roman"/>
          <w:color w:val="auto"/>
        </w:rPr>
        <w:t>Results</w:t>
      </w:r>
      <w:bookmarkEnd w:id="12"/>
    </w:p>
    <w:p w:rsidR="002F2455" w:rsidRPr="00D51FDE" w:rsidRDefault="002F2455" w:rsidP="00D51FDE">
      <w:pPr>
        <w:pStyle w:val="Heading2"/>
        <w:rPr>
          <w:rFonts w:ascii="Times New Roman" w:hAnsi="Times New Roman" w:cs="Times New Roman"/>
          <w:b w:val="0"/>
          <w:color w:val="auto"/>
          <w:sz w:val="24"/>
          <w:szCs w:val="24"/>
        </w:rPr>
      </w:pPr>
      <w:bookmarkStart w:id="13" w:name="_Toc361839459"/>
      <w:r w:rsidRPr="00D51FDE">
        <w:rPr>
          <w:rFonts w:ascii="Times New Roman" w:hAnsi="Times New Roman" w:cs="Times New Roman"/>
          <w:color w:val="auto"/>
          <w:sz w:val="24"/>
          <w:szCs w:val="24"/>
        </w:rPr>
        <w:t>Genetic analyses:</w:t>
      </w:r>
      <w:bookmarkEnd w:id="13"/>
    </w:p>
    <w:p w:rsidR="00FA5643" w:rsidRDefault="002F2455" w:rsidP="002F2455">
      <w:r>
        <w:tab/>
        <w:t>From 2007-2012, 12,088 hair samples were collected.  Of those,</w:t>
      </w:r>
      <w:r w:rsidR="007C6FBA">
        <w:t xml:space="preserve"> 2,046 were sub-selected to be genotyped; and</w:t>
      </w:r>
      <w:r>
        <w:t xml:space="preserve"> 1,422 were successfully genotyped to individual and 109 unique individuals </w:t>
      </w:r>
      <w:r w:rsidR="002D41A2">
        <w:t xml:space="preserve">(62F:47M) </w:t>
      </w:r>
      <w:r>
        <w:t xml:space="preserve">were identified.  </w:t>
      </w:r>
      <w:r w:rsidR="00E9585D">
        <w:t xml:space="preserve">From 2007-2011, WGI sub-selected 1 sample from 25 randomly selected sites.  </w:t>
      </w:r>
      <w:r w:rsidR="006302B3">
        <w:t xml:space="preserve">For 2010, 161 samples were successfully genotyped and assigned to </w:t>
      </w:r>
      <w:r w:rsidR="006079D7">
        <w:t xml:space="preserve">an </w:t>
      </w:r>
      <w:r w:rsidR="006302B3">
        <w:t xml:space="preserve">individual.  Those 161 samples produced 42 </w:t>
      </w:r>
      <w:r w:rsidR="002D41A2">
        <w:t>unique individuals (22F:20M</w:t>
      </w:r>
      <w:r w:rsidR="00E9585D">
        <w:t xml:space="preserve">). </w:t>
      </w:r>
      <w:r w:rsidR="006302B3">
        <w:t xml:space="preserve"> For 2011, 155 samples were assigned to 27 (16F:11M) unique individuals</w:t>
      </w:r>
      <w:r w:rsidR="00E9585D">
        <w:t xml:space="preserve">.  </w:t>
      </w:r>
    </w:p>
    <w:p w:rsidR="00A75199" w:rsidRDefault="006302B3" w:rsidP="00A75199">
      <w:pPr>
        <w:ind w:firstLine="720"/>
      </w:pPr>
      <w:r>
        <w:lastRenderedPageBreak/>
        <w:t xml:space="preserve">In 2012, </w:t>
      </w:r>
      <w:r w:rsidR="00E9585D">
        <w:t>I</w:t>
      </w:r>
      <w:r>
        <w:t xml:space="preserve"> increased the sub-sample size from 25 to 38</w:t>
      </w:r>
      <w:r w:rsidR="006E400E">
        <w:t xml:space="preserve"> per week</w:t>
      </w:r>
      <w:r w:rsidR="00E9585D">
        <w:t xml:space="preserve">.  This was done to </w:t>
      </w:r>
      <w:r w:rsidR="00DF0815">
        <w:t>increase the amount of data and hopefully causing an i</w:t>
      </w:r>
      <w:r w:rsidR="00E9585D">
        <w:t>ncrease</w:t>
      </w:r>
      <w:r w:rsidR="00DF0815">
        <w:t xml:space="preserve"> in</w:t>
      </w:r>
      <w:r w:rsidR="00E9585D">
        <w:t xml:space="preserve"> </w:t>
      </w:r>
      <w:r w:rsidR="00E9585D">
        <w:rPr>
          <w:i/>
        </w:rPr>
        <w:t>p</w:t>
      </w:r>
      <w:r>
        <w:t xml:space="preserve">.  </w:t>
      </w:r>
      <w:r w:rsidR="00E9585D">
        <w:t xml:space="preserve">For 2012, 252 samples were assigned to 61 individuals (39F:22M).  </w:t>
      </w:r>
      <w:r>
        <w:t xml:space="preserve">WGI </w:t>
      </w:r>
      <w:r w:rsidR="00B15C95">
        <w:t>analyzed</w:t>
      </w:r>
      <w:r>
        <w:t xml:space="preserve"> additional samples f</w:t>
      </w:r>
      <w:r w:rsidR="00B15C95">
        <w:t>rom each</w:t>
      </w:r>
      <w:r>
        <w:t xml:space="preserve"> previous year with </w:t>
      </w:r>
      <w:r w:rsidR="006E400E">
        <w:t>the</w:t>
      </w:r>
      <w:r>
        <w:t xml:space="preserve"> goal of 501</w:t>
      </w:r>
      <w:r w:rsidR="00B15C95">
        <w:t>samples</w:t>
      </w:r>
      <w:r>
        <w:t xml:space="preserve"> total being genotyped (2007 n=90, 2008 n=99, 2009 n=103, 2010 n=105, 2011 n=104).  </w:t>
      </w:r>
      <w:r w:rsidR="006E400E">
        <w:t>Consequently, t</w:t>
      </w:r>
      <w:r>
        <w:t xml:space="preserve">here were 409 additional samples genotyped and identified to </w:t>
      </w:r>
      <w:r w:rsidR="00FA5643">
        <w:t xml:space="preserve">79 (48F:31M) </w:t>
      </w:r>
      <w:r>
        <w:t>individual</w:t>
      </w:r>
      <w:r w:rsidR="00FA5643">
        <w:t>s</w:t>
      </w:r>
      <w:r w:rsidR="006E400E">
        <w:t>,</w:t>
      </w:r>
      <w:r w:rsidR="00FA5643">
        <w:t xml:space="preserve"> 72 were recaptures (44F:28M)</w:t>
      </w:r>
      <w:r w:rsidR="006E400E">
        <w:t>,</w:t>
      </w:r>
      <w:r w:rsidR="00FA5643">
        <w:t xml:space="preserve"> 2 (2F) were individuals originally identified in 2012 that were caught in a previous year</w:t>
      </w:r>
      <w:r w:rsidR="006E400E">
        <w:t>, and</w:t>
      </w:r>
      <w:r w:rsidR="00FA5643">
        <w:t xml:space="preserve"> 5 were </w:t>
      </w:r>
      <w:r w:rsidR="006E400E">
        <w:t>first time captures</w:t>
      </w:r>
      <w:r w:rsidR="00FA5643">
        <w:t xml:space="preserve"> (2F:3M). </w:t>
      </w:r>
      <w:r>
        <w:t xml:space="preserve">  </w:t>
      </w:r>
      <w:r w:rsidR="00E9585D">
        <w:t xml:space="preserve">The mean number of captures per individual was 13, with 1 bear (F) being caught 133 times and 20 bears being caught only once (11F:9M).  </w:t>
      </w:r>
    </w:p>
    <w:p w:rsidR="00882937" w:rsidRDefault="002F2455" w:rsidP="00882937">
      <w:pPr>
        <w:ind w:firstLine="720"/>
      </w:pPr>
      <w:r w:rsidRPr="009F583F">
        <w:rPr>
          <w:i/>
        </w:rPr>
        <w:t>P</w:t>
      </w:r>
      <w:r w:rsidRPr="009F583F">
        <w:rPr>
          <w:i/>
          <w:vertAlign w:val="subscript"/>
        </w:rPr>
        <w:t>sib</w:t>
      </w:r>
      <w:r>
        <w:t xml:space="preserve"> for each locus</w:t>
      </w:r>
      <w:r w:rsidR="00A75199">
        <w:t xml:space="preserve"> ranged from 0.39-0.47</w:t>
      </w:r>
      <w:r w:rsidR="00882937">
        <w:t xml:space="preserve"> (</w:t>
      </w:r>
      <w:r w:rsidR="00882937" w:rsidRPr="00882937">
        <w:rPr>
          <w:highlight w:val="yellow"/>
        </w:rPr>
        <w:t>TABLE</w:t>
      </w:r>
      <w:r w:rsidR="00882937">
        <w:t xml:space="preserve">).  </w:t>
      </w:r>
      <w:r w:rsidR="00882937" w:rsidRPr="00882937">
        <w:rPr>
          <w:i/>
        </w:rPr>
        <w:t>P</w:t>
      </w:r>
      <w:r w:rsidR="00882937">
        <w:rPr>
          <w:i/>
          <w:vertAlign w:val="subscript"/>
        </w:rPr>
        <w:t>ran</w:t>
      </w:r>
      <w:r w:rsidR="00882937">
        <w:rPr>
          <w:i/>
        </w:rPr>
        <w:t xml:space="preserve"> </w:t>
      </w:r>
      <w:r w:rsidR="00882937">
        <w:t>for</w:t>
      </w:r>
      <w:r w:rsidR="002B639F">
        <w:t xml:space="preserve"> all 7 loci was 1.3</w:t>
      </w:r>
      <w:r w:rsidR="009F583F">
        <w:t xml:space="preserve"> x 10</w:t>
      </w:r>
      <w:r w:rsidR="002C738A" w:rsidRPr="009F583F">
        <w:rPr>
          <w:vertAlign w:val="superscript"/>
        </w:rPr>
        <w:t>-</w:t>
      </w:r>
      <w:r w:rsidR="002B639F">
        <w:rPr>
          <w:vertAlign w:val="superscript"/>
        </w:rPr>
        <w:t>6</w:t>
      </w:r>
      <w:r w:rsidR="002C738A">
        <w:t>, i.e</w:t>
      </w:r>
      <w:r w:rsidR="002C738A" w:rsidRPr="002B639F">
        <w:t xml:space="preserve">., 1 in </w:t>
      </w:r>
      <w:r w:rsidR="002B639F">
        <w:t>769,231 chance of having two random individuals with the same genotype in the UARB population</w:t>
      </w:r>
      <w:r w:rsidR="002C738A">
        <w:t xml:space="preserve">.  </w:t>
      </w:r>
      <w:r w:rsidR="00882937" w:rsidRPr="009F583F">
        <w:rPr>
          <w:i/>
        </w:rPr>
        <w:t>P</w:t>
      </w:r>
      <w:r w:rsidR="00882937" w:rsidRPr="009F583F">
        <w:rPr>
          <w:i/>
          <w:vertAlign w:val="subscript"/>
        </w:rPr>
        <w:t>sib</w:t>
      </w:r>
      <w:r w:rsidR="009F583F">
        <w:t xml:space="preserve"> </w:t>
      </w:r>
      <w:r w:rsidR="00882937">
        <w:t>for</w:t>
      </w:r>
      <w:r w:rsidR="009F583F">
        <w:t xml:space="preserve"> all 7 loci was 3.</w:t>
      </w:r>
      <w:r w:rsidR="002B639F">
        <w:t>1</w:t>
      </w:r>
      <w:r w:rsidR="009F583F">
        <w:t xml:space="preserve"> x 10</w:t>
      </w:r>
      <w:r w:rsidR="002C738A" w:rsidRPr="009F583F">
        <w:rPr>
          <w:vertAlign w:val="superscript"/>
        </w:rPr>
        <w:t>-</w:t>
      </w:r>
      <w:r w:rsidR="002B639F">
        <w:rPr>
          <w:vertAlign w:val="superscript"/>
        </w:rPr>
        <w:t>3</w:t>
      </w:r>
      <w:r w:rsidR="002C738A">
        <w:t xml:space="preserve">, i.e., </w:t>
      </w:r>
      <w:r w:rsidR="002B639F">
        <w:t>1 in 322 chance of having two siblings with the same genotype in the UARB population</w:t>
      </w:r>
      <w:r w:rsidR="002C738A">
        <w:t xml:space="preserve">.   </w:t>
      </w:r>
    </w:p>
    <w:p w:rsidR="003E4D07" w:rsidRDefault="00F608DF" w:rsidP="00882937">
      <w:pPr>
        <w:ind w:firstLine="720"/>
      </w:pPr>
      <w:r>
        <w:t xml:space="preserve">I found no </w:t>
      </w:r>
      <w:r w:rsidR="006E400E">
        <w:t>loci that were not in</w:t>
      </w:r>
      <w:r w:rsidR="002A1425">
        <w:t xml:space="preserve"> </w:t>
      </w:r>
      <w:r w:rsidR="002C738A">
        <w:t>HWE (</w:t>
      </w:r>
      <w:r w:rsidR="002C738A" w:rsidRPr="009F583F">
        <w:rPr>
          <w:highlight w:val="yellow"/>
        </w:rPr>
        <w:t>TABLE</w:t>
      </w:r>
      <w:r w:rsidR="002C738A">
        <w:t>)</w:t>
      </w:r>
      <w:r>
        <w:t xml:space="preserve">, i.e., the observed and expected </w:t>
      </w:r>
      <w:r w:rsidR="00196AD9">
        <w:t>allele frequencies</w:t>
      </w:r>
      <w:r>
        <w:t xml:space="preserve"> did not differ from one another</w:t>
      </w:r>
      <w:r w:rsidR="002C738A">
        <w:t xml:space="preserve">.  The </w:t>
      </w:r>
      <w:r>
        <w:t xml:space="preserve">7 loci used </w:t>
      </w:r>
      <w:r w:rsidR="002A1425">
        <w:t xml:space="preserve">had </w:t>
      </w:r>
      <w:r w:rsidR="00882937">
        <w:t>mean H</w:t>
      </w:r>
      <w:r w:rsidR="00882937">
        <w:rPr>
          <w:vertAlign w:val="subscript"/>
        </w:rPr>
        <w:t>o</w:t>
      </w:r>
      <w:r>
        <w:t xml:space="preserve"> </w:t>
      </w:r>
      <w:r w:rsidR="002A1425">
        <w:t>ranging from 0.670 – 0.798</w:t>
      </w:r>
      <w:r w:rsidR="00196AD9">
        <w:t>,</w:t>
      </w:r>
      <w:r w:rsidR="002A1425">
        <w:t xml:space="preserve"> an overall mean H</w:t>
      </w:r>
      <w:r w:rsidR="002A1425">
        <w:rPr>
          <w:vertAlign w:val="subscript"/>
        </w:rPr>
        <w:t>o</w:t>
      </w:r>
      <w:r w:rsidR="002A1425">
        <w:t xml:space="preserve"> </w:t>
      </w:r>
      <w:r>
        <w:t>=</w:t>
      </w:r>
      <w:r w:rsidR="00882937">
        <w:t xml:space="preserve"> </w:t>
      </w:r>
      <w:r w:rsidR="006756B1">
        <w:t>0.727</w:t>
      </w:r>
      <w:r>
        <w:t xml:space="preserve"> (SE = 0.018)</w:t>
      </w:r>
      <w:r w:rsidR="00196AD9">
        <w:t>,</w:t>
      </w:r>
      <w:r>
        <w:t xml:space="preserve"> and a mean of 4.28 alleles per locus</w:t>
      </w:r>
      <w:r w:rsidR="00196AD9">
        <w:t xml:space="preserve"> (</w:t>
      </w:r>
      <w:r w:rsidR="00196AD9" w:rsidRPr="00196AD9">
        <w:rPr>
          <w:highlight w:val="yellow"/>
        </w:rPr>
        <w:t>TABLE</w:t>
      </w:r>
      <w:r w:rsidR="00196AD9">
        <w:t>)</w:t>
      </w:r>
      <w:r>
        <w:t xml:space="preserve">. </w:t>
      </w:r>
    </w:p>
    <w:p w:rsidR="006648F5" w:rsidRPr="00D51FDE" w:rsidRDefault="003E4D07" w:rsidP="00D51FDE">
      <w:pPr>
        <w:pStyle w:val="Heading2"/>
        <w:rPr>
          <w:rFonts w:ascii="Times New Roman" w:hAnsi="Times New Roman" w:cs="Times New Roman"/>
          <w:b w:val="0"/>
          <w:color w:val="auto"/>
          <w:sz w:val="24"/>
          <w:szCs w:val="24"/>
        </w:rPr>
      </w:pPr>
      <w:bookmarkStart w:id="14" w:name="_Toc361839460"/>
      <w:r w:rsidRPr="00D51FDE">
        <w:rPr>
          <w:rFonts w:ascii="Times New Roman" w:hAnsi="Times New Roman" w:cs="Times New Roman"/>
          <w:color w:val="auto"/>
          <w:sz w:val="24"/>
          <w:szCs w:val="24"/>
        </w:rPr>
        <w:t>Data analyses:</w:t>
      </w:r>
      <w:bookmarkEnd w:id="14"/>
    </w:p>
    <w:p w:rsidR="008D69B0" w:rsidRDefault="008D69B0" w:rsidP="00D51FDE">
      <w:pPr>
        <w:pStyle w:val="Heading3"/>
        <w:rPr>
          <w:rFonts w:ascii="Times New Roman" w:hAnsi="Times New Roman" w:cs="Times New Roman"/>
          <w:b w:val="0"/>
          <w:i/>
          <w:color w:val="auto"/>
          <w:u w:val="single"/>
        </w:rPr>
      </w:pPr>
      <w:bookmarkStart w:id="15" w:name="_Toc361839461"/>
      <w:r w:rsidRPr="00D51FDE">
        <w:rPr>
          <w:rFonts w:ascii="Times New Roman" w:hAnsi="Times New Roman" w:cs="Times New Roman"/>
          <w:b w:val="0"/>
          <w:i/>
          <w:color w:val="auto"/>
          <w:u w:val="single"/>
        </w:rPr>
        <w:t>Objective 1: Population parameter estimates</w:t>
      </w:r>
      <w:bookmarkEnd w:id="15"/>
    </w:p>
    <w:p w:rsidR="00732619" w:rsidRDefault="00732619" w:rsidP="00732619">
      <w:r>
        <w:t xml:space="preserve">There were 16 models with ΔAIC values of &lt; 5.  Five of those models had relatively equal weights and ΔAIC of &lt; 1.  Because there was no distinct top model, I used the AIC weights to model average each parameter estimate.  </w:t>
      </w:r>
    </w:p>
    <w:p w:rsidR="00053128" w:rsidRDefault="00053128" w:rsidP="00053128">
      <w:pPr>
        <w:ind w:firstLine="720"/>
      </w:pPr>
      <w:r>
        <w:lastRenderedPageBreak/>
        <w:t xml:space="preserve">Sex was a significant effect for φ (β ≠ 0).  It appears in all but one of the 16 models.  </w:t>
      </w:r>
      <w:r w:rsidR="004C087E">
        <w:t xml:space="preserve">Males had lower φ than females, 0.766 (SE = 0.018) and 0.900 (SE = 0.009), respectively.  </w:t>
      </w:r>
      <w:r>
        <w:t>The flood effect appeared in 6 of the 16 models but in none of the top 5 models.  Both male and female φ increased slightly from befo</w:t>
      </w:r>
      <w:r w:rsidR="004C087E">
        <w:t>re, during, and after the flood</w:t>
      </w:r>
      <w:r>
        <w:t xml:space="preserve"> (</w:t>
      </w:r>
      <w:r w:rsidRPr="004C087E">
        <w:rPr>
          <w:highlight w:val="yellow"/>
        </w:rPr>
        <w:t>TABLE</w:t>
      </w:r>
      <w:r>
        <w:t xml:space="preserve">).  </w:t>
      </w:r>
      <w:r w:rsidR="004C087E">
        <w:t xml:space="preserve">However, β for the flood effect was not significant.  </w:t>
      </w:r>
    </w:p>
    <w:p w:rsidR="00053128" w:rsidRDefault="004C087E" w:rsidP="004C087E">
      <w:pPr>
        <w:ind w:firstLine="720"/>
      </w:pPr>
      <w:r>
        <w:t xml:space="preserve">Heterogeneity was in the population and found to be constant across state, time, and sex (π = 0.747, SE = 0.012).  </w:t>
      </w:r>
      <w:r w:rsidR="00F12F3A">
        <w:t xml:space="preserve">Because heterogeneity was found in the population, the model split individuals into 2 different groups based on similar </w:t>
      </w:r>
      <w:r w:rsidR="00F12F3A">
        <w:rPr>
          <w:i/>
        </w:rPr>
        <w:t xml:space="preserve">p. </w:t>
      </w:r>
      <w:r w:rsidR="00053128">
        <w:t xml:space="preserve">Capture probabilities differed by state, sex, and </w:t>
      </w:r>
      <w:r>
        <w:t xml:space="preserve">π </w:t>
      </w:r>
      <w:r w:rsidR="00053128">
        <w:t>in all of the top 16 models</w:t>
      </w:r>
      <w:r w:rsidR="00F25CE3">
        <w:t xml:space="preserve"> (β ≠ 0)</w:t>
      </w:r>
      <w:r w:rsidR="00053128">
        <w:t xml:space="preserve">. </w:t>
      </w:r>
      <w:r w:rsidR="00F25CE3">
        <w:t xml:space="preserve"> </w:t>
      </w:r>
      <w:r w:rsidR="00230E20">
        <w:t xml:space="preserve">For females, </w:t>
      </w:r>
      <w:r w:rsidR="008A19D7">
        <w:t xml:space="preserve">the first mixture group was </w:t>
      </w:r>
      <w:r w:rsidR="00230E20">
        <w:t>0.747</w:t>
      </w:r>
      <w:r w:rsidR="008A19D7">
        <w:t xml:space="preserve"> </w:t>
      </w:r>
      <w:r w:rsidR="00230E20">
        <w:t xml:space="preserve">had a </w:t>
      </w:r>
      <w:r w:rsidR="00230E20">
        <w:rPr>
          <w:i/>
        </w:rPr>
        <w:t>p</w:t>
      </w:r>
      <w:r w:rsidR="00230E20">
        <w:t xml:space="preserve"> = </w:t>
      </w:r>
      <w:r w:rsidR="00F54254">
        <w:t xml:space="preserve">0.192 (SE = 0.009) and 0.252 had a </w:t>
      </w:r>
      <w:r w:rsidR="00F54254">
        <w:rPr>
          <w:i/>
        </w:rPr>
        <w:t>p</w:t>
      </w:r>
      <w:r w:rsidR="00F54254">
        <w:t xml:space="preserve"> = 0.640 (SE = 0.015).  For males, 0.747 had a </w:t>
      </w:r>
      <w:r w:rsidR="00F54254">
        <w:rPr>
          <w:i/>
        </w:rPr>
        <w:t>p</w:t>
      </w:r>
      <w:r w:rsidR="00F54254">
        <w:t xml:space="preserve"> = 0.104 (SE = 0.006) and 0.252 had a </w:t>
      </w:r>
      <w:r w:rsidR="00F54254">
        <w:rPr>
          <w:i/>
        </w:rPr>
        <w:t>p</w:t>
      </w:r>
      <w:r w:rsidR="00F54254">
        <w:t xml:space="preserve"> = 0.467 (SE = 0.017). </w:t>
      </w:r>
      <w:r w:rsidR="00230E20">
        <w:t xml:space="preserve"> </w:t>
      </w:r>
      <w:r w:rsidR="00F25CE3">
        <w:t xml:space="preserve">I found a positive behavioral response in </w:t>
      </w:r>
      <w:r w:rsidR="00F25CE3">
        <w:rPr>
          <w:i/>
        </w:rPr>
        <w:t>c</w:t>
      </w:r>
      <w:r w:rsidR="00F25CE3">
        <w:t xml:space="preserve">, which appeared in all top 16 models.   </w:t>
      </w:r>
    </w:p>
    <w:p w:rsidR="002F7AA1" w:rsidRDefault="00F54254" w:rsidP="002F7AA1">
      <w:pPr>
        <w:ind w:firstLine="720"/>
      </w:pPr>
      <w:r>
        <w:t xml:space="preserve">An abundance estimate was derived for each state and sex, totaling six different estimates.  </w:t>
      </w:r>
      <w:r w:rsidR="00B86F54">
        <w:t>The total</w:t>
      </w:r>
      <w:r w:rsidR="004618F2">
        <w:rPr>
          <w:i/>
        </w:rPr>
        <w:t xml:space="preserve"> N,</w:t>
      </w:r>
      <w:r w:rsidR="00B86F54">
        <w:t xml:space="preserve"> </w:t>
      </w:r>
      <m:oMath>
        <m:sSub>
          <m:sSubPr>
            <m:ctrlPr>
              <w:rPr>
                <w:rFonts w:ascii="Cambria Math" w:hAnsi="Cambria Math"/>
                <w:i/>
              </w:rPr>
            </m:ctrlPr>
          </m:sSubPr>
          <m:e>
            <m:r>
              <w:rPr>
                <w:rFonts w:ascii="Cambria Math" w:hAnsi="Cambria Math"/>
              </w:rPr>
              <m:t>N</m:t>
            </m:r>
          </m:e>
          <m:sub>
            <m:r>
              <w:rPr>
                <w:rFonts w:ascii="Cambria Math" w:hAnsi="Cambria Math"/>
              </w:rPr>
              <m:t>tot</m:t>
            </m:r>
          </m:sub>
        </m:sSub>
        <m:r>
          <w:rPr>
            <w:rFonts w:ascii="Cambria Math" w:hAnsi="Cambria Math"/>
          </w:rPr>
          <m:t>,</m:t>
        </m:r>
      </m:oMath>
      <w:r w:rsidR="00B86F54">
        <w:t xml:space="preserve"> was 60 </w:t>
      </w:r>
      <w:r w:rsidR="002F7AA1">
        <w:t>(</w:t>
      </w:r>
      <w:r w:rsidR="00B86F54">
        <w:t xml:space="preserve">SE = 0.38).  </w:t>
      </w:r>
      <w:r w:rsidR="004618F2">
        <w:t xml:space="preserve">Females </w:t>
      </w:r>
      <m:oMath>
        <m:sSub>
          <m:sSubPr>
            <m:ctrlPr>
              <w:rPr>
                <w:rFonts w:ascii="Cambria Math" w:hAnsi="Cambria Math"/>
                <w:i/>
              </w:rPr>
            </m:ctrlPr>
          </m:sSubPr>
          <m:e>
            <m:r>
              <w:rPr>
                <w:rFonts w:ascii="Cambria Math" w:hAnsi="Cambria Math"/>
              </w:rPr>
              <m:t>N</m:t>
            </m:r>
          </m:e>
          <m:sub>
            <m:r>
              <w:rPr>
                <w:rFonts w:ascii="Cambria Math" w:hAnsi="Cambria Math"/>
              </w:rPr>
              <m:t>tot</m:t>
            </m:r>
          </m:sub>
        </m:sSub>
      </m:oMath>
      <w:r w:rsidR="004618F2">
        <w:t xml:space="preserve"> were &gt; </w:t>
      </w:r>
      <m:oMath>
        <m:sSub>
          <m:sSubPr>
            <m:ctrlPr>
              <w:rPr>
                <w:rFonts w:ascii="Cambria Math" w:hAnsi="Cambria Math"/>
                <w:i/>
              </w:rPr>
            </m:ctrlPr>
          </m:sSubPr>
          <m:e>
            <m:r>
              <w:rPr>
                <w:rFonts w:ascii="Cambria Math" w:hAnsi="Cambria Math"/>
              </w:rPr>
              <m:t>N</m:t>
            </m:r>
          </m:e>
          <m:sub>
            <m:r>
              <w:rPr>
                <w:rFonts w:ascii="Cambria Math" w:hAnsi="Cambria Math"/>
              </w:rPr>
              <m:t>tot</m:t>
            </m:r>
          </m:sub>
        </m:sSub>
      </m:oMath>
      <w:r w:rsidR="004618F2">
        <w:t xml:space="preserve"> for males, 24M:36F. Also, </w:t>
      </w:r>
      <w:r w:rsidR="004618F2">
        <w:rPr>
          <w:i/>
        </w:rPr>
        <w:t xml:space="preserve">N </w:t>
      </w:r>
      <w:r w:rsidR="004618F2">
        <w:t xml:space="preserve">for females was &gt; </w:t>
      </w:r>
      <w:r w:rsidR="004618F2">
        <w:rPr>
          <w:i/>
        </w:rPr>
        <w:t xml:space="preserve">N </w:t>
      </w:r>
      <w:r w:rsidR="004618F2">
        <w:t xml:space="preserve">for males in each state.  </w:t>
      </w:r>
      <w:r>
        <w:t xml:space="preserve">The spillway had the highest </w:t>
      </w:r>
      <w:r>
        <w:rPr>
          <w:i/>
        </w:rPr>
        <w:t>N</w:t>
      </w:r>
      <w:r w:rsidR="00B86F54">
        <w:rPr>
          <w:i/>
        </w:rPr>
        <w:t xml:space="preserve"> </w:t>
      </w:r>
      <w:r w:rsidR="00B86F54">
        <w:t>(</w:t>
      </w:r>
      <w:r w:rsidR="00B86F54">
        <w:rPr>
          <w:i/>
        </w:rPr>
        <w:t xml:space="preserve">N = </w:t>
      </w:r>
      <w:r w:rsidR="00B86F54">
        <w:t xml:space="preserve">41, </w:t>
      </w:r>
      <w:r w:rsidR="004618F2">
        <w:t xml:space="preserve">17M:24F, </w:t>
      </w:r>
      <w:r w:rsidR="00B86F54">
        <w:t>SE = 1.06)</w:t>
      </w:r>
      <w:r>
        <w:t>, followed by Fordoche</w:t>
      </w:r>
      <w:r w:rsidR="00B86F54">
        <w:t xml:space="preserve"> (</w:t>
      </w:r>
      <w:r w:rsidR="00B86F54">
        <w:rPr>
          <w:i/>
        </w:rPr>
        <w:t xml:space="preserve">N = </w:t>
      </w:r>
      <w:r w:rsidR="00B86F54">
        <w:t xml:space="preserve">11, </w:t>
      </w:r>
      <w:r w:rsidR="004618F2">
        <w:t xml:space="preserve">5M:6F, </w:t>
      </w:r>
      <w:r w:rsidR="00B86F54">
        <w:t>SE = 0.34),</w:t>
      </w:r>
      <w:r>
        <w:t xml:space="preserve"> and then Batchelor</w:t>
      </w:r>
      <w:r w:rsidR="00B86F54">
        <w:t xml:space="preserve"> (</w:t>
      </w:r>
      <w:r w:rsidR="00B86F54">
        <w:rPr>
          <w:i/>
        </w:rPr>
        <w:t xml:space="preserve">N = </w:t>
      </w:r>
      <w:r w:rsidR="00B86F54">
        <w:t xml:space="preserve">8, </w:t>
      </w:r>
      <w:r w:rsidR="004618F2">
        <w:t xml:space="preserve">2M:6F, </w:t>
      </w:r>
      <w:r w:rsidR="00B86F54">
        <w:t xml:space="preserve">SE = 0.30).  </w:t>
      </w:r>
      <w:r w:rsidR="004618F2">
        <w:t xml:space="preserve">Each state had a positive </w:t>
      </w:r>
      <m:oMath>
        <m:acc>
          <m:accPr>
            <m:chr m:val="̅"/>
            <m:ctrlPr>
              <w:rPr>
                <w:rFonts w:ascii="Cambria Math" w:hAnsi="Cambria Math"/>
                <w:i/>
              </w:rPr>
            </m:ctrlPr>
          </m:accPr>
          <m:e>
            <m:r>
              <w:rPr>
                <w:rFonts w:ascii="Cambria Math" w:hAnsi="Cambria Math"/>
              </w:rPr>
              <m:t>λ</m:t>
            </m:r>
          </m:e>
        </m:acc>
      </m:oMath>
      <w:r w:rsidR="002F7AA1">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Sp</m:t>
            </m:r>
          </m:sub>
        </m:sSub>
        <m:r>
          <w:rPr>
            <w:rFonts w:ascii="Cambria Math" w:hAnsi="Cambria Math"/>
          </w:rPr>
          <m:t>=1.12</m:t>
        </m:r>
      </m:oMath>
      <w:r w:rsidR="002F7AA1">
        <w:t xml:space="preserve">, SE = ,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Fo</m:t>
            </m:r>
          </m:sub>
        </m:sSub>
        <m:r>
          <w:rPr>
            <w:rFonts w:ascii="Cambria Math" w:hAnsi="Cambria Math"/>
          </w:rPr>
          <m:t>=1.32</m:t>
        </m:r>
      </m:oMath>
      <w:r w:rsidR="002F7AA1">
        <w:t xml:space="preserve">, SE = ,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Ba</m:t>
            </m:r>
          </m:sub>
        </m:sSub>
        <m:r>
          <w:rPr>
            <w:rFonts w:ascii="Cambria Math" w:hAnsi="Cambria Math"/>
          </w:rPr>
          <m:t>=1.22</m:t>
        </m:r>
      </m:oMath>
      <w:r w:rsidR="002F7AA1">
        <w:t>, SE = )</w:t>
      </w:r>
      <w:r w:rsidR="004618F2">
        <w:t xml:space="preserve">.  However, λ </w:t>
      </w:r>
      <w:r w:rsidR="002F7AA1">
        <w:t xml:space="preserve">for males in </w:t>
      </w:r>
      <w:r w:rsidR="004618F2">
        <w:t>Fordoche was highly variable, ranging from 0.05 to 3.00</w:t>
      </w:r>
      <w:r w:rsidR="002F7AA1">
        <w:t xml:space="preserve">.  In addition, all λ, but the females in the Spillway, had a 95% confidence interval that’s lower bound dropped below 1.  </w:t>
      </w:r>
    </w:p>
    <w:p w:rsidR="00D51FDE" w:rsidRPr="002F7AA1" w:rsidRDefault="00D431D5" w:rsidP="002F7AA1">
      <w:pPr>
        <w:rPr>
          <w:i/>
        </w:rPr>
      </w:pPr>
      <w:r w:rsidRPr="002F7AA1">
        <w:rPr>
          <w:i/>
          <w:u w:val="single"/>
        </w:rPr>
        <w:t>Objective 2: Modeling affects of flooding on UARB</w:t>
      </w:r>
      <w:r w:rsidRPr="002F7AA1">
        <w:rPr>
          <w:i/>
        </w:rPr>
        <w:t>.</w:t>
      </w:r>
    </w:p>
    <w:p w:rsidR="008A5B16" w:rsidRDefault="00457938" w:rsidP="00732619">
      <w:r>
        <w:lastRenderedPageBreak/>
        <w:t xml:space="preserve">Due to the flood </w:t>
      </w:r>
      <w:bookmarkStart w:id="16" w:name="_GoBack"/>
      <w:bookmarkEnd w:id="16"/>
      <w:r>
        <w:t xml:space="preserve">event, </w:t>
      </w:r>
      <w:r w:rsidR="00D431D5">
        <w:t>I was only able to sample 52 out of the 115 sites during the flood in 2011, but my sub-sampling intensity was the same as non-flood years.  This artificially increased capture probabilities in the non-flooded states for that year.  To avoid this, I chose a proportion of captures from 2011 to be used in the analysis.  I calculated the proportion of samples selected in each state for each previous year, then averaged across years (excluding year 5).  The average was approximately 40% of the samples, which was proportional to the number of sites in and out the spillway.  I used 40% to calculate the number of samples per week to be used in the analysis, 13.  I used a random number generator to create random number sets of 13 numbers (1-38) for each week then selected those samples to be used in the capture history.  Then, I edited the capture histories by deleting records that were not selected.  </w:t>
      </w:r>
    </w:p>
    <w:p w:rsidR="001D5E83" w:rsidRDefault="00053128" w:rsidP="00F50DAC">
      <w:pPr>
        <w:ind w:firstLine="720"/>
      </w:pPr>
      <w:r>
        <w:t xml:space="preserve">The flood effect in φ was only in 6 of the 16 top models and when the effect appeared it was found to not be significant (β = 0).   </w:t>
      </w:r>
      <w:r w:rsidR="001D5E83">
        <w:t>I found Ψ differed by</w:t>
      </w:r>
      <w:r>
        <w:t xml:space="preserve"> </w:t>
      </w:r>
      <w:r w:rsidR="001D5E83">
        <w:t>state</w:t>
      </w:r>
      <w:r w:rsidR="002F7AA1">
        <w:t xml:space="preserve"> (β ≠ 0)</w:t>
      </w:r>
      <w:r w:rsidR="001D5E83">
        <w:t>, but did not differ by sex (β = 0)</w:t>
      </w:r>
      <w:r>
        <w:t xml:space="preserve">.  </w:t>
      </w:r>
      <w:r w:rsidR="00AD20DC">
        <w:t xml:space="preserve">Before the flood, </w:t>
      </w:r>
      <w:r w:rsidR="0092040A">
        <w:t xml:space="preserve">I found </w:t>
      </w:r>
      <m:oMath>
        <m:sSup>
          <m:sSupPr>
            <m:ctrlPr>
              <w:rPr>
                <w:rFonts w:ascii="Cambria Math" w:hAnsi="Cambria Math"/>
                <w:i/>
              </w:rPr>
            </m:ctrlPr>
          </m:sSupPr>
          <m:e>
            <m:r>
              <w:rPr>
                <w:rFonts w:ascii="Cambria Math" w:hAnsi="Cambria Math"/>
              </w:rPr>
              <m:t>Ψ</m:t>
            </m:r>
          </m:e>
          <m:sup>
            <m:r>
              <w:rPr>
                <w:rFonts w:ascii="Cambria Math" w:hAnsi="Cambria Math"/>
              </w:rPr>
              <m:t>NF→F</m:t>
            </m:r>
          </m:sup>
        </m:sSup>
      </m:oMath>
      <w:r w:rsidR="0092040A">
        <w:t>were &gt;</w:t>
      </w:r>
      <m:oMath>
        <m:r>
          <w:rPr>
            <w:rFonts w:ascii="Cambria Math" w:hAnsi="Cambria Math"/>
          </w:rPr>
          <m:t xml:space="preserve"> </m:t>
        </m:r>
        <m:sSup>
          <m:sSupPr>
            <m:ctrlPr>
              <w:rPr>
                <w:rFonts w:ascii="Cambria Math" w:hAnsi="Cambria Math"/>
                <w:i/>
              </w:rPr>
            </m:ctrlPr>
          </m:sSupPr>
          <m:e>
            <m:r>
              <w:rPr>
                <w:rFonts w:ascii="Cambria Math" w:hAnsi="Cambria Math"/>
              </w:rPr>
              <m:t>Ψ</m:t>
            </m:r>
          </m:e>
          <m:sup>
            <m:r>
              <w:rPr>
                <w:rFonts w:ascii="Cambria Math" w:hAnsi="Cambria Math"/>
              </w:rPr>
              <m:t>F→NF</m:t>
            </m:r>
          </m:sup>
        </m:sSup>
      </m:oMath>
      <w:r w:rsidR="00AD20DC">
        <w:t xml:space="preserve"> and each were constant across pre-flood years (2007-2010)</w:t>
      </w:r>
      <w:r w:rsidR="0092040A">
        <w:t xml:space="preserve">.   </w:t>
      </w:r>
      <w:r>
        <w:t xml:space="preserve">All 16 top models showed </w:t>
      </w:r>
      <m:oMath>
        <m:sSup>
          <m:sSupPr>
            <m:ctrlPr>
              <w:rPr>
                <w:rFonts w:ascii="Cambria Math" w:hAnsi="Cambria Math"/>
                <w:i/>
              </w:rPr>
            </m:ctrlPr>
          </m:sSupPr>
          <m:e>
            <m:r>
              <w:rPr>
                <w:rFonts w:ascii="Cambria Math" w:hAnsi="Cambria Math"/>
              </w:rPr>
              <m:t>Ψ</m:t>
            </m:r>
          </m:e>
          <m:sup>
            <m:r>
              <w:rPr>
                <w:rFonts w:ascii="Cambria Math" w:hAnsi="Cambria Math"/>
              </w:rPr>
              <m:t>F→NF</m:t>
            </m:r>
          </m:sup>
        </m:sSup>
      </m:oMath>
      <w:r w:rsidR="005B750F">
        <w:t xml:space="preserve"> increased from 0.01 to 0.08 during the flood year.  </w:t>
      </w:r>
      <w:r w:rsidR="00AD20DC">
        <w:t xml:space="preserve">During the flood, </w:t>
      </w:r>
      <m:oMath>
        <m:sSup>
          <m:sSupPr>
            <m:ctrlPr>
              <w:rPr>
                <w:rFonts w:ascii="Cambria Math" w:hAnsi="Cambria Math"/>
                <w:i/>
              </w:rPr>
            </m:ctrlPr>
          </m:sSupPr>
          <m:e>
            <m:r>
              <w:rPr>
                <w:rFonts w:ascii="Cambria Math" w:hAnsi="Cambria Math"/>
              </w:rPr>
              <m:t>Ψ</m:t>
            </m:r>
          </m:e>
          <m:sup>
            <m:r>
              <w:rPr>
                <w:rFonts w:ascii="Cambria Math" w:hAnsi="Cambria Math"/>
              </w:rPr>
              <m:t>NF→F</m:t>
            </m:r>
          </m:sup>
        </m:sSup>
      </m:oMath>
      <w:r w:rsidR="00AD20DC">
        <w:t xml:space="preserve">was set equal to 0, under the assumption that bears wouldn’t move into a flooded area.  </w:t>
      </w:r>
      <w:r w:rsidR="00732619">
        <w:t xml:space="preserve">The top five models </w:t>
      </w:r>
      <w:r w:rsidR="005B750F">
        <w:t>showed equal support for</w:t>
      </w:r>
      <w:r w:rsidR="00732619">
        <w:t xml:space="preserve"> both a constant </w:t>
      </w:r>
      <m:oMath>
        <m:sSup>
          <m:sSupPr>
            <m:ctrlPr>
              <w:rPr>
                <w:rFonts w:ascii="Cambria Math" w:hAnsi="Cambria Math"/>
                <w:i/>
              </w:rPr>
            </m:ctrlPr>
          </m:sSupPr>
          <m:e>
            <m:r>
              <w:rPr>
                <w:rFonts w:ascii="Cambria Math" w:hAnsi="Cambria Math"/>
              </w:rPr>
              <m:t>Ψ</m:t>
            </m:r>
          </m:e>
          <m:sup>
            <m:r>
              <w:rPr>
                <w:rFonts w:ascii="Cambria Math" w:hAnsi="Cambria Math"/>
              </w:rPr>
              <m:t>NF→F</m:t>
            </m:r>
          </m:sup>
        </m:sSup>
      </m:oMath>
      <w:r w:rsidR="005B750F">
        <w:t xml:space="preserve">across years </w:t>
      </w:r>
      <w:r w:rsidR="00732619">
        <w:t xml:space="preserve">and </w:t>
      </w:r>
      <w:r w:rsidR="005B750F">
        <w:t>an increase</w:t>
      </w:r>
      <w:r w:rsidR="000A4FB2">
        <w:t xml:space="preserve"> in</w:t>
      </w:r>
      <w:r w:rsidR="00732619">
        <w:t xml:space="preserve"> </w:t>
      </w:r>
      <m:oMath>
        <m:sSup>
          <m:sSupPr>
            <m:ctrlPr>
              <w:rPr>
                <w:rFonts w:ascii="Cambria Math" w:hAnsi="Cambria Math"/>
                <w:i/>
              </w:rPr>
            </m:ctrlPr>
          </m:sSupPr>
          <m:e>
            <m:r>
              <w:rPr>
                <w:rFonts w:ascii="Cambria Math" w:hAnsi="Cambria Math"/>
              </w:rPr>
              <m:t>Ψ</m:t>
            </m:r>
          </m:e>
          <m:sup>
            <m:r>
              <w:rPr>
                <w:rFonts w:ascii="Cambria Math" w:hAnsi="Cambria Math"/>
              </w:rPr>
              <m:t>NF→F</m:t>
            </m:r>
          </m:sup>
        </m:sSup>
      </m:oMath>
      <w:r w:rsidR="000A4FB2">
        <w:t>after the flood.</w:t>
      </w:r>
      <w:r w:rsidR="005B750F">
        <w:t xml:space="preserve"> </w:t>
      </w:r>
      <w:r w:rsidR="000A4FB2">
        <w:t xml:space="preserve">  </w:t>
      </w:r>
      <w:r w:rsidR="001D5E83">
        <w:t xml:space="preserve">Model averaged estimates for </w:t>
      </w:r>
      <m:oMath>
        <m:sSup>
          <m:sSupPr>
            <m:ctrlPr>
              <w:rPr>
                <w:rFonts w:ascii="Cambria Math" w:hAnsi="Cambria Math"/>
                <w:i/>
              </w:rPr>
            </m:ctrlPr>
          </m:sSupPr>
          <m:e>
            <m:r>
              <w:rPr>
                <w:rFonts w:ascii="Cambria Math" w:hAnsi="Cambria Math"/>
              </w:rPr>
              <m:t>Ψ</m:t>
            </m:r>
          </m:e>
          <m:sup>
            <m:r>
              <w:rPr>
                <w:rFonts w:ascii="Cambria Math" w:hAnsi="Cambria Math"/>
              </w:rPr>
              <m:t>NF→F</m:t>
            </m:r>
          </m:sup>
        </m:sSup>
      </m:oMath>
      <w:r w:rsidR="001D5E83">
        <w:t xml:space="preserve">post-flood show a slight increase from 0.08, pre-flood, to 0.11.  I found post-flood </w:t>
      </w:r>
      <m:oMath>
        <m:sSup>
          <m:sSupPr>
            <m:ctrlPr>
              <w:rPr>
                <w:rFonts w:ascii="Cambria Math" w:hAnsi="Cambria Math"/>
                <w:i/>
              </w:rPr>
            </m:ctrlPr>
          </m:sSupPr>
          <m:e>
            <m:r>
              <w:rPr>
                <w:rFonts w:ascii="Cambria Math" w:hAnsi="Cambria Math"/>
              </w:rPr>
              <m:t>Ψ</m:t>
            </m:r>
          </m:e>
          <m:sup>
            <m:r>
              <w:rPr>
                <w:rFonts w:ascii="Cambria Math" w:hAnsi="Cambria Math"/>
              </w:rPr>
              <m:t>F→NF</m:t>
            </m:r>
          </m:sup>
        </m:sSup>
      </m:oMath>
      <w:r w:rsidR="001D5E83">
        <w:t xml:space="preserve"> decreased slightly from 0.08 to 0.04.  However, the effect was not significant (β = 0). </w:t>
      </w:r>
    </w:p>
    <w:p w:rsidR="00F50DAC" w:rsidRDefault="000E6643" w:rsidP="00F50DAC">
      <w:pPr>
        <w:ind w:firstLine="720"/>
      </w:pPr>
      <w:r>
        <w:t xml:space="preserve">All 16 top models had </w:t>
      </w:r>
      <w:r>
        <w:rPr>
          <w:i/>
        </w:rPr>
        <w:t>p</w:t>
      </w:r>
      <w:r>
        <w:t xml:space="preserve"> differing by state; Fordoche having the highest </w:t>
      </w:r>
      <w:r>
        <w:rPr>
          <w:i/>
        </w:rPr>
        <w:t>p</w:t>
      </w:r>
      <w:r>
        <w:t xml:space="preserve">, followed by Batchelor, and then the Spillway.  Eleven of the 16 models had a flood effect for year 5 in </w:t>
      </w:r>
      <w:r>
        <w:rPr>
          <w:i/>
        </w:rPr>
        <w:t>p</w:t>
      </w:r>
      <w:r>
        <w:t xml:space="preserve">; of those 2 had a flood effect for both years 5 and 6.  </w:t>
      </w:r>
      <w:r w:rsidR="00912A4F">
        <w:t xml:space="preserve">Model averaged estimates revealed both </w:t>
      </w:r>
      <w:r w:rsidR="00912A4F" w:rsidRPr="00912A4F">
        <w:lastRenderedPageBreak/>
        <w:t>Fordoche</w:t>
      </w:r>
      <w:r w:rsidR="00912A4F">
        <w:t xml:space="preserve"> and Batchelor states saw a decrease in </w:t>
      </w:r>
      <m:oMath>
        <m:acc>
          <m:accPr>
            <m:chr m:val="̅"/>
            <m:ctrlPr>
              <w:rPr>
                <w:rFonts w:ascii="Cambria Math" w:hAnsi="Cambria Math"/>
                <w:i/>
              </w:rPr>
            </m:ctrlPr>
          </m:accPr>
          <m:e>
            <m:r>
              <w:rPr>
                <w:rFonts w:ascii="Cambria Math" w:hAnsi="Cambria Math"/>
              </w:rPr>
              <m:t>p</m:t>
            </m:r>
          </m:e>
        </m:acc>
      </m:oMath>
      <w:r w:rsidR="00912A4F">
        <w:t xml:space="preserve"> during the flood year</w:t>
      </w:r>
      <w:r w:rsidR="00E85919">
        <w:t>, from 0.301 to 0.251and from 0.259 to 0.213, respectively,</w:t>
      </w:r>
      <w:r w:rsidR="00912A4F">
        <w:t xml:space="preserve"> and </w:t>
      </w:r>
      <w:r w:rsidR="00E85919">
        <w:t>an increase</w:t>
      </w:r>
      <w:r w:rsidR="00912A4F">
        <w:t xml:space="preserve"> to similar </w:t>
      </w:r>
      <m:oMath>
        <m:acc>
          <m:accPr>
            <m:chr m:val="̅"/>
            <m:ctrlPr>
              <w:rPr>
                <w:rFonts w:ascii="Cambria Math" w:hAnsi="Cambria Math"/>
                <w:i/>
              </w:rPr>
            </m:ctrlPr>
          </m:accPr>
          <m:e>
            <m:r>
              <w:rPr>
                <w:rFonts w:ascii="Cambria Math" w:hAnsi="Cambria Math"/>
              </w:rPr>
              <m:t>p</m:t>
            </m:r>
          </m:e>
        </m:acc>
      </m:oMath>
      <w:r w:rsidR="00912A4F">
        <w:t xml:space="preserve"> from before the flood</w:t>
      </w:r>
      <w:r w:rsidR="00E85919">
        <w:t>, from 0.251 to 0.309 and 0.213 to 0.267, respectively</w:t>
      </w:r>
      <w:r w:rsidR="00912A4F">
        <w:t xml:space="preserve">.  Because I did not sample the Spillway in year 5, I set </w:t>
      </w:r>
      <w:r w:rsidR="00912A4F">
        <w:rPr>
          <w:i/>
        </w:rPr>
        <w:t>p</w:t>
      </w:r>
      <w:r w:rsidR="00912A4F">
        <w:t xml:space="preserve"> for the flood year to 0.  The Spillway showed a slight increase in </w:t>
      </w:r>
      <m:oMath>
        <m:acc>
          <m:accPr>
            <m:chr m:val="̅"/>
            <m:ctrlPr>
              <w:rPr>
                <w:rFonts w:ascii="Cambria Math" w:hAnsi="Cambria Math"/>
                <w:i/>
              </w:rPr>
            </m:ctrlPr>
          </m:accPr>
          <m:e>
            <m:r>
              <w:rPr>
                <w:rFonts w:ascii="Cambria Math" w:hAnsi="Cambria Math"/>
              </w:rPr>
              <m:t>p</m:t>
            </m:r>
          </m:e>
        </m:acc>
      </m:oMath>
      <w:r w:rsidR="00912A4F">
        <w:rPr>
          <w:i/>
        </w:rPr>
        <w:t xml:space="preserve"> </w:t>
      </w:r>
      <w:r w:rsidR="00912A4F">
        <w:t>post-flooding</w:t>
      </w:r>
      <w:r w:rsidR="00E85919">
        <w:t>, from 0.204 to 0.210</w:t>
      </w:r>
      <w:r w:rsidR="00912A4F">
        <w:t xml:space="preserve">.  </w:t>
      </w:r>
      <w:r w:rsidR="00912A4F" w:rsidRPr="00912A4F">
        <w:t>However</w:t>
      </w:r>
      <w:r w:rsidR="00912A4F">
        <w:t>, β for the flood effect</w:t>
      </w:r>
      <w:r w:rsidR="00E85919">
        <w:t xml:space="preserve">, for both flooded and non-flooded states, </w:t>
      </w:r>
      <w:r w:rsidR="00912A4F">
        <w:t xml:space="preserve">in years 5 &amp; 6 crossed 0 and therefore the effect was not significant.  </w:t>
      </w:r>
    </w:p>
    <w:p w:rsidR="00D51FDE" w:rsidRPr="00D51FDE" w:rsidRDefault="0027207A" w:rsidP="00D51FDE">
      <w:pPr>
        <w:pStyle w:val="Heading3"/>
        <w:rPr>
          <w:rFonts w:ascii="Times New Roman" w:hAnsi="Times New Roman" w:cs="Times New Roman"/>
          <w:b w:val="0"/>
          <w:color w:val="auto"/>
        </w:rPr>
      </w:pPr>
      <w:bookmarkStart w:id="17" w:name="_Toc361839462"/>
      <w:r w:rsidRPr="00D51FDE">
        <w:rPr>
          <w:rFonts w:ascii="Times New Roman" w:hAnsi="Times New Roman" w:cs="Times New Roman"/>
          <w:b w:val="0"/>
          <w:i/>
          <w:color w:val="auto"/>
          <w:u w:val="single"/>
        </w:rPr>
        <w:t>Objective 3: Comparison of 1-wire and 2-wire sampling systems.</w:t>
      </w:r>
      <w:bookmarkEnd w:id="17"/>
      <w:r w:rsidRPr="00D51FDE">
        <w:rPr>
          <w:rFonts w:ascii="Times New Roman" w:hAnsi="Times New Roman" w:cs="Times New Roman"/>
          <w:b w:val="0"/>
          <w:i/>
          <w:color w:val="auto"/>
          <w:u w:val="single"/>
        </w:rPr>
        <w:t xml:space="preserve"> </w:t>
      </w:r>
      <w:r w:rsidR="00BB045B" w:rsidRPr="00D51FDE">
        <w:rPr>
          <w:rFonts w:ascii="Times New Roman" w:hAnsi="Times New Roman" w:cs="Times New Roman"/>
          <w:b w:val="0"/>
          <w:color w:val="auto"/>
        </w:rPr>
        <w:tab/>
      </w:r>
    </w:p>
    <w:p w:rsidR="00D65749" w:rsidRDefault="00D65749" w:rsidP="0027207A">
      <w:r>
        <w:t xml:space="preserve">Five models carried all of the AIC weight (0.99) and had ΔAIC </w:t>
      </w:r>
      <w:r w:rsidR="00BC1AE1">
        <w:t>values &lt;</w:t>
      </w:r>
      <w:r>
        <w:t xml:space="preserve">5.  Three of those models had a wire effect for males in </w:t>
      </w:r>
      <w:r>
        <w:rPr>
          <w:i/>
        </w:rPr>
        <w:t>p</w:t>
      </w:r>
      <w:r>
        <w:t xml:space="preserve">; and one of those </w:t>
      </w:r>
      <w:r w:rsidR="00C36374">
        <w:t xml:space="preserve">had a wire effect in π.  </w:t>
      </w:r>
      <w:r w:rsidR="00DE7B96">
        <w:t xml:space="preserve">The top model </w:t>
      </w:r>
      <w:r w:rsidR="00096EF5">
        <w:t>had no wire effect</w:t>
      </w:r>
      <w:r w:rsidR="00F0446C">
        <w:t xml:space="preserve">; however, the second model did have a wire effect and had almost equal weight.  </w:t>
      </w:r>
      <w:r w:rsidR="006648F5">
        <w:t xml:space="preserve">The wire effect was </w:t>
      </w:r>
      <w:r w:rsidR="00BC48A7">
        <w:t xml:space="preserve">not </w:t>
      </w:r>
      <w:r w:rsidR="006648F5">
        <w:t xml:space="preserve">significant (β ≠ 0) in </w:t>
      </w:r>
      <w:r w:rsidR="00BC48A7">
        <w:t xml:space="preserve">any of the top models, however the deviance decreased for models with the wire effect in them.  </w:t>
      </w:r>
    </w:p>
    <w:p w:rsidR="00F0446C" w:rsidRPr="009F6C8F" w:rsidRDefault="00F0446C" w:rsidP="0027207A">
      <w:r>
        <w:tab/>
        <w:t>Because there were multiple models with support, I model averaged using the AIC weights t</w:t>
      </w:r>
      <w:r w:rsidR="00F5617A">
        <w:t xml:space="preserve">o get parameter estimates.  </w:t>
      </w:r>
      <w:r w:rsidR="00E85919">
        <w:t xml:space="preserve">Male </w:t>
      </w:r>
      <m:oMath>
        <m:acc>
          <m:accPr>
            <m:chr m:val="̅"/>
            <m:ctrlPr>
              <w:rPr>
                <w:rFonts w:ascii="Cambria Math" w:hAnsi="Cambria Math"/>
                <w:i/>
              </w:rPr>
            </m:ctrlPr>
          </m:accPr>
          <m:e>
            <m:r>
              <w:rPr>
                <w:rFonts w:ascii="Cambria Math" w:hAnsi="Cambria Math"/>
              </w:rPr>
              <m:t>p</m:t>
            </m:r>
          </m:e>
        </m:acc>
      </m:oMath>
      <w:r w:rsidR="00F5617A">
        <w:t xml:space="preserve"> increased from </w:t>
      </w:r>
      <w:r w:rsidR="00BB213E">
        <w:t>0.2</w:t>
      </w:r>
      <w:r w:rsidR="007174B1">
        <w:t>06 to 0.224</w:t>
      </w:r>
      <w:r w:rsidR="006648F5">
        <w:t xml:space="preserve"> from the one-wire system to the two-wire system</w:t>
      </w:r>
      <w:r w:rsidR="00E85919">
        <w:t xml:space="preserve">; Female </w:t>
      </w:r>
      <m:oMath>
        <m:acc>
          <m:accPr>
            <m:chr m:val="̅"/>
            <m:ctrlPr>
              <w:rPr>
                <w:rFonts w:ascii="Cambria Math" w:hAnsi="Cambria Math"/>
                <w:i/>
              </w:rPr>
            </m:ctrlPr>
          </m:accPr>
          <m:e>
            <m:r>
              <w:rPr>
                <w:rFonts w:ascii="Cambria Math" w:hAnsi="Cambria Math"/>
              </w:rPr>
              <m:t>p</m:t>
            </m:r>
          </m:e>
        </m:acc>
      </m:oMath>
      <w:r w:rsidR="007174B1">
        <w:t xml:space="preserve"> decreased slightly from 0.346 to 0.344.   </w:t>
      </w:r>
    </w:p>
    <w:p w:rsidR="001C68E3" w:rsidRDefault="001C68E3">
      <w:pPr>
        <w:spacing w:line="276" w:lineRule="auto"/>
        <w:rPr>
          <w:rFonts w:eastAsiaTheme="majorEastAsia"/>
          <w:b/>
          <w:bCs/>
          <w:sz w:val="28"/>
          <w:szCs w:val="28"/>
        </w:rPr>
      </w:pPr>
      <w:r>
        <w:br w:type="page"/>
      </w:r>
    </w:p>
    <w:p w:rsidR="007D3380" w:rsidRPr="00D51FDE" w:rsidRDefault="00E76DBE" w:rsidP="00D51FDE">
      <w:pPr>
        <w:pStyle w:val="Heading1"/>
        <w:jc w:val="center"/>
        <w:rPr>
          <w:rFonts w:ascii="Times New Roman" w:hAnsi="Times New Roman" w:cs="Times New Roman"/>
          <w:b w:val="0"/>
          <w:color w:val="auto"/>
        </w:rPr>
      </w:pPr>
      <w:bookmarkStart w:id="18" w:name="_Toc361839463"/>
      <w:r>
        <w:rPr>
          <w:rFonts w:ascii="Times New Roman" w:hAnsi="Times New Roman" w:cs="Times New Roman"/>
          <w:color w:val="auto"/>
        </w:rPr>
        <w:t xml:space="preserve">Chapter 4: </w:t>
      </w:r>
      <w:r w:rsidR="007D3380" w:rsidRPr="00D51FDE">
        <w:rPr>
          <w:rFonts w:ascii="Times New Roman" w:hAnsi="Times New Roman" w:cs="Times New Roman"/>
          <w:color w:val="auto"/>
        </w:rPr>
        <w:t>Discussion</w:t>
      </w:r>
      <w:bookmarkEnd w:id="18"/>
    </w:p>
    <w:p w:rsidR="001407C8" w:rsidRPr="00D51FDE" w:rsidRDefault="00A75199" w:rsidP="00D51FDE">
      <w:pPr>
        <w:pStyle w:val="Heading2"/>
        <w:rPr>
          <w:rFonts w:ascii="Times New Roman" w:hAnsi="Times New Roman" w:cs="Times New Roman"/>
          <w:b w:val="0"/>
          <w:color w:val="auto"/>
          <w:sz w:val="24"/>
          <w:szCs w:val="24"/>
        </w:rPr>
      </w:pPr>
      <w:bookmarkStart w:id="19" w:name="_Toc361839464"/>
      <w:r w:rsidRPr="00D51FDE">
        <w:rPr>
          <w:rFonts w:ascii="Times New Roman" w:hAnsi="Times New Roman" w:cs="Times New Roman"/>
          <w:color w:val="auto"/>
          <w:sz w:val="24"/>
          <w:szCs w:val="24"/>
        </w:rPr>
        <w:t>Genetic Analyse</w:t>
      </w:r>
      <w:r w:rsidR="001407C8" w:rsidRPr="00D51FDE">
        <w:rPr>
          <w:rFonts w:ascii="Times New Roman" w:hAnsi="Times New Roman" w:cs="Times New Roman"/>
          <w:color w:val="auto"/>
          <w:sz w:val="24"/>
          <w:szCs w:val="24"/>
        </w:rPr>
        <w:t>s:</w:t>
      </w:r>
      <w:bookmarkEnd w:id="19"/>
    </w:p>
    <w:p w:rsidR="001407C8" w:rsidRDefault="001407C8" w:rsidP="001407C8">
      <w:r>
        <w:rPr>
          <w:b/>
        </w:rPr>
        <w:tab/>
      </w:r>
      <w:r w:rsidR="00F608DF">
        <w:t xml:space="preserve">The addition of the second wire raised concerns </w:t>
      </w:r>
      <w:r w:rsidR="00196AD9">
        <w:t>that</w:t>
      </w:r>
      <w:r w:rsidR="002D41A2">
        <w:t xml:space="preserve"> one of the </w:t>
      </w:r>
      <w:r w:rsidR="00F608DF">
        <w:t>wire</w:t>
      </w:r>
      <w:r w:rsidR="002D41A2">
        <w:t>s</w:t>
      </w:r>
      <w:r w:rsidR="00F608DF">
        <w:t xml:space="preserve"> </w:t>
      </w:r>
      <w:r w:rsidR="00196AD9">
        <w:t>might</w:t>
      </w:r>
      <w:r w:rsidR="00F608DF">
        <w:t xml:space="preserve"> be analyzed more than the other or if there would be a difference in</w:t>
      </w:r>
      <w:r w:rsidR="00BC1AE1">
        <w:t xml:space="preserve"> genotyping</w:t>
      </w:r>
      <w:r w:rsidR="00F608DF">
        <w:t xml:space="preserve"> </w:t>
      </w:r>
      <w:r w:rsidR="003E2304">
        <w:t>error or success rates.  We randomized the sample order to ensure that the top and bottom wire had equal chance</w:t>
      </w:r>
      <w:r w:rsidR="00BC1AE1">
        <w:t>s</w:t>
      </w:r>
      <w:r w:rsidR="003E2304">
        <w:t xml:space="preserve"> of being </w:t>
      </w:r>
      <w:r w:rsidR="003E2304">
        <w:lastRenderedPageBreak/>
        <w:t xml:space="preserve">selected at each site.  </w:t>
      </w:r>
      <w:r w:rsidR="00196AD9">
        <w:t xml:space="preserve">We found there was no difference in error or success rates (D. Paetkau, personal communication).  </w:t>
      </w:r>
    </w:p>
    <w:p w:rsidR="003E2304" w:rsidRDefault="003E2304" w:rsidP="001407C8">
      <w:r>
        <w:tab/>
        <w:t xml:space="preserve">The </w:t>
      </w:r>
      <w:r w:rsidR="00974693">
        <w:t>original</w:t>
      </w:r>
      <w:r>
        <w:t xml:space="preserve"> sub-sample size of 25 only </w:t>
      </w:r>
      <w:r w:rsidR="00BC1AE1">
        <w:t>constituted</w:t>
      </w:r>
      <w:r>
        <w:t xml:space="preserve"> ~5% of the samples we collected.  </w:t>
      </w:r>
      <w:r w:rsidR="00974693">
        <w:t>With the additional samples, we</w:t>
      </w:r>
      <w:r w:rsidR="00196AD9">
        <w:t xml:space="preserve"> were able to identify</w:t>
      </w:r>
      <w:r w:rsidR="00974693">
        <w:t xml:space="preserve"> 7 new individuals.  </w:t>
      </w:r>
      <w:r w:rsidR="00196AD9">
        <w:t xml:space="preserve">While the addition of 13 new samples per week only increased our sub-sample to ~7%, these additional samples increased </w:t>
      </w:r>
      <w:r w:rsidR="00770126">
        <w:t>the</w:t>
      </w:r>
      <w:r w:rsidR="00E75A53">
        <w:t xml:space="preserve"> average number of captures per bear from 9 to 13.  Also, for every 3 additional samples </w:t>
      </w:r>
      <w:r w:rsidR="00770126">
        <w:t xml:space="preserve">there was </w:t>
      </w:r>
      <w:r w:rsidR="00E75A53">
        <w:t xml:space="preserve">1 new capture </w:t>
      </w:r>
      <w:r w:rsidR="00BC1AE1">
        <w:t>in time</w:t>
      </w:r>
      <w:r w:rsidR="00E75A53">
        <w:t xml:space="preserve">, i.e. 1 </w:t>
      </w:r>
      <w:r w:rsidR="00385C93">
        <w:t>individual</w:t>
      </w:r>
      <w:r w:rsidR="00E75A53">
        <w:t xml:space="preserve"> was found in a session it had not previously been caught (D. Paetkau, personal communication).   </w:t>
      </w:r>
    </w:p>
    <w:p w:rsidR="00974693" w:rsidRDefault="00974693" w:rsidP="001407C8">
      <w:r>
        <w:tab/>
        <w:t xml:space="preserve">The estimates </w:t>
      </w:r>
      <w:r w:rsidR="00F637B3">
        <w:t xml:space="preserve">of </w:t>
      </w:r>
      <w:r w:rsidR="00F637B3">
        <w:rPr>
          <w:i/>
        </w:rPr>
        <w:t>P</w:t>
      </w:r>
      <w:r w:rsidR="00F637B3">
        <w:rPr>
          <w:i/>
          <w:vertAlign w:val="subscript"/>
        </w:rPr>
        <w:t>ran</w:t>
      </w:r>
      <w:r w:rsidR="00F637B3">
        <w:rPr>
          <w:i/>
        </w:rPr>
        <w:t xml:space="preserve"> </w:t>
      </w:r>
      <w:r w:rsidR="00F637B3">
        <w:t>and</w:t>
      </w:r>
      <w:r w:rsidR="00F637B3">
        <w:rPr>
          <w:i/>
        </w:rPr>
        <w:t xml:space="preserve"> P</w:t>
      </w:r>
      <w:r w:rsidR="00F637B3">
        <w:rPr>
          <w:i/>
          <w:vertAlign w:val="subscript"/>
        </w:rPr>
        <w:t>sib</w:t>
      </w:r>
      <w:r w:rsidR="00F637B3">
        <w:rPr>
          <w:i/>
        </w:rPr>
        <w:t xml:space="preserve"> </w:t>
      </w:r>
      <w:r>
        <w:t xml:space="preserve">I calculated for years 2007-2012 were exactly the same as Lowe (2011) had calculated for 2007-2009.  </w:t>
      </w:r>
      <w:r w:rsidR="00C2766D">
        <w:t xml:space="preserve">The </w:t>
      </w:r>
      <w:r w:rsidR="00C2766D">
        <w:rPr>
          <w:i/>
        </w:rPr>
        <w:t>P</w:t>
      </w:r>
      <w:r w:rsidR="00C2766D">
        <w:rPr>
          <w:i/>
          <w:vertAlign w:val="subscript"/>
        </w:rPr>
        <w:t>sib</w:t>
      </w:r>
      <w:r w:rsidR="00C2766D">
        <w:rPr>
          <w:i/>
        </w:rPr>
        <w:t xml:space="preserve"> </w:t>
      </w:r>
      <w:r w:rsidR="00C2766D">
        <w:t>for individual loci either stayed the same or decreased compared to Lowe (2011).  The mean H</w:t>
      </w:r>
      <w:r w:rsidR="00C2766D">
        <w:rPr>
          <w:vertAlign w:val="subscript"/>
        </w:rPr>
        <w:t>o</w:t>
      </w:r>
      <w:r w:rsidR="00C2766D">
        <w:t xml:space="preserve"> decreased to 0.727 compared to Lowe (2011) 0.75</w:t>
      </w:r>
      <w:r w:rsidR="00364ED0">
        <w:t>0</w:t>
      </w:r>
      <w:r w:rsidR="00C2766D">
        <w:t xml:space="preserve">.  </w:t>
      </w:r>
      <w:r w:rsidR="00F637B3">
        <w:t>However</w:t>
      </w:r>
      <w:r w:rsidR="00BC1AE1">
        <w:t>,</w:t>
      </w:r>
      <w:r w:rsidR="00F637B3">
        <w:t xml:space="preserve"> even with this slight decrease, the UARB population was still the most genetically diverse population in the state (Tensas H</w:t>
      </w:r>
      <w:r w:rsidR="00F637B3">
        <w:rPr>
          <w:vertAlign w:val="subscript"/>
        </w:rPr>
        <w:t>o</w:t>
      </w:r>
      <w:r w:rsidR="00F637B3">
        <w:t xml:space="preserve"> = 0.66 and LARB H</w:t>
      </w:r>
      <w:r w:rsidR="00F637B3">
        <w:rPr>
          <w:vertAlign w:val="subscript"/>
        </w:rPr>
        <w:t>o</w:t>
      </w:r>
      <w:r w:rsidR="00F637B3">
        <w:t xml:space="preserve"> = ???; Hooker 2010; J. Troxler, unpublished data).  This high genetic diversity was most likely due to the reintroduction of black bears from Minnesota </w:t>
      </w:r>
      <w:r w:rsidR="00BC1AE1">
        <w:t>in 1964</w:t>
      </w:r>
      <w:r w:rsidR="00E9585D">
        <w:t xml:space="preserve"> </w:t>
      </w:r>
      <w:r w:rsidR="00F637B3">
        <w:t xml:space="preserve">(Csiki et al. 2003).    </w:t>
      </w:r>
    </w:p>
    <w:p w:rsidR="008D69B0" w:rsidRPr="00D51FDE" w:rsidRDefault="008D69B0" w:rsidP="00D51FDE">
      <w:pPr>
        <w:pStyle w:val="Heading2"/>
        <w:rPr>
          <w:rFonts w:ascii="Times New Roman" w:hAnsi="Times New Roman" w:cs="Times New Roman"/>
          <w:b w:val="0"/>
          <w:color w:val="auto"/>
          <w:sz w:val="24"/>
          <w:szCs w:val="24"/>
        </w:rPr>
      </w:pPr>
      <w:bookmarkStart w:id="20" w:name="_Toc361839465"/>
      <w:r w:rsidRPr="00D51FDE">
        <w:rPr>
          <w:rFonts w:ascii="Times New Roman" w:hAnsi="Times New Roman" w:cs="Times New Roman"/>
          <w:color w:val="auto"/>
          <w:sz w:val="24"/>
          <w:szCs w:val="24"/>
        </w:rPr>
        <w:lastRenderedPageBreak/>
        <w:t>Data Analyses:</w:t>
      </w:r>
      <w:bookmarkEnd w:id="20"/>
    </w:p>
    <w:p w:rsidR="008D69B0" w:rsidRDefault="008D69B0" w:rsidP="00D51FDE">
      <w:pPr>
        <w:pStyle w:val="Heading3"/>
        <w:rPr>
          <w:rFonts w:ascii="Times New Roman" w:hAnsi="Times New Roman" w:cs="Times New Roman"/>
          <w:b w:val="0"/>
          <w:i/>
          <w:color w:val="auto"/>
          <w:u w:val="single"/>
        </w:rPr>
      </w:pPr>
      <w:bookmarkStart w:id="21" w:name="_Toc361839466"/>
      <w:r w:rsidRPr="00D51FDE">
        <w:rPr>
          <w:rFonts w:ascii="Times New Roman" w:hAnsi="Times New Roman" w:cs="Times New Roman"/>
          <w:b w:val="0"/>
          <w:i/>
          <w:color w:val="auto"/>
          <w:u w:val="single"/>
        </w:rPr>
        <w:t>Objective 1: Population parameter estimates.</w:t>
      </w:r>
      <w:bookmarkEnd w:id="21"/>
    </w:p>
    <w:p w:rsidR="00D1388E" w:rsidRDefault="00D1388E" w:rsidP="00466F4F">
      <w:r>
        <w:t xml:space="preserve">My overall goal was to </w:t>
      </w:r>
      <w:r w:rsidR="00512B8C">
        <w:t xml:space="preserve">collect data to supplement Lowe’s (2011) parameter estimates and increase the precision.  </w:t>
      </w:r>
    </w:p>
    <w:p w:rsidR="00466F4F" w:rsidRDefault="00466F4F" w:rsidP="00466F4F">
      <w:r>
        <w:t xml:space="preserve">I found φ differed for males and females in UARB population.  Male φ </w:t>
      </w:r>
      <w:r w:rsidR="0033065C">
        <w:t xml:space="preserve">was </w:t>
      </w:r>
      <w:r>
        <w:t>much lower than female</w:t>
      </w:r>
      <w:r w:rsidR="00D257AF">
        <w:t>, 0.776 and 0.900, respectively</w:t>
      </w:r>
      <w:r>
        <w:t>.  This result contradicts what Lowe (2011) found in her analysis of the UARB</w:t>
      </w:r>
      <w:r w:rsidR="00D257AF">
        <w:t xml:space="preserve"> population</w:t>
      </w:r>
      <w:r>
        <w:t>.  Lowe (2011) found males and females φ</w:t>
      </w:r>
      <w:r w:rsidR="00C05B98">
        <w:t xml:space="preserve"> did not differ</w:t>
      </w:r>
      <w:r>
        <w:t xml:space="preserve"> and were higher (φ = 0.91, SE = 0.06).  Studies on the 2 other populations in Louisiana have, also, shown males and females had equal φ (Hooker 2010; Troxler, unpublished data).   Females in the UARB have φ that are similar to other studies in Louisiana (φ = 0.91 SE = 0.08, Hooker 2010; φ = 0.86, SE = ??, Troxler, unpublished data).  </w:t>
      </w:r>
    </w:p>
    <w:p w:rsidR="00D257AF" w:rsidRDefault="00D257AF" w:rsidP="00466F4F">
      <w:r>
        <w:tab/>
        <w:t xml:space="preserve">Capture heterogeneity has been a common problem in DNA mark-recapture studies.  In Louisiana black bears, Hooker (2010), Lowe (2011), and Troxler (unpublished data) have all found capture heterogeneity in their respective populations.  </w:t>
      </w:r>
    </w:p>
    <w:p w:rsidR="00C05B98" w:rsidRDefault="00117455" w:rsidP="00466F4F">
      <w:r>
        <w:tab/>
      </w:r>
      <w:r w:rsidR="000E0CBA">
        <w:t xml:space="preserve">While λ for each state and sex show the population growing, the confidence intervals for all but one of the λ cross 1.  Male over-all λ had large standard errors; this was consistent with Lowe (2011) findings for male λ.  </w:t>
      </w:r>
    </w:p>
    <w:p w:rsidR="0033065C" w:rsidRDefault="005C3E31" w:rsidP="00466F4F">
      <w:r>
        <w:tab/>
      </w:r>
      <w:r w:rsidR="00D41215">
        <w:t>Annual</w:t>
      </w:r>
      <w:r>
        <w:t xml:space="preserve"> estimates of </w:t>
      </w:r>
      <w:r>
        <w:rPr>
          <w:i/>
        </w:rPr>
        <w:t>N</w:t>
      </w:r>
      <w:r>
        <w:t xml:space="preserve"> were </w:t>
      </w:r>
      <w:r w:rsidR="00D41215">
        <w:t xml:space="preserve">found for each state and sex.  </w:t>
      </w:r>
      <w:r>
        <w:t xml:space="preserve"> </w:t>
      </w:r>
      <w:r w:rsidR="00D41215">
        <w:t xml:space="preserve">The Spillway has the largest number of bears; this was expected because it is the largest of the 3 states.  The Batchelor area had the fewest; this was also expected because it is the smallest of the 3 states and the most fragmented.  Lowe (2011) found high variability in male estimates from year to year. </w:t>
      </w:r>
    </w:p>
    <w:p w:rsidR="008A19D7" w:rsidRPr="00466F4F" w:rsidRDefault="008A19D7" w:rsidP="00466F4F">
      <w:r>
        <w:tab/>
      </w:r>
    </w:p>
    <w:p w:rsidR="008D69B0" w:rsidRDefault="008D69B0" w:rsidP="00D51FDE">
      <w:pPr>
        <w:pStyle w:val="Heading3"/>
        <w:rPr>
          <w:rFonts w:ascii="Times New Roman" w:hAnsi="Times New Roman" w:cs="Times New Roman"/>
          <w:b w:val="0"/>
          <w:i/>
          <w:color w:val="auto"/>
        </w:rPr>
      </w:pPr>
      <w:bookmarkStart w:id="22" w:name="_Toc361839467"/>
      <w:r w:rsidRPr="00D51FDE">
        <w:rPr>
          <w:rFonts w:ascii="Times New Roman" w:hAnsi="Times New Roman" w:cs="Times New Roman"/>
          <w:b w:val="0"/>
          <w:i/>
          <w:color w:val="auto"/>
          <w:u w:val="single"/>
        </w:rPr>
        <w:lastRenderedPageBreak/>
        <w:t>Objective 2: Modeling affects of flooding on UARB</w:t>
      </w:r>
      <w:r w:rsidRPr="00D51FDE">
        <w:rPr>
          <w:rFonts w:ascii="Times New Roman" w:hAnsi="Times New Roman" w:cs="Times New Roman"/>
          <w:b w:val="0"/>
          <w:i/>
          <w:color w:val="auto"/>
        </w:rPr>
        <w:t>.</w:t>
      </w:r>
      <w:bookmarkEnd w:id="22"/>
      <w:r w:rsidRPr="00D51FDE">
        <w:rPr>
          <w:rFonts w:ascii="Times New Roman" w:hAnsi="Times New Roman" w:cs="Times New Roman"/>
          <w:b w:val="0"/>
          <w:i/>
          <w:color w:val="auto"/>
        </w:rPr>
        <w:t xml:space="preserve">  </w:t>
      </w:r>
    </w:p>
    <w:p w:rsidR="002D5284" w:rsidRPr="00D41215" w:rsidRDefault="002D5284" w:rsidP="002D5284">
      <w:r>
        <w:tab/>
        <w:t>The results did not give support to any one particular hypothesis of bear movement during the flood.  Instead gave support to multiple possibilities of bear response.  There was support for bear movement out of the Spillway during the flood, Ψ increased from 0.01 to 0.08</w:t>
      </w:r>
      <w:r w:rsidR="001E3843">
        <w:t xml:space="preserve">.  This indicates that 8% of the bears moved to a non-flood area.  </w:t>
      </w:r>
      <w:r w:rsidR="00A9436C">
        <w:t xml:space="preserve">Bears moving to non-flooded areas can create dangerous situations for people and bears.  There is an increased chance of bear-vehicle collisions and human-bear interactions.  While 8% is a small number, it would still have an impact on the population if those 8% permanently left the population or were killed on the roads.  There was only one documented mortality during the flood.  This occurred on the train tressel that goes through the spillway.  After the bear-train collision, the rail system decreased the speed of the trains.  Additional support for the hypothesis that bears left the spillway during the flood comes from the estimates of </w:t>
      </w:r>
      <w:r w:rsidR="00A9436C">
        <w:rPr>
          <w:i/>
        </w:rPr>
        <w:t xml:space="preserve">p </w:t>
      </w:r>
      <w:r w:rsidR="00A9436C">
        <w:t xml:space="preserve">in the non-flooded area.  I hypothesized that if there was an influx of bears into the non-flood areas that </w:t>
      </w:r>
      <w:r w:rsidR="00A9436C">
        <w:rPr>
          <w:i/>
        </w:rPr>
        <w:t>p</w:t>
      </w:r>
      <w:r w:rsidR="00A9436C">
        <w:t xml:space="preserve"> would decrease.  Both Fordoche and Batchelor had a decrease in </w:t>
      </w:r>
      <w:r w:rsidR="00A9436C">
        <w:rPr>
          <w:i/>
        </w:rPr>
        <w:t xml:space="preserve">p. </w:t>
      </w:r>
      <w:r w:rsidR="00A9436C">
        <w:t xml:space="preserve"> Then in the post-flood year, </w:t>
      </w:r>
      <w:r w:rsidR="00A9436C" w:rsidRPr="00A9436C">
        <w:rPr>
          <w:i/>
        </w:rPr>
        <w:t>p</w:t>
      </w:r>
      <w:r w:rsidR="00A9436C">
        <w:t xml:space="preserve"> returned to pre-flood levels.  </w:t>
      </w:r>
      <w:r w:rsidR="00F32C4D">
        <w:t>The models showed support for φ staying constant through the study.  This supports my 4</w:t>
      </w:r>
      <w:r w:rsidR="00F32C4D" w:rsidRPr="00F32C4D">
        <w:rPr>
          <w:vertAlign w:val="superscript"/>
        </w:rPr>
        <w:t>th</w:t>
      </w:r>
      <w:r w:rsidR="00F32C4D">
        <w:t xml:space="preserve"> hypothesis that bears stayed in the spillway </w:t>
      </w:r>
      <w:r w:rsidR="006A657A">
        <w:t>and survived the flood.</w:t>
      </w:r>
      <w:r w:rsidR="00A9436C">
        <w:rPr>
          <w:i/>
        </w:rPr>
        <w:t xml:space="preserve"> </w:t>
      </w:r>
      <w:r w:rsidR="000E0CBA">
        <w:t>The results were inconclusive as to what the bears did post-flooding, whether they remained in the non-flooded habitat or moved back into the spillway.  There was equal support for both possibilities.  H</w:t>
      </w:r>
      <w:r w:rsidR="000E0CBA" w:rsidRPr="00A9436C">
        <w:t>owever</w:t>
      </w:r>
      <w:r w:rsidR="000E0CBA">
        <w:t xml:space="preserve">, this means that 92% of the bears may have stayed in the spillway.  This was supported by 1 collared female who stayed in a tree for duration of the flood.  </w:t>
      </w:r>
      <w:r w:rsidR="00D41215">
        <w:t xml:space="preserve">Additional support for bears leaving the spillway to non flooded areas was non-flooded areas had an increase in λ during the flood year and an increase in </w:t>
      </w:r>
      <w:r w:rsidR="00D41215">
        <w:rPr>
          <w:i/>
        </w:rPr>
        <w:t>N</w:t>
      </w:r>
      <w:r w:rsidR="00D41215">
        <w:t xml:space="preserve">.  </w:t>
      </w:r>
    </w:p>
    <w:p w:rsidR="00512B8C" w:rsidRDefault="00512B8C" w:rsidP="002D5284">
      <w:r>
        <w:tab/>
        <w:t xml:space="preserve">As previously mentioned, males and females were found to have different φ; males being lower than females.  Low male φ survival </w:t>
      </w:r>
      <w:r w:rsidR="0033065C">
        <w:t xml:space="preserve">can affect the population growth; however, female φ and reproduction have been found to be driving forces for population success (Eberhardt 1990).  The UARB female φ was 0.90 and constant throughout the years; this is a good indication that not many females were lost during the flood event.  Due to model constraints, I was unable to get φ for the post-flood year by itself.  Therefore I would caution before making any final conclusions about how the flood affected φ.  The project has been continued as part of the monitoring criteria.  Adding an additional year of post-flood data to the analysis can give the managers a more accurate look at post-flood φ.  </w:t>
      </w:r>
    </w:p>
    <w:p w:rsidR="000E0CBA" w:rsidRPr="000E0CBA" w:rsidRDefault="000E0CBA" w:rsidP="002D5284">
      <w:r>
        <w:tab/>
        <w:t>While the literature is limited on flood effects on bear populations, Stickel (1948) conducted a study on wood mice (</w:t>
      </w:r>
      <w:r>
        <w:rPr>
          <w:i/>
        </w:rPr>
        <w:t>Permyscus leucopus</w:t>
      </w:r>
      <w:r>
        <w:t xml:space="preserve">) response to a flood in the Patuxent Research Refuge.  He found </w:t>
      </w:r>
      <w:r w:rsidR="00512B8C">
        <w:t xml:space="preserve">no significant effect on the mice population.  In addition, he found that mice home range size did not differ from pre-flood to post-flood size.  Indicating the mice did not travel far from their home range during the flood.  I find this interesting and think there should be further study on bear home range in the Spillway to determine if it increased post-flood due to displacement.   </w:t>
      </w:r>
    </w:p>
    <w:p w:rsidR="00D51FDE" w:rsidRPr="00D51FDE" w:rsidRDefault="0027207A" w:rsidP="00D51FDE">
      <w:pPr>
        <w:pStyle w:val="Heading3"/>
        <w:rPr>
          <w:rFonts w:ascii="Times New Roman" w:hAnsi="Times New Roman" w:cs="Times New Roman"/>
          <w:b w:val="0"/>
          <w:color w:val="auto"/>
        </w:rPr>
      </w:pPr>
      <w:bookmarkStart w:id="23" w:name="_Toc361839468"/>
      <w:r w:rsidRPr="00D51FDE">
        <w:rPr>
          <w:rFonts w:ascii="Times New Roman" w:hAnsi="Times New Roman" w:cs="Times New Roman"/>
          <w:b w:val="0"/>
          <w:i/>
          <w:color w:val="auto"/>
          <w:u w:val="single"/>
        </w:rPr>
        <w:t>Objective 3: Comparison of 1-wire and 2-wire sampling system</w:t>
      </w:r>
      <w:r w:rsidR="005E0BCD" w:rsidRPr="00D51FDE">
        <w:rPr>
          <w:rFonts w:ascii="Times New Roman" w:hAnsi="Times New Roman" w:cs="Times New Roman"/>
          <w:b w:val="0"/>
          <w:i/>
          <w:color w:val="auto"/>
          <w:u w:val="single"/>
        </w:rPr>
        <w:t>s.</w:t>
      </w:r>
      <w:bookmarkEnd w:id="23"/>
      <w:r w:rsidR="00C02080" w:rsidRPr="00D51FDE">
        <w:rPr>
          <w:rFonts w:ascii="Times New Roman" w:hAnsi="Times New Roman" w:cs="Times New Roman"/>
          <w:b w:val="0"/>
          <w:color w:val="auto"/>
        </w:rPr>
        <w:t xml:space="preserve"> </w:t>
      </w:r>
    </w:p>
    <w:p w:rsidR="008C543F" w:rsidRDefault="008C543F" w:rsidP="007D3380">
      <w:r>
        <w:tab/>
        <w:t xml:space="preserve">Although the wire effect appeared in many of my top models, this was not a strict control-treatment experiment.  The one-wire was applied for the first three years and the two-wire was applied for the last three years.  </w:t>
      </w:r>
      <w:r w:rsidR="00BC1AE1">
        <w:t xml:space="preserve">Therefore, </w:t>
      </w:r>
      <w:r>
        <w:t>changes in the population to take place, e.g., population increase</w:t>
      </w:r>
      <w:r w:rsidR="00BC1AE1">
        <w:t xml:space="preserve">, could have led to changes in </w:t>
      </w:r>
      <w:r w:rsidR="00BC1AE1">
        <w:rPr>
          <w:i/>
        </w:rPr>
        <w:t>p</w:t>
      </w:r>
      <w:r>
        <w:t xml:space="preserve">.   </w:t>
      </w:r>
      <w:r w:rsidR="00BC1AE1">
        <w:t>As a result</w:t>
      </w:r>
      <w:r>
        <w:t>, I cannot be sure if these effects were due to the addition of the second wire or an arbitrary change in the population that occurred over the six years of our study.</w:t>
      </w:r>
    </w:p>
    <w:p w:rsidR="007D3380" w:rsidRDefault="00D46C68" w:rsidP="003E4D07">
      <w:pPr>
        <w:ind w:firstLine="720"/>
      </w:pPr>
      <w:r>
        <w:t>Overall, m</w:t>
      </w:r>
      <w:r w:rsidR="008C543F">
        <w:t xml:space="preserve">y hypothesis was </w:t>
      </w:r>
      <w:r>
        <w:t>not supported</w:t>
      </w:r>
      <w:r w:rsidR="00BC1AE1">
        <w:t xml:space="preserve">.  </w:t>
      </w:r>
      <w:r w:rsidR="002266B0">
        <w:t xml:space="preserve">The model-averaged estimates showed an increase in individual </w:t>
      </w:r>
      <w:r w:rsidR="002266B0">
        <w:rPr>
          <w:i/>
        </w:rPr>
        <w:t>p</w:t>
      </w:r>
      <w:r w:rsidR="002266B0">
        <w:t xml:space="preserve"> for males, contrasting what I hypothesized.  Overall </w:t>
      </w:r>
      <m:oMath>
        <m:acc>
          <m:accPr>
            <m:chr m:val="̅"/>
            <m:ctrlPr>
              <w:rPr>
                <w:rFonts w:ascii="Cambria Math" w:hAnsi="Cambria Math"/>
                <w:i/>
              </w:rPr>
            </m:ctrlPr>
          </m:accPr>
          <m:e>
            <m:r>
              <w:rPr>
                <w:rFonts w:ascii="Cambria Math" w:hAnsi="Cambria Math"/>
              </w:rPr>
              <m:t>p</m:t>
            </m:r>
          </m:e>
        </m:acc>
      </m:oMath>
      <w:r w:rsidR="008C543F">
        <w:t xml:space="preserve"> </w:t>
      </w:r>
      <w:r w:rsidR="002266B0">
        <w:t xml:space="preserve">for males increased and </w:t>
      </w:r>
      <w:r w:rsidR="002266B0">
        <w:rPr>
          <w:i/>
        </w:rPr>
        <w:t xml:space="preserve">p </w:t>
      </w:r>
      <w:r w:rsidR="002266B0">
        <w:t xml:space="preserve">and </w:t>
      </w:r>
      <m:oMath>
        <m:acc>
          <m:accPr>
            <m:chr m:val="̅"/>
            <m:ctrlPr>
              <w:rPr>
                <w:rFonts w:ascii="Cambria Math" w:hAnsi="Cambria Math"/>
                <w:i/>
              </w:rPr>
            </m:ctrlPr>
          </m:accPr>
          <m:e>
            <m:r>
              <w:rPr>
                <w:rFonts w:ascii="Cambria Math" w:hAnsi="Cambria Math"/>
              </w:rPr>
              <m:t>p</m:t>
            </m:r>
          </m:e>
        </m:acc>
      </m:oMath>
      <w:r w:rsidR="002266B0">
        <w:t xml:space="preserve"> for females </w:t>
      </w:r>
      <w:r w:rsidR="008C543F">
        <w:t xml:space="preserve">stayed </w:t>
      </w:r>
      <w:r w:rsidR="002266B0">
        <w:t>constant</w:t>
      </w:r>
      <w:r w:rsidR="008C543F">
        <w:t xml:space="preserve"> from one-wire to two-wires</w:t>
      </w:r>
      <w:r w:rsidR="002266B0">
        <w:t>, as hypothesized</w:t>
      </w:r>
      <w:r w:rsidR="008C543F">
        <w:t>.  While my hyp</w:t>
      </w:r>
      <w:r w:rsidR="001017D7">
        <w:t>othesis was not supported, over</w:t>
      </w:r>
      <w:r w:rsidR="008C543F">
        <w:t xml:space="preserve">all </w:t>
      </w:r>
      <w:r w:rsidR="008C543F">
        <w:rPr>
          <w:i/>
        </w:rPr>
        <w:t>p</w:t>
      </w:r>
      <w:r w:rsidR="008C543F">
        <w:t xml:space="preserve"> for both males and females was well over Boulanger et al.’s (year) 0.2 threshold for unbiased estimates of </w:t>
      </w:r>
      <w:r w:rsidR="008C543F">
        <w:rPr>
          <w:i/>
        </w:rPr>
        <w:t>N</w:t>
      </w:r>
      <w:r w:rsidR="008C543F">
        <w:t xml:space="preserve">.  </w:t>
      </w:r>
      <w:r w:rsidR="00322940">
        <w:tab/>
        <w:t xml:space="preserve"> </w:t>
      </w:r>
    </w:p>
    <w:p w:rsidR="00322940" w:rsidRDefault="00322940" w:rsidP="007D3380">
      <w:r>
        <w:tab/>
        <w:t>Even with t</w:t>
      </w:r>
      <w:r w:rsidR="003E4D07">
        <w:t xml:space="preserve">he many </w:t>
      </w:r>
      <w:r w:rsidR="005C26EA">
        <w:t>caveats to my analysis, I still</w:t>
      </w:r>
      <w:r>
        <w:t xml:space="preserve"> </w:t>
      </w:r>
      <w:r w:rsidR="005C26EA">
        <w:t>believe the two-wire system was</w:t>
      </w:r>
      <w:r>
        <w:t xml:space="preserve"> more </w:t>
      </w:r>
      <w:r w:rsidR="005C26EA">
        <w:t>efficient</w:t>
      </w:r>
      <w:r>
        <w:t xml:space="preserve"> at identifying </w:t>
      </w:r>
      <w:r w:rsidR="005C26EA">
        <w:t>individuals</w:t>
      </w:r>
      <w:r>
        <w:t xml:space="preserve"> and less bias</w:t>
      </w:r>
      <w:r w:rsidR="005C26EA">
        <w:t>ed towards the size of the animals</w:t>
      </w:r>
      <w:r>
        <w:t xml:space="preserve">. </w:t>
      </w:r>
      <w:r w:rsidR="005C26EA">
        <w:t xml:space="preserve"> The increase in number of males </w:t>
      </w:r>
      <w:r w:rsidR="004110DD">
        <w:t>identified</w:t>
      </w:r>
      <w:r w:rsidR="005C26EA">
        <w:t>, the</w:t>
      </w:r>
      <w:r w:rsidR="006648F5">
        <w:t xml:space="preserve"> even</w:t>
      </w:r>
      <w:r w:rsidR="003E4D07">
        <w:t xml:space="preserve"> sex ratio,</w:t>
      </w:r>
      <w:r w:rsidR="005C26EA">
        <w:t xml:space="preserve"> the trail camera evidence of large </w:t>
      </w:r>
      <w:r w:rsidR="003E4D07">
        <w:t>bears being caught by the</w:t>
      </w:r>
      <w:r w:rsidR="002266B0">
        <w:t xml:space="preserve"> wire, and the increase in over</w:t>
      </w:r>
      <w:r w:rsidR="003E4D07">
        <w:t xml:space="preserve">all capture probabilities </w:t>
      </w:r>
      <w:r w:rsidR="005C26EA">
        <w:t xml:space="preserve">all support the two-wire system.  In addition, the two-wire system does not drastically increase cost or time spent at each trap; therefore, </w:t>
      </w:r>
      <w:r w:rsidR="004110DD">
        <w:t xml:space="preserve">I would recommend it be employed whenever feasible. </w:t>
      </w:r>
    </w:p>
    <w:p w:rsidR="001C68E3" w:rsidRDefault="001C68E3">
      <w:pPr>
        <w:spacing w:line="276" w:lineRule="auto"/>
        <w:rPr>
          <w:rFonts w:eastAsiaTheme="majorEastAsia"/>
          <w:b/>
          <w:bCs/>
          <w:sz w:val="28"/>
          <w:szCs w:val="28"/>
        </w:rPr>
      </w:pPr>
      <w:r>
        <w:lastRenderedPageBreak/>
        <w:br w:type="page"/>
      </w:r>
    </w:p>
    <w:p w:rsidR="008D69B0" w:rsidRDefault="00E76DBE" w:rsidP="00D51FDE">
      <w:pPr>
        <w:pStyle w:val="Heading1"/>
        <w:jc w:val="center"/>
        <w:rPr>
          <w:rFonts w:ascii="Times New Roman" w:hAnsi="Times New Roman" w:cs="Times New Roman"/>
          <w:color w:val="auto"/>
        </w:rPr>
      </w:pPr>
      <w:bookmarkStart w:id="24" w:name="_Toc361839469"/>
      <w:r>
        <w:rPr>
          <w:rFonts w:ascii="Times New Roman" w:hAnsi="Times New Roman" w:cs="Times New Roman"/>
          <w:color w:val="auto"/>
        </w:rPr>
        <w:t xml:space="preserve">Chapter 6: Conclusions and </w:t>
      </w:r>
      <w:r w:rsidR="008D69B0" w:rsidRPr="00D51FDE">
        <w:rPr>
          <w:rFonts w:ascii="Times New Roman" w:hAnsi="Times New Roman" w:cs="Times New Roman"/>
          <w:color w:val="auto"/>
        </w:rPr>
        <w:t>Management Implications</w:t>
      </w:r>
      <w:bookmarkEnd w:id="24"/>
    </w:p>
    <w:p w:rsidR="00D41215" w:rsidRPr="00D41215" w:rsidRDefault="00D41215" w:rsidP="00D41215"/>
    <w:p w:rsidR="001C68E3" w:rsidRDefault="001C68E3">
      <w:pPr>
        <w:spacing w:line="276" w:lineRule="auto"/>
        <w:rPr>
          <w:rFonts w:eastAsiaTheme="majorEastAsia"/>
          <w:b/>
          <w:bCs/>
          <w:sz w:val="28"/>
          <w:szCs w:val="28"/>
        </w:rPr>
      </w:pPr>
      <w:r>
        <w:br w:type="page"/>
      </w:r>
    </w:p>
    <w:p w:rsidR="008D69B0" w:rsidRPr="00D51FDE" w:rsidRDefault="008D69B0" w:rsidP="00D51FDE">
      <w:pPr>
        <w:pStyle w:val="Heading1"/>
        <w:jc w:val="center"/>
        <w:rPr>
          <w:rFonts w:ascii="Times New Roman" w:hAnsi="Times New Roman" w:cs="Times New Roman"/>
          <w:b w:val="0"/>
          <w:color w:val="auto"/>
        </w:rPr>
      </w:pPr>
      <w:bookmarkStart w:id="25" w:name="_Toc361839470"/>
      <w:r w:rsidRPr="00D51FDE">
        <w:rPr>
          <w:rFonts w:ascii="Times New Roman" w:hAnsi="Times New Roman" w:cs="Times New Roman"/>
          <w:color w:val="auto"/>
        </w:rPr>
        <w:t>Literature Cited</w:t>
      </w:r>
      <w:bookmarkEnd w:id="25"/>
    </w:p>
    <w:p w:rsidR="000F65ED" w:rsidRDefault="000F65ED">
      <w:pPr>
        <w:spacing w:line="276" w:lineRule="auto"/>
      </w:pPr>
      <w:r>
        <w:br w:type="page"/>
      </w:r>
    </w:p>
    <w:p w:rsidR="008D69B0" w:rsidRDefault="008D69B0" w:rsidP="008D69B0">
      <w:r>
        <w:t>Anderson, D.A. 1997. Corridor use, feeding ecology, and habitat relationships of black bears in a</w:t>
      </w:r>
    </w:p>
    <w:p w:rsidR="008D69B0" w:rsidRDefault="008D69B0" w:rsidP="008D69B0">
      <w:pPr>
        <w:ind w:firstLine="720"/>
      </w:pPr>
      <w:r>
        <w:t>fragmented landscape in Louisiana. Thesis, University of Tennessee, Knoxville, USA.</w:t>
      </w:r>
    </w:p>
    <w:p w:rsidR="008D69B0" w:rsidRDefault="008D69B0" w:rsidP="008D69B0">
      <w:pPr>
        <w:pStyle w:val="NoSpacing"/>
        <w:spacing w:line="480" w:lineRule="auto"/>
      </w:pPr>
      <w:r w:rsidRPr="00CB23A5">
        <w:t xml:space="preserve">Arnason, A.N. 1972. Parameter estimates for mark-recapture experiments on two populations </w:t>
      </w:r>
    </w:p>
    <w:p w:rsidR="008D69B0" w:rsidRDefault="008D69B0" w:rsidP="008D69B0">
      <w:pPr>
        <w:pStyle w:val="NoSpacing"/>
        <w:spacing w:line="480" w:lineRule="auto"/>
        <w:ind w:firstLine="720"/>
      </w:pPr>
      <w:r w:rsidRPr="00CB23A5">
        <w:t xml:space="preserve">subject to migration and death. </w:t>
      </w:r>
      <w:r>
        <w:t xml:space="preserve">Researches on Population Ecology 13: 99-113. </w:t>
      </w:r>
    </w:p>
    <w:p w:rsidR="008D69B0" w:rsidRDefault="008D69B0" w:rsidP="008D69B0">
      <w:pPr>
        <w:pStyle w:val="NoSpacing"/>
        <w:spacing w:line="480" w:lineRule="auto"/>
      </w:pPr>
      <w:r>
        <w:t xml:space="preserve">Arnason, A.N. 1973. The estimation of population size, migration rates, and survival in stratified </w:t>
      </w:r>
    </w:p>
    <w:p w:rsidR="008D69B0" w:rsidRDefault="008D69B0" w:rsidP="008D69B0">
      <w:pPr>
        <w:pStyle w:val="NoSpacing"/>
        <w:spacing w:line="480" w:lineRule="auto"/>
        <w:ind w:firstLine="720"/>
      </w:pPr>
      <w:r>
        <w:t>populations. Researches on Population Ecology 15: 1-8.</w:t>
      </w:r>
    </w:p>
    <w:p w:rsidR="008D69B0" w:rsidRDefault="008D69B0" w:rsidP="008D69B0">
      <w:r>
        <w:t xml:space="preserve">Beausoleil, R.A. 1999. Population and spatial ecology of the Louisiana black bear in fragmented </w:t>
      </w:r>
    </w:p>
    <w:p w:rsidR="008D69B0" w:rsidRDefault="008D69B0" w:rsidP="008D69B0">
      <w:pPr>
        <w:ind w:firstLine="720"/>
      </w:pPr>
      <w:r>
        <w:t>bottomland hardwood forest. Thesis, University of Tennessee, Knoxville, USA.</w:t>
      </w:r>
    </w:p>
    <w:p w:rsidR="008D69B0" w:rsidRDefault="008D69B0" w:rsidP="008D69B0">
      <w:pPr>
        <w:rPr>
          <w:i/>
        </w:rPr>
      </w:pPr>
      <w:r>
        <w:t>Benson, J.F. and M.J. Chamberlain. 2006. Food habitats of Louisiana black bear (</w:t>
      </w:r>
      <w:r>
        <w:rPr>
          <w:i/>
        </w:rPr>
        <w:t xml:space="preserve">Ursus </w:t>
      </w:r>
    </w:p>
    <w:p w:rsidR="008D69B0" w:rsidRPr="00BE7948" w:rsidRDefault="008D69B0" w:rsidP="008D69B0">
      <w:r>
        <w:rPr>
          <w:i/>
        </w:rPr>
        <w:tab/>
        <w:t>americanus luteolus)</w:t>
      </w:r>
      <w:r>
        <w:t xml:space="preserve"> in two subpopulations of the Tensas River Basin. </w:t>
      </w:r>
    </w:p>
    <w:p w:rsidR="008D69B0" w:rsidRDefault="008D69B0" w:rsidP="008D69B0">
      <w:r>
        <w:t xml:space="preserve">Benson, J.F. and M.J. Chamberlain. 2007. Space use, survival, movements, and reproduction of </w:t>
      </w:r>
    </w:p>
    <w:p w:rsidR="008D69B0" w:rsidRDefault="008D69B0" w:rsidP="008D69B0">
      <w:r>
        <w:tab/>
        <w:t>reintroduced Louisiana black bears. Journal of Wildlife Management 71(7):2393-2403.</w:t>
      </w:r>
    </w:p>
    <w:p w:rsidR="008D69B0" w:rsidRDefault="008D69B0" w:rsidP="008D69B0">
      <w:r>
        <w:t xml:space="preserve">Boerson, M.R., J.D. Clark, and T.L. King. 2003. Estimating black bear population density and </w:t>
      </w:r>
    </w:p>
    <w:p w:rsidR="008D69B0" w:rsidRDefault="008D69B0" w:rsidP="008D69B0">
      <w:r>
        <w:tab/>
        <w:t xml:space="preserve">genetic diversity at Tensas River, Louisiana using microsatellite DNA markers. Wildlife </w:t>
      </w:r>
    </w:p>
    <w:p w:rsidR="008D69B0" w:rsidRDefault="008D69B0" w:rsidP="008D69B0">
      <w:r>
        <w:tab/>
        <w:t>Society Bulletin 31:197-207.</w:t>
      </w:r>
    </w:p>
    <w:p w:rsidR="008D69B0" w:rsidRDefault="008D69B0" w:rsidP="008D69B0">
      <w:r>
        <w:t xml:space="preserve">Borchers, D.L., and M.G. Efford. 2008. Spatially explicit maximum likelihood methods for </w:t>
      </w:r>
    </w:p>
    <w:p w:rsidR="008D69B0" w:rsidRDefault="008D69B0" w:rsidP="008D69B0">
      <w:pPr>
        <w:ind w:firstLine="720"/>
      </w:pPr>
      <w:r>
        <w:lastRenderedPageBreak/>
        <w:t xml:space="preserve">capture-recapture studies. Biometrics 64:377-385. </w:t>
      </w:r>
    </w:p>
    <w:p w:rsidR="008D69B0" w:rsidRDefault="008D69B0" w:rsidP="008D69B0">
      <w:r>
        <w:t>Boulanger, J., G.C. White, B.N. McLellan, J. Woods, M. Proctor, and S. Himmer. 2002. A meta-</w:t>
      </w:r>
    </w:p>
    <w:p w:rsidR="008D69B0" w:rsidRDefault="008D69B0" w:rsidP="008D69B0">
      <w:r>
        <w:tab/>
        <w:t xml:space="preserve">analysis of grizzly bear DNA mark-recapture projects in British Columbia, Canada. </w:t>
      </w:r>
    </w:p>
    <w:p w:rsidR="008D69B0" w:rsidRDefault="008D69B0" w:rsidP="008D69B0">
      <w:r>
        <w:tab/>
        <w:t>Ursus 13:137-152.</w:t>
      </w:r>
    </w:p>
    <w:p w:rsidR="008D69B0" w:rsidRDefault="008D69B0" w:rsidP="008D69B0">
      <w:r>
        <w:t xml:space="preserve">Burnham, K.P., and D.R. Anderson. 2002. Model selection and multimodel inference: A </w:t>
      </w:r>
    </w:p>
    <w:p w:rsidR="008D69B0" w:rsidRDefault="008D69B0" w:rsidP="008D69B0">
      <w:r>
        <w:tab/>
        <w:t>practical information-theoretic approach. Spring-Verlag, New York, New York, USA.</w:t>
      </w:r>
    </w:p>
    <w:p w:rsidR="008D69B0" w:rsidRDefault="008D69B0" w:rsidP="008D69B0">
      <w:r>
        <w:t xml:space="preserve">Cskiki, I., C. Lam, A. Key, E. Coulter, J.D. Clark, R.M. Pace, K.G. Smith, and D.G. Rhoads. </w:t>
      </w:r>
    </w:p>
    <w:p w:rsidR="008D69B0" w:rsidRDefault="008D69B0" w:rsidP="008D69B0">
      <w:pPr>
        <w:ind w:firstLine="720"/>
      </w:pPr>
      <w:r>
        <w:t xml:space="preserve">2003. Genetic variation in black bears in Arkansas and Louisiana using microsatellite </w:t>
      </w:r>
    </w:p>
    <w:p w:rsidR="008D69B0" w:rsidRDefault="008D69B0" w:rsidP="008D69B0">
      <w:pPr>
        <w:ind w:left="720"/>
      </w:pPr>
      <w:r>
        <w:t xml:space="preserve">DNA markers. Journal of Mammalogy 84(2):691-701. </w:t>
      </w:r>
    </w:p>
    <w:p w:rsidR="008D69B0" w:rsidRDefault="008D69B0" w:rsidP="008D69B0">
      <w:r>
        <w:t>Efford, M. 2004.Denisty estimation in live-trapping studies. Oikos 106:598-610.</w:t>
      </w:r>
    </w:p>
    <w:p w:rsidR="008D69B0" w:rsidRDefault="008D69B0" w:rsidP="008D69B0">
      <w:r>
        <w:t xml:space="preserve">Gardner, B., J.A. Royle, M.T. Wegan. 2009. Hierarchical models for estimating density from </w:t>
      </w:r>
    </w:p>
    <w:p w:rsidR="008D69B0" w:rsidRDefault="008D69B0" w:rsidP="008D69B0">
      <w:pPr>
        <w:ind w:firstLine="720"/>
      </w:pPr>
      <w:r>
        <w:t xml:space="preserve">DNA mark-recapture studies. Ecology 90(4):1106-1115. </w:t>
      </w:r>
    </w:p>
    <w:p w:rsidR="008D69B0" w:rsidRDefault="008D69B0" w:rsidP="008D69B0">
      <w:r w:rsidRPr="001903B3">
        <w:t>Gilpin, M. E., and M. E. Soule. 1986. Minimum</w:t>
      </w:r>
      <w:r>
        <w:t xml:space="preserve"> viable popula</w:t>
      </w:r>
      <w:r w:rsidRPr="001903B3">
        <w:t xml:space="preserve">tions: processes of species </w:t>
      </w:r>
    </w:p>
    <w:p w:rsidR="008D69B0" w:rsidRDefault="008D69B0" w:rsidP="008D69B0">
      <w:pPr>
        <w:ind w:firstLine="720"/>
      </w:pPr>
      <w:r w:rsidRPr="001903B3">
        <w:t xml:space="preserve">extinction. Pages 19-34 in M. E. Soule, editor. Conservation biology: the science of </w:t>
      </w:r>
    </w:p>
    <w:p w:rsidR="008D69B0" w:rsidRPr="00BB2936" w:rsidRDefault="008D69B0" w:rsidP="008D69B0">
      <w:pPr>
        <w:ind w:left="720"/>
      </w:pPr>
      <w:r w:rsidRPr="001903B3">
        <w:t>scarcity and diversity. Sinauer Associates, Sunderland, Massachusetts.</w:t>
      </w:r>
    </w:p>
    <w:p w:rsidR="008D69B0" w:rsidRDefault="008D69B0" w:rsidP="008D69B0">
      <w:r>
        <w:t xml:space="preserve">Ginzburg, L.R., L.B. Slobodkin, K. Johnson, and A.G. Bindham. 1982. Quasiextinction </w:t>
      </w:r>
    </w:p>
    <w:p w:rsidR="008D69B0" w:rsidRDefault="008D69B0" w:rsidP="008D69B0">
      <w:pPr>
        <w:ind w:firstLine="720"/>
      </w:pPr>
      <w:r>
        <w:t xml:space="preserve">probabilities as a measure of impact on population growth. Risk Analysis 2(3): 171-181. </w:t>
      </w:r>
    </w:p>
    <w:p w:rsidR="008D69B0" w:rsidRDefault="008D69B0" w:rsidP="008D69B0"/>
    <w:p w:rsidR="008D69B0" w:rsidRDefault="008D69B0" w:rsidP="008D69B0">
      <w:r>
        <w:t xml:space="preserve">Hall, E.R. 1981. The mammals of North America. John Wiley and Sons, New York, New York, </w:t>
      </w:r>
    </w:p>
    <w:p w:rsidR="008D69B0" w:rsidRDefault="008D69B0" w:rsidP="008D69B0">
      <w:r>
        <w:tab/>
        <w:t>USA.</w:t>
      </w:r>
    </w:p>
    <w:p w:rsidR="008D69B0" w:rsidRDefault="008D69B0" w:rsidP="008D69B0">
      <w:pPr>
        <w:pStyle w:val="NormalWeb"/>
        <w:spacing w:line="480" w:lineRule="auto"/>
        <w:rPr>
          <w:rFonts w:ascii="Times New Roman" w:hAnsi="Times New Roman"/>
          <w:sz w:val="24"/>
          <w:szCs w:val="24"/>
        </w:rPr>
      </w:pPr>
      <w:r w:rsidRPr="009937F3">
        <w:rPr>
          <w:rFonts w:ascii="Times New Roman" w:hAnsi="Times New Roman"/>
          <w:sz w:val="24"/>
          <w:szCs w:val="24"/>
        </w:rPr>
        <w:t xml:space="preserve">Hemlich, R.E., Wiebe, K.D., Claasen, R., Gadsby, D. and House, R.M. 1998. Wetlands and </w:t>
      </w:r>
    </w:p>
    <w:p w:rsidR="008D69B0" w:rsidRDefault="008D69B0" w:rsidP="008D69B0">
      <w:pPr>
        <w:pStyle w:val="NormalWeb"/>
        <w:spacing w:line="480" w:lineRule="auto"/>
        <w:ind w:firstLine="720"/>
        <w:rPr>
          <w:rFonts w:ascii="Times New Roman" w:hAnsi="Times New Roman"/>
          <w:sz w:val="24"/>
          <w:szCs w:val="24"/>
        </w:rPr>
      </w:pPr>
      <w:r w:rsidRPr="009937F3">
        <w:rPr>
          <w:rFonts w:ascii="Times New Roman" w:hAnsi="Times New Roman"/>
          <w:sz w:val="24"/>
          <w:szCs w:val="24"/>
        </w:rPr>
        <w:t xml:space="preserve">Agriculture: Private Interests and Public Benefits. Agricultural Economics Report No. </w:t>
      </w:r>
    </w:p>
    <w:p w:rsidR="008D69B0" w:rsidRPr="009937F3" w:rsidRDefault="008D69B0" w:rsidP="008D69B0">
      <w:pPr>
        <w:pStyle w:val="NormalWeb"/>
        <w:spacing w:line="480" w:lineRule="auto"/>
        <w:ind w:left="720"/>
        <w:rPr>
          <w:rFonts w:ascii="Times New Roman" w:hAnsi="Times New Roman"/>
          <w:sz w:val="24"/>
          <w:szCs w:val="24"/>
        </w:rPr>
      </w:pPr>
      <w:r w:rsidRPr="009937F3">
        <w:rPr>
          <w:rFonts w:ascii="Times New Roman" w:hAnsi="Times New Roman"/>
          <w:sz w:val="24"/>
          <w:szCs w:val="24"/>
        </w:rPr>
        <w:t>(AER765). US Department of Agriculture</w:t>
      </w:r>
      <w:r>
        <w:rPr>
          <w:rFonts w:ascii="Times New Roman" w:hAnsi="Times New Roman"/>
          <w:sz w:val="24"/>
          <w:szCs w:val="24"/>
        </w:rPr>
        <w:t xml:space="preserve">. </w:t>
      </w:r>
    </w:p>
    <w:p w:rsidR="008D69B0" w:rsidRDefault="008D69B0" w:rsidP="008D69B0">
      <w:r>
        <w:t xml:space="preserve">Hooker, M.J. 2010. Estimating population parameters of the Louisiana black bear in the Tensas </w:t>
      </w:r>
    </w:p>
    <w:p w:rsidR="008D69B0" w:rsidRDefault="008D69B0" w:rsidP="008D69B0">
      <w:r>
        <w:tab/>
        <w:t xml:space="preserve">River Basin, Louisiana, using robust design capture –mark-recapture. Thesis, University </w:t>
      </w:r>
    </w:p>
    <w:p w:rsidR="008D69B0" w:rsidRDefault="008D69B0" w:rsidP="008D69B0">
      <w:r>
        <w:tab/>
        <w:t>of Tennessee, Knoxville, USA.</w:t>
      </w:r>
    </w:p>
    <w:p w:rsidR="008D69B0" w:rsidRDefault="008D69B0" w:rsidP="008D69B0">
      <w:r>
        <w:t xml:space="preserve">Huggins, R.M. 1989. On statistical analysis of capture-recapture experiments. Biometrika </w:t>
      </w:r>
    </w:p>
    <w:p w:rsidR="008D69B0" w:rsidRDefault="008D69B0" w:rsidP="008D69B0">
      <w:pPr>
        <w:ind w:firstLine="720"/>
      </w:pPr>
      <w:r>
        <w:t xml:space="preserve">76:133-140. </w:t>
      </w:r>
    </w:p>
    <w:p w:rsidR="008D69B0" w:rsidRDefault="008D69B0" w:rsidP="008D69B0">
      <w:r>
        <w:t xml:space="preserve">Huggins, R.M. 1991. Some practical aspects of a conditional likelihood approach to capture </w:t>
      </w:r>
    </w:p>
    <w:p w:rsidR="008D69B0" w:rsidRDefault="008D69B0" w:rsidP="008D69B0">
      <w:pPr>
        <w:ind w:firstLine="720"/>
      </w:pPr>
      <w:r>
        <w:t>experiments. Biometrics 47:725-732.</w:t>
      </w:r>
    </w:p>
    <w:p w:rsidR="008D69B0" w:rsidRDefault="008D69B0" w:rsidP="008D69B0">
      <w:r>
        <w:t xml:space="preserve">Jolly, G.M. 1965. Explicit estimates from capture-recapture data with both death and </w:t>
      </w:r>
    </w:p>
    <w:p w:rsidR="008D69B0" w:rsidRDefault="008D69B0" w:rsidP="008D69B0">
      <w:pPr>
        <w:ind w:firstLine="720"/>
      </w:pPr>
      <w:r>
        <w:t>immigration: stochastic model. Ecology 79:2852-2862.</w:t>
      </w:r>
    </w:p>
    <w:p w:rsidR="008D69B0" w:rsidRDefault="008D69B0" w:rsidP="008D69B0">
      <w:r>
        <w:t xml:space="preserve">Kendall, W.L, J.D. Nichols, and J.E. Hines. 1997. Estimating temporary emigration using </w:t>
      </w:r>
    </w:p>
    <w:p w:rsidR="008D69B0" w:rsidRPr="00EE1447" w:rsidRDefault="008D69B0" w:rsidP="008D69B0">
      <w:pPr>
        <w:ind w:firstLine="720"/>
      </w:pPr>
      <w:r>
        <w:t xml:space="preserve">capture-recapture data with Pollock’s robust design. Ecology 78:563-578. </w:t>
      </w:r>
    </w:p>
    <w:p w:rsidR="008D69B0" w:rsidRDefault="008D69B0" w:rsidP="008D69B0"/>
    <w:p w:rsidR="008D69B0" w:rsidRDefault="008D69B0" w:rsidP="008D69B0">
      <w:r>
        <w:t xml:space="preserve">King, S. L., D. J. Twedt, and R.R. Wilson. 2006. The role of the wetland reserve program in </w:t>
      </w:r>
    </w:p>
    <w:p w:rsidR="008D69B0" w:rsidRDefault="008D69B0" w:rsidP="008D69B0">
      <w:r>
        <w:tab/>
        <w:t xml:space="preserve">conservation efforts in the Mississippi River Alluvial Valley. Wildlife Society Bulletin </w:t>
      </w:r>
    </w:p>
    <w:p w:rsidR="008D69B0" w:rsidRDefault="008D69B0" w:rsidP="008D69B0">
      <w:r>
        <w:tab/>
        <w:t xml:space="preserve">34:914-920. </w:t>
      </w:r>
    </w:p>
    <w:p w:rsidR="008D69B0" w:rsidRDefault="008D69B0" w:rsidP="008D69B0">
      <w:r>
        <w:t xml:space="preserve">Link, W.A. 2003. Nonidentifiability of population size from capture-recapture data with </w:t>
      </w:r>
    </w:p>
    <w:p w:rsidR="008D69B0" w:rsidRDefault="008D69B0" w:rsidP="008D69B0">
      <w:r>
        <w:tab/>
        <w:t>heterogeneous detection probabilities. Biometrics 59:1123-1130.</w:t>
      </w:r>
    </w:p>
    <w:p w:rsidR="008D69B0" w:rsidRDefault="008D69B0" w:rsidP="008D69B0">
      <w:r>
        <w:t xml:space="preserve">Lowe, C.L. 2011. Estimating population parameters of the Louisiana black bear in the Upper </w:t>
      </w:r>
    </w:p>
    <w:p w:rsidR="008D69B0" w:rsidRDefault="008D69B0" w:rsidP="008D69B0">
      <w:r>
        <w:tab/>
        <w:t>Atchafalaya River Basin. Thesis, University of Tennessee, Knoxville, USA.</w:t>
      </w:r>
    </w:p>
    <w:p w:rsidR="008D69B0" w:rsidRDefault="008D69B0" w:rsidP="008D69B0">
      <w:r>
        <w:t xml:space="preserve">Lowery, G.H. Jr. 1974. The mammals of Louisiana and its adjacent waters. Louisiana State </w:t>
      </w:r>
    </w:p>
    <w:p w:rsidR="008D69B0" w:rsidRDefault="008D69B0" w:rsidP="008D69B0">
      <w:r>
        <w:tab/>
        <w:t>University Press, Baton Rouge, Louisiana, USA.</w:t>
      </w:r>
    </w:p>
    <w:p w:rsidR="008D69B0" w:rsidRDefault="008D69B0" w:rsidP="008D69B0">
      <w:r>
        <w:t xml:space="preserve">Miller, D.A., E.M. Hallerman, M.R. Vaughan, and J.W. Kasbohm. 1998. Genetic variation in </w:t>
      </w:r>
    </w:p>
    <w:p w:rsidR="008D69B0" w:rsidRDefault="008D69B0" w:rsidP="008D69B0">
      <w:pPr>
        <w:ind w:firstLine="720"/>
      </w:pPr>
      <w:r>
        <w:t xml:space="preserve">black bear populations from Louisiana and Arkansas: Examining the potential influence </w:t>
      </w:r>
    </w:p>
    <w:p w:rsidR="008D69B0" w:rsidRDefault="008D69B0" w:rsidP="008D69B0">
      <w:pPr>
        <w:ind w:firstLine="720"/>
      </w:pPr>
      <w:r>
        <w:t xml:space="preserve">of reintroductions from Minnesota. Ursus 10:335-341. </w:t>
      </w:r>
    </w:p>
    <w:p w:rsidR="008D69B0" w:rsidRDefault="008D69B0" w:rsidP="008D69B0">
      <w:r>
        <w:t xml:space="preserve">National Climatic Data Center [NCDC]. National Oceanic and Atmospheric Administration. </w:t>
      </w:r>
    </w:p>
    <w:p w:rsidR="008D69B0" w:rsidRDefault="008D69B0" w:rsidP="008D69B0">
      <w:pPr>
        <w:ind w:firstLine="720"/>
      </w:pPr>
      <w:r>
        <w:t xml:space="preserve">2010. Annual Climatological Summary. &lt;http://cdo.ncdc.noaa.gov/anscum/ACS&gt;. </w:t>
      </w:r>
    </w:p>
    <w:p w:rsidR="008D69B0" w:rsidRDefault="008D69B0" w:rsidP="008D69B0">
      <w:pPr>
        <w:ind w:firstLine="720"/>
      </w:pPr>
      <w:r>
        <w:t xml:space="preserve">Accessed 14 April 2012. </w:t>
      </w:r>
    </w:p>
    <w:p w:rsidR="008D69B0" w:rsidRDefault="008D69B0" w:rsidP="008D69B0">
      <w:r>
        <w:t xml:space="preserve">Neal, W.A. 1990. Proposed threatened status for the Louisiana black bear. Federal Register </w:t>
      </w:r>
    </w:p>
    <w:p w:rsidR="008D69B0" w:rsidRDefault="008D69B0" w:rsidP="008D69B0">
      <w:r>
        <w:lastRenderedPageBreak/>
        <w:tab/>
        <w:t>55(120):25341-25345.</w:t>
      </w:r>
    </w:p>
    <w:p w:rsidR="008D69B0" w:rsidRDefault="008D69B0" w:rsidP="008D69B0">
      <w:r>
        <w:t xml:space="preserve">Neal, W.A. 1992. Threatened status for the Louisiana black bear and related rules. Federal </w:t>
      </w:r>
    </w:p>
    <w:p w:rsidR="008D69B0" w:rsidRDefault="008D69B0" w:rsidP="008D69B0">
      <w:r>
        <w:tab/>
        <w:t>Register 57(4):588-595</w:t>
      </w:r>
    </w:p>
    <w:p w:rsidR="008D69B0" w:rsidRDefault="008D69B0" w:rsidP="008D69B0">
      <w:r>
        <w:t xml:space="preserve">Otis, D.L., K.P. Burnham, G.C. White, and D.R. Anderson. 1978. Statistical inference from </w:t>
      </w:r>
    </w:p>
    <w:p w:rsidR="008D69B0" w:rsidRDefault="008D69B0" w:rsidP="008D69B0">
      <w:r>
        <w:tab/>
        <w:t xml:space="preserve">capture data on closed animal populations. Wildlife Monographs 62. </w:t>
      </w:r>
    </w:p>
    <w:p w:rsidR="008D69B0" w:rsidRDefault="008D69B0" w:rsidP="008D69B0">
      <w:r>
        <w:t>Paetkau, D. 2003. An empirical exploration of data quality in DNA-based population inventories.</w:t>
      </w:r>
    </w:p>
    <w:p w:rsidR="008D69B0" w:rsidRDefault="008D69B0" w:rsidP="008D69B0">
      <w:r>
        <w:tab/>
        <w:t>Molecular Ecology 12:1375-1387.</w:t>
      </w:r>
    </w:p>
    <w:p w:rsidR="008D69B0" w:rsidRDefault="008D69B0" w:rsidP="008D69B0">
      <w:r>
        <w:t xml:space="preserve">Pledger, S.A. 2000. Unified maximum likelihood estimates for closed capture-recapture models </w:t>
      </w:r>
    </w:p>
    <w:p w:rsidR="008D69B0" w:rsidRDefault="008D69B0" w:rsidP="008D69B0">
      <w:pPr>
        <w:ind w:firstLine="720"/>
      </w:pPr>
      <w:r>
        <w:t xml:space="preserve">using mixtures. Biometrics 56:434-442. </w:t>
      </w:r>
    </w:p>
    <w:p w:rsidR="008D69B0" w:rsidRDefault="008D69B0" w:rsidP="008D69B0">
      <w:r>
        <w:t xml:space="preserve">Pollock, K.H. 1982. A capture-recapture design robust to unequal capture probability. Journal of </w:t>
      </w:r>
    </w:p>
    <w:p w:rsidR="008D69B0" w:rsidRDefault="008D69B0" w:rsidP="008D69B0">
      <w:r>
        <w:tab/>
        <w:t>Wildlife Management 46:752-757.</w:t>
      </w:r>
    </w:p>
    <w:p w:rsidR="008D69B0" w:rsidRDefault="008D69B0" w:rsidP="008D69B0">
      <w:r>
        <w:t xml:space="preserve">Royle, J.A. and K.V. Young. 2008. A hierarchical model for spatial capture-recapture data. </w:t>
      </w:r>
    </w:p>
    <w:p w:rsidR="008D69B0" w:rsidRDefault="008D69B0" w:rsidP="008D69B0">
      <w:pPr>
        <w:ind w:firstLine="720"/>
      </w:pPr>
      <w:r>
        <w:t xml:space="preserve">Ecology 89(8):2281-2289. </w:t>
      </w:r>
    </w:p>
    <w:p w:rsidR="008D69B0" w:rsidRDefault="008D69B0" w:rsidP="008D69B0">
      <w:r>
        <w:t xml:space="preserve">Royle, J.A., J.D. Nichols, K.U. Karanth, and A.M. Gopalaswamy. 2009. A hierarchical model </w:t>
      </w:r>
    </w:p>
    <w:p w:rsidR="008D69B0" w:rsidRDefault="008D69B0" w:rsidP="008D69B0">
      <w:pPr>
        <w:ind w:firstLine="720"/>
      </w:pPr>
      <w:r>
        <w:t>for estimating density in camera-trap studies. Journal of Applied Ecology 46:118-127.</w:t>
      </w:r>
    </w:p>
    <w:p w:rsidR="008D69B0" w:rsidRDefault="008D69B0" w:rsidP="008D69B0">
      <w:pPr>
        <w:pStyle w:val="NoSpacing"/>
        <w:spacing w:line="480" w:lineRule="auto"/>
      </w:pPr>
      <w:r>
        <w:t>Schwarz, C.J., J.F. Schweigert, and A.N. Arnason. 1993. Estimating migration rates using tag-</w:t>
      </w:r>
    </w:p>
    <w:p w:rsidR="008D69B0" w:rsidRDefault="008D69B0" w:rsidP="008D69B0">
      <w:pPr>
        <w:pStyle w:val="NoSpacing"/>
        <w:spacing w:line="480" w:lineRule="auto"/>
        <w:ind w:firstLine="720"/>
      </w:pPr>
      <w:r>
        <w:t xml:space="preserve">recovery data. Biometrics 49:177-193. </w:t>
      </w:r>
    </w:p>
    <w:p w:rsidR="008D69B0" w:rsidRDefault="008D69B0" w:rsidP="008D69B0">
      <w:r>
        <w:t xml:space="preserve">Seber, G.A.F. 1965. A note on multiple recapture census. Biometrika 52:249-259. </w:t>
      </w:r>
    </w:p>
    <w:p w:rsidR="008D69B0" w:rsidRDefault="008D69B0" w:rsidP="008D69B0"/>
    <w:p w:rsidR="008D69B0" w:rsidRDefault="008D69B0" w:rsidP="008D69B0">
      <w:r>
        <w:t>Taylor, D.F. 1971. A radio-telemetry study of the black bear (</w:t>
      </w:r>
      <w:r>
        <w:rPr>
          <w:i/>
        </w:rPr>
        <w:t>Euarctos americanus)</w:t>
      </w:r>
      <w:r>
        <w:t xml:space="preserve"> with notes </w:t>
      </w:r>
    </w:p>
    <w:p w:rsidR="008D69B0" w:rsidRDefault="008D69B0" w:rsidP="008D69B0">
      <w:r>
        <w:tab/>
        <w:t xml:space="preserve">on its history and present status in Louisiana. Thesis, Louisiana State University, Baton </w:t>
      </w:r>
    </w:p>
    <w:p w:rsidR="008D69B0" w:rsidRDefault="008D69B0" w:rsidP="008D69B0">
      <w:r>
        <w:tab/>
        <w:t xml:space="preserve">Rouge, USA. </w:t>
      </w:r>
    </w:p>
    <w:p w:rsidR="008D69B0" w:rsidRDefault="008D69B0" w:rsidP="008D69B0">
      <w:r>
        <w:t xml:space="preserve">Tredick, C.A., M.R. Vaughan, D.F. Stauffer, S.L. Simek, and T. Eason. 2007. Sub-sampling </w:t>
      </w:r>
    </w:p>
    <w:p w:rsidR="008D69B0" w:rsidRDefault="008D69B0" w:rsidP="008D69B0">
      <w:r>
        <w:tab/>
        <w:t>genetic data to estimate black bear population size: a case study. Ursus 18:179-188.</w:t>
      </w:r>
    </w:p>
    <w:p w:rsidR="008D69B0" w:rsidRDefault="008D69B0" w:rsidP="008D69B0">
      <w:r>
        <w:t xml:space="preserve">Triant, D.A., R.M. Pace III, and M. Stine. 2004. Abundance, genetic diversity and conservation </w:t>
      </w:r>
    </w:p>
    <w:p w:rsidR="008D69B0" w:rsidRDefault="008D69B0" w:rsidP="008D69B0">
      <w:r>
        <w:tab/>
        <w:t>of the Louisiana black bear (</w:t>
      </w:r>
      <w:r>
        <w:rPr>
          <w:i/>
        </w:rPr>
        <w:t>Ursus americanus luteolus)</w:t>
      </w:r>
      <w:r>
        <w:t xml:space="preserve"> as detected through noninvasive </w:t>
      </w:r>
    </w:p>
    <w:p w:rsidR="008D69B0" w:rsidRDefault="008D69B0" w:rsidP="008D69B0">
      <w:r>
        <w:tab/>
        <w:t>sampling. Conservation Genetics 5:647-659.</w:t>
      </w:r>
    </w:p>
    <w:p w:rsidR="008D69B0" w:rsidRDefault="008D69B0" w:rsidP="008D69B0">
      <w:pPr>
        <w:rPr>
          <w:i/>
        </w:rPr>
      </w:pPr>
      <w:r>
        <w:t>U.S. Fish and Wildlife Service [USFWS]. 1995. Louisiana black bear (</w:t>
      </w:r>
      <w:r>
        <w:rPr>
          <w:i/>
        </w:rPr>
        <w:t xml:space="preserve">Ursus americanus </w:t>
      </w:r>
    </w:p>
    <w:p w:rsidR="008D69B0" w:rsidRDefault="008D69B0" w:rsidP="008D69B0">
      <w:r>
        <w:rPr>
          <w:i/>
        </w:rPr>
        <w:tab/>
        <w:t>luteolus)</w:t>
      </w:r>
      <w:r>
        <w:t xml:space="preserve"> recovery plan. U.S. Fish and Wildlife Service, Southeast Regional Office, </w:t>
      </w:r>
    </w:p>
    <w:p w:rsidR="008D69B0" w:rsidRDefault="008D69B0" w:rsidP="008D69B0">
      <w:r>
        <w:tab/>
        <w:t xml:space="preserve">Atlanta, Georgia, USA. </w:t>
      </w:r>
    </w:p>
    <w:p w:rsidR="008D69B0" w:rsidRDefault="008D69B0" w:rsidP="008D69B0">
      <w:r>
        <w:t xml:space="preserve">Wagner, R.O., D.A. Hightower, and R.M. Pace. 2001. Measuring levels and patterns of activity </w:t>
      </w:r>
    </w:p>
    <w:p w:rsidR="008D69B0" w:rsidRDefault="008D69B0" w:rsidP="008D69B0">
      <w:r>
        <w:tab/>
        <w:t>in black bears. Ursus 12:181-188.</w:t>
      </w:r>
    </w:p>
    <w:p w:rsidR="008D69B0" w:rsidRDefault="008D69B0" w:rsidP="008D69B0">
      <w:r>
        <w:t xml:space="preserve">Warrillow, J., M. Culver, E. Hallerman, and M. Vaugun. 2001. Subspecific affinity of black </w:t>
      </w:r>
    </w:p>
    <w:p w:rsidR="008D69B0" w:rsidRDefault="008D69B0" w:rsidP="008D69B0">
      <w:pPr>
        <w:ind w:firstLine="720"/>
      </w:pPr>
      <w:r>
        <w:t xml:space="preserve">bears in White River National Wildlife Refuge. Journal of Heredity 92(3): 226-233. </w:t>
      </w:r>
    </w:p>
    <w:p w:rsidR="008D69B0" w:rsidRDefault="008D69B0" w:rsidP="008D69B0">
      <w:r>
        <w:t xml:space="preserve">White, G.C., and K.P. Burnham. 1999. Program Mark: survival estimation from populations of </w:t>
      </w:r>
    </w:p>
    <w:p w:rsidR="008D69B0" w:rsidRDefault="008D69B0" w:rsidP="008D69B0">
      <w:pPr>
        <w:ind w:firstLine="720"/>
      </w:pPr>
      <w:r>
        <w:lastRenderedPageBreak/>
        <w:t>marked animals. Bird Study 46 Supplement:120-138.</w:t>
      </w:r>
    </w:p>
    <w:p w:rsidR="008D69B0" w:rsidRDefault="008D69B0" w:rsidP="008D69B0">
      <w:r>
        <w:t xml:space="preserve">Woods, J.G., D. Paetkau, D. Lewis, B.L. McLellan, M. Proctor, and C. Strobeck. 1999. Genetic </w:t>
      </w:r>
    </w:p>
    <w:p w:rsidR="008D69B0" w:rsidRDefault="008D69B0" w:rsidP="008D69B0">
      <w:r>
        <w:tab/>
        <w:t>tagging of free-ranging black and brown bears. Wildlife Society Bulletin 27:616-627.</w:t>
      </w:r>
    </w:p>
    <w:p w:rsidR="008D69B0" w:rsidRDefault="008D69B0" w:rsidP="008D69B0">
      <w:r>
        <w:t xml:space="preserve">Wagner, R.O. 1995. Movement patterns of black bears in south central Louisiana. Thesis, </w:t>
      </w:r>
    </w:p>
    <w:p w:rsidR="008D69B0" w:rsidRDefault="008D69B0" w:rsidP="008D69B0">
      <w:r>
        <w:tab/>
        <w:t>Louisiana State University, Baton Rouge, US</w:t>
      </w:r>
    </w:p>
    <w:p w:rsidR="008D69B0" w:rsidRDefault="008D69B0" w:rsidP="008D69B0"/>
    <w:p w:rsidR="008D69B0" w:rsidRDefault="008D69B0">
      <w:pPr>
        <w:spacing w:line="276" w:lineRule="auto"/>
      </w:pPr>
      <w:r>
        <w:br w:type="page"/>
      </w:r>
    </w:p>
    <w:p w:rsidR="008D69B0" w:rsidRPr="00D51FDE" w:rsidRDefault="008D69B0" w:rsidP="00D51FDE">
      <w:pPr>
        <w:pStyle w:val="Heading1"/>
        <w:jc w:val="center"/>
        <w:rPr>
          <w:rFonts w:ascii="Times New Roman" w:hAnsi="Times New Roman" w:cs="Times New Roman"/>
          <w:b w:val="0"/>
          <w:color w:val="auto"/>
        </w:rPr>
      </w:pPr>
      <w:bookmarkStart w:id="26" w:name="_Toc361839471"/>
      <w:r w:rsidRPr="00D51FDE">
        <w:rPr>
          <w:rFonts w:ascii="Times New Roman" w:hAnsi="Times New Roman" w:cs="Times New Roman"/>
          <w:color w:val="auto"/>
        </w:rPr>
        <w:lastRenderedPageBreak/>
        <w:t>Appendices</w:t>
      </w:r>
      <w:bookmarkEnd w:id="26"/>
    </w:p>
    <w:p w:rsidR="008D69B0" w:rsidRDefault="008D69B0">
      <w:pPr>
        <w:spacing w:line="276" w:lineRule="auto"/>
        <w:rPr>
          <w:b/>
        </w:rPr>
      </w:pPr>
      <w:r>
        <w:rPr>
          <w:b/>
        </w:rPr>
        <w:br w:type="page"/>
      </w:r>
    </w:p>
    <w:p w:rsidR="008D69B0" w:rsidRPr="00D51FDE" w:rsidRDefault="008D69B0" w:rsidP="00D51FDE">
      <w:pPr>
        <w:pStyle w:val="Heading2"/>
        <w:jc w:val="center"/>
        <w:rPr>
          <w:rFonts w:ascii="Times New Roman" w:hAnsi="Times New Roman" w:cs="Times New Roman"/>
          <w:b w:val="0"/>
          <w:color w:val="auto"/>
          <w:sz w:val="24"/>
          <w:szCs w:val="24"/>
        </w:rPr>
      </w:pPr>
      <w:bookmarkStart w:id="27" w:name="_Toc361839472"/>
      <w:r w:rsidRPr="00D51FDE">
        <w:rPr>
          <w:rFonts w:ascii="Times New Roman" w:hAnsi="Times New Roman" w:cs="Times New Roman"/>
          <w:color w:val="auto"/>
          <w:sz w:val="24"/>
          <w:szCs w:val="24"/>
        </w:rPr>
        <w:lastRenderedPageBreak/>
        <w:t>Appendix A: Figures</w:t>
      </w:r>
      <w:bookmarkEnd w:id="27"/>
    </w:p>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p w:rsidR="008D69B0" w:rsidRDefault="008D69B0" w:rsidP="008D69B0">
      <w:r>
        <w:rPr>
          <w:noProof/>
        </w:rPr>
        <w:lastRenderedPageBreak/>
        <w:drawing>
          <wp:anchor distT="0" distB="0" distL="114300" distR="114300" simplePos="0" relativeHeight="251661312" behindDoc="0" locked="0" layoutInCell="1" allowOverlap="1">
            <wp:simplePos x="0" y="0"/>
            <wp:positionH relativeFrom="column">
              <wp:posOffset>19050</wp:posOffset>
            </wp:positionH>
            <wp:positionV relativeFrom="paragraph">
              <wp:posOffset>2162175</wp:posOffset>
            </wp:positionV>
            <wp:extent cx="361950" cy="504825"/>
            <wp:effectExtent l="19050" t="0" r="0" b="0"/>
            <wp:wrapNone/>
            <wp:docPr id="16" name="il_fi" descr="http://t2.gstatic.com/images?q=tbn:ANd9GcS8YLbiRF1e30X0Dd0pJhTrOKIfACYFSAdRK5EYjncmPTZn3kmV_FARa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S8YLbiRF1e30X0Dd0pJhTrOKIfACYFSAdRK5EYjncmPTZn3kmV_FARalsA"/>
                    <pic:cNvPicPr>
                      <a:picLocks noChangeAspect="1" noChangeArrowheads="1"/>
                    </pic:cNvPicPr>
                  </pic:nvPicPr>
                  <pic:blipFill>
                    <a:blip r:embed="rId10" cstate="print"/>
                    <a:srcRect/>
                    <a:stretch>
                      <a:fillRect/>
                    </a:stretch>
                  </pic:blipFill>
                  <pic:spPr bwMode="auto">
                    <a:xfrm>
                      <a:off x="0" y="0"/>
                      <a:ext cx="361950" cy="504825"/>
                    </a:xfrm>
                    <a:prstGeom prst="rect">
                      <a:avLst/>
                    </a:prstGeom>
                    <a:noFill/>
                    <a:ln w="9525">
                      <a:noFill/>
                      <a:miter lim="800000"/>
                      <a:headEnd/>
                      <a:tailEnd/>
                    </a:ln>
                  </pic:spPr>
                </pic:pic>
              </a:graphicData>
            </a:graphic>
          </wp:anchor>
        </w:drawing>
      </w:r>
      <w:r w:rsidRPr="00186EE8">
        <w:rPr>
          <w:noProof/>
        </w:rPr>
        <w:drawing>
          <wp:inline distT="0" distB="0" distL="0" distR="0">
            <wp:extent cx="4293220" cy="2667000"/>
            <wp:effectExtent l="19050" t="0" r="0" b="0"/>
            <wp:docPr id="1" name="Picture 1" descr="rangesmall.png"/>
            <wp:cNvGraphicFramePr/>
            <a:graphic xmlns:a="http://schemas.openxmlformats.org/drawingml/2006/main">
              <a:graphicData uri="http://schemas.openxmlformats.org/drawingml/2006/picture">
                <pic:pic xmlns:pic="http://schemas.openxmlformats.org/drawingml/2006/picture">
                  <pic:nvPicPr>
                    <pic:cNvPr id="7" name="Content Placeholder 6" descr="rangesmall.png"/>
                    <pic:cNvPicPr>
                      <a:picLocks noChangeAspect="1"/>
                    </pic:cNvPicPr>
                  </pic:nvPicPr>
                  <pic:blipFill>
                    <a:blip r:embed="rId11" cstate="print"/>
                    <a:srcRect l="16456" t="30854" b="23420"/>
                    <a:stretch>
                      <a:fillRect/>
                    </a:stretch>
                  </pic:blipFill>
                  <pic:spPr>
                    <a:xfrm>
                      <a:off x="0" y="0"/>
                      <a:ext cx="4293220" cy="2667000"/>
                    </a:xfrm>
                    <a:prstGeom prst="rect">
                      <a:avLst/>
                    </a:prstGeom>
                  </pic:spPr>
                </pic:pic>
              </a:graphicData>
            </a:graphic>
          </wp:inline>
        </w:drawing>
      </w:r>
    </w:p>
    <w:p w:rsidR="008D69B0" w:rsidRPr="007A70F3" w:rsidRDefault="008778A6" w:rsidP="00C04AAB">
      <w:pPr>
        <w:pStyle w:val="Caption"/>
        <w:rPr>
          <w:b w:val="0"/>
          <w:color w:val="auto"/>
          <w:sz w:val="24"/>
          <w:szCs w:val="24"/>
        </w:rPr>
      </w:pPr>
      <w:bookmarkStart w:id="28" w:name="_Toc359326316"/>
      <w:r w:rsidRPr="007A70F3">
        <w:rPr>
          <w:b w:val="0"/>
          <w:color w:val="auto"/>
          <w:sz w:val="24"/>
          <w:szCs w:val="24"/>
        </w:rPr>
        <w:t xml:space="preserve">Figure </w:t>
      </w:r>
      <w:r w:rsidR="00EF3F25" w:rsidRPr="007A70F3">
        <w:rPr>
          <w:b w:val="0"/>
          <w:color w:val="auto"/>
          <w:sz w:val="24"/>
          <w:szCs w:val="24"/>
        </w:rPr>
        <w:fldChar w:fldCharType="begin"/>
      </w:r>
      <w:r w:rsidRPr="007A70F3">
        <w:rPr>
          <w:b w:val="0"/>
          <w:color w:val="auto"/>
          <w:sz w:val="24"/>
          <w:szCs w:val="24"/>
        </w:rPr>
        <w:instrText xml:space="preserve"> SEQ Figure \* ARABIC </w:instrText>
      </w:r>
      <w:r w:rsidR="00EF3F25" w:rsidRPr="007A70F3">
        <w:rPr>
          <w:b w:val="0"/>
          <w:color w:val="auto"/>
          <w:sz w:val="24"/>
          <w:szCs w:val="24"/>
        </w:rPr>
        <w:fldChar w:fldCharType="separate"/>
      </w:r>
      <w:r w:rsidR="006E069B">
        <w:rPr>
          <w:b w:val="0"/>
          <w:noProof/>
          <w:color w:val="auto"/>
          <w:sz w:val="24"/>
          <w:szCs w:val="24"/>
        </w:rPr>
        <w:t>1</w:t>
      </w:r>
      <w:r w:rsidR="00EF3F25" w:rsidRPr="007A70F3">
        <w:rPr>
          <w:b w:val="0"/>
          <w:color w:val="auto"/>
          <w:sz w:val="24"/>
          <w:szCs w:val="24"/>
        </w:rPr>
        <w:fldChar w:fldCharType="end"/>
      </w:r>
      <w:r w:rsidRPr="007A70F3">
        <w:rPr>
          <w:b w:val="0"/>
          <w:color w:val="auto"/>
          <w:sz w:val="24"/>
          <w:szCs w:val="24"/>
        </w:rPr>
        <w:t>. Louisiana black bear (</w:t>
      </w:r>
      <w:r w:rsidRPr="007A70F3">
        <w:rPr>
          <w:b w:val="0"/>
          <w:i/>
          <w:color w:val="auto"/>
          <w:sz w:val="24"/>
          <w:szCs w:val="24"/>
        </w:rPr>
        <w:t>Ursus americanus luteolus</w:t>
      </w:r>
      <w:r w:rsidRPr="007A70F3">
        <w:rPr>
          <w:b w:val="0"/>
          <w:color w:val="auto"/>
          <w:sz w:val="24"/>
          <w:szCs w:val="24"/>
        </w:rPr>
        <w:t>) historic home range</w:t>
      </w:r>
      <w:bookmarkEnd w:id="28"/>
    </w:p>
    <w:p w:rsidR="008D69B0" w:rsidRDefault="008D69B0" w:rsidP="008D69B0">
      <w:r>
        <w:br w:type="page"/>
      </w:r>
    </w:p>
    <w:p w:rsidR="008D69B0" w:rsidRDefault="008D69B0" w:rsidP="008D69B0">
      <w:pPr>
        <w:spacing w:before="240"/>
      </w:pPr>
      <w:r w:rsidRPr="00186EE8">
        <w:rPr>
          <w:noProof/>
        </w:rPr>
        <w:lastRenderedPageBreak/>
        <w:drawing>
          <wp:inline distT="0" distB="0" distL="0" distR="0">
            <wp:extent cx="4098758" cy="3231776"/>
            <wp:effectExtent l="19050" t="0" r="0" b="0"/>
            <wp:docPr id="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098758" cy="3231776"/>
                      <a:chOff x="549442" y="2102224"/>
                      <a:chExt cx="4098758" cy="3231776"/>
                    </a:xfrm>
                  </a:grpSpPr>
                  <a:pic>
                    <a:nvPicPr>
                      <a:cNvPr id="28" name="Picture 27" descr="breedpops_green1.jpg"/>
                      <a:cNvPicPr>
                        <a:picLocks noChangeAspect="1"/>
                      </a:cNvPicPr>
                    </a:nvPicPr>
                    <a:blipFill>
                      <a:blip r:embed="rId12" cstate="print"/>
                      <a:srcRect t="17424" b="14394"/>
                      <a:stretch>
                        <a:fillRect/>
                      </a:stretch>
                    </a:blipFill>
                    <a:spPr>
                      <a:xfrm>
                        <a:off x="549442" y="2102224"/>
                        <a:ext cx="3489158" cy="3231776"/>
                      </a:xfrm>
                      <a:prstGeom prst="rect">
                        <a:avLst/>
                      </a:prstGeom>
                      <a:ln w="38100">
                        <a:solidFill>
                          <a:schemeClr val="tx1"/>
                        </a:solidFill>
                      </a:ln>
                    </a:spPr>
                  </a:pic>
                  <a:grpSp>
                    <a:nvGrpSpPr>
                      <a:cNvPr id="20" name="Group 19"/>
                      <a:cNvGrpSpPr/>
                    </a:nvGrpSpPr>
                    <a:grpSpPr>
                      <a:xfrm>
                        <a:off x="2286001" y="2362200"/>
                        <a:ext cx="2279707" cy="533400"/>
                        <a:chOff x="2539290" y="2133601"/>
                        <a:chExt cx="1661666" cy="533400"/>
                      </a:xfrm>
                    </a:grpSpPr>
                    <a:sp>
                      <a:nvSpPr>
                        <a:cNvPr id="9" name="TextBox 8"/>
                        <a:cNvSpPr txBox="1"/>
                      </a:nvSpPr>
                      <a:spPr>
                        <a:xfrm>
                          <a:off x="2816999" y="2133601"/>
                          <a:ext cx="1383957" cy="369332"/>
                        </a:xfrm>
                        <a:prstGeom prst="rect">
                          <a:avLst/>
                        </a:prstGeom>
                        <a:solidFill>
                          <a:schemeClr val="bg1"/>
                        </a:solidFill>
                        <a:ln w="1905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Tensas River Basin</a:t>
                            </a:r>
                            <a:endParaRPr lang="en-US" dirty="0"/>
                          </a:p>
                        </a:txBody>
                        <a:useSpRect/>
                      </a:txSp>
                    </a:sp>
                    <a:cxnSp>
                      <a:nvCxnSpPr>
                        <a:cNvPr id="13" name="Straight Arrow Connector 12"/>
                        <a:cNvCxnSpPr>
                          <a:stCxn id="9" idx="1"/>
                        </a:cNvCxnSpPr>
                      </a:nvCxnSpPr>
                      <a:spPr>
                        <a:xfrm flipH="1">
                          <a:off x="2539290" y="2318267"/>
                          <a:ext cx="277709" cy="348734"/>
                        </a:xfrm>
                        <a:prstGeom prst="straightConnector1">
                          <a:avLst/>
                        </a:prstGeom>
                        <a:ln w="1905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grpSp>
                    <a:nvGrpSpPr>
                      <a:cNvPr id="19" name="Group 18"/>
                      <a:cNvGrpSpPr/>
                    </a:nvGrpSpPr>
                    <a:grpSpPr>
                      <a:xfrm>
                        <a:off x="2133600" y="2971800"/>
                        <a:ext cx="2514600" cy="896034"/>
                        <a:chOff x="2225040" y="2667000"/>
                        <a:chExt cx="2011680" cy="896034"/>
                      </a:xfrm>
                    </a:grpSpPr>
                    <a:sp>
                      <a:nvSpPr>
                        <a:cNvPr id="10" name="TextBox 9"/>
                        <a:cNvSpPr txBox="1"/>
                      </a:nvSpPr>
                      <a:spPr>
                        <a:xfrm>
                          <a:off x="2651760" y="2667000"/>
                          <a:ext cx="1584960" cy="646331"/>
                        </a:xfrm>
                        <a:prstGeom prst="rect">
                          <a:avLst/>
                        </a:prstGeom>
                        <a:solidFill>
                          <a:schemeClr val="bg1"/>
                        </a:solidFill>
                        <a:ln w="1905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Upper Atchafalaya River Basin (UARB)</a:t>
                            </a:r>
                            <a:endParaRPr lang="en-US" dirty="0"/>
                          </a:p>
                        </a:txBody>
                        <a:useSpRect/>
                      </a:txSp>
                    </a:sp>
                    <a:cxnSp>
                      <a:nvCxnSpPr>
                        <a:cNvPr id="15" name="Straight Arrow Connector 14"/>
                        <a:cNvCxnSpPr>
                          <a:stCxn id="10" idx="1"/>
                        </a:cNvCxnSpPr>
                      </a:nvCxnSpPr>
                      <a:spPr>
                        <a:xfrm flipH="1">
                          <a:off x="2225040" y="2990166"/>
                          <a:ext cx="426720" cy="572868"/>
                        </a:xfrm>
                        <a:prstGeom prst="straightConnector1">
                          <a:avLst/>
                        </a:prstGeom>
                        <a:ln w="1905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grpSp>
                    <a:nvGrpSpPr>
                      <a:cNvPr id="18" name="Group 17"/>
                      <a:cNvGrpSpPr/>
                    </a:nvGrpSpPr>
                    <a:grpSpPr>
                      <a:xfrm>
                        <a:off x="2057400" y="3962400"/>
                        <a:ext cx="2514600" cy="667435"/>
                        <a:chOff x="2057400" y="3733800"/>
                        <a:chExt cx="2514600" cy="667435"/>
                      </a:xfrm>
                    </a:grpSpPr>
                    <a:sp>
                      <a:nvSpPr>
                        <a:cNvPr id="11" name="TextBox 10"/>
                        <a:cNvSpPr txBox="1"/>
                      </a:nvSpPr>
                      <a:spPr>
                        <a:xfrm>
                          <a:off x="2667000" y="3733800"/>
                          <a:ext cx="1905000" cy="646331"/>
                        </a:xfrm>
                        <a:prstGeom prst="rect">
                          <a:avLst/>
                        </a:prstGeom>
                        <a:solidFill>
                          <a:schemeClr val="bg1"/>
                        </a:solidFill>
                        <a:ln w="1905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Lower Atchafalaya River Basin (LARB)</a:t>
                            </a:r>
                            <a:endParaRPr lang="en-US" dirty="0"/>
                          </a:p>
                        </a:txBody>
                        <a:useSpRect/>
                      </a:txSp>
                    </a:sp>
                    <a:cxnSp>
                      <a:nvCxnSpPr>
                        <a:cNvPr id="17" name="Straight Arrow Connector 16"/>
                        <a:cNvCxnSpPr>
                          <a:stCxn id="11" idx="1"/>
                        </a:cNvCxnSpPr>
                      </a:nvCxnSpPr>
                      <a:spPr>
                        <a:xfrm flipH="1">
                          <a:off x="2057400" y="4056966"/>
                          <a:ext cx="609600" cy="344269"/>
                        </a:xfrm>
                        <a:prstGeom prst="straightConnector1">
                          <a:avLst/>
                        </a:prstGeom>
                        <a:ln w="19050">
                          <a:solidFill>
                            <a:schemeClr val="tx1"/>
                          </a:solidFill>
                          <a:tailEnd type="arrow"/>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8D69B0" w:rsidRPr="00C04AAB" w:rsidRDefault="00C04AAB" w:rsidP="00C04AAB">
      <w:pPr>
        <w:pStyle w:val="Caption"/>
        <w:rPr>
          <w:b w:val="0"/>
          <w:color w:val="auto"/>
          <w:sz w:val="24"/>
          <w:szCs w:val="24"/>
        </w:rPr>
      </w:pPr>
      <w:bookmarkStart w:id="29" w:name="_Toc359326317"/>
      <w:r w:rsidRPr="00C04AAB">
        <w:rPr>
          <w:b w:val="0"/>
          <w:color w:val="auto"/>
          <w:sz w:val="24"/>
          <w:szCs w:val="24"/>
        </w:rPr>
        <w:t xml:space="preserve">Figure </w:t>
      </w:r>
      <w:r w:rsidR="00EF3F25" w:rsidRPr="00C04AAB">
        <w:rPr>
          <w:b w:val="0"/>
          <w:color w:val="auto"/>
          <w:sz w:val="24"/>
          <w:szCs w:val="24"/>
        </w:rPr>
        <w:fldChar w:fldCharType="begin"/>
      </w:r>
      <w:r w:rsidRPr="00C04AAB">
        <w:rPr>
          <w:b w:val="0"/>
          <w:color w:val="auto"/>
          <w:sz w:val="24"/>
          <w:szCs w:val="24"/>
        </w:rPr>
        <w:instrText xml:space="preserve"> SEQ Figure \* ARABIC </w:instrText>
      </w:r>
      <w:r w:rsidR="00EF3F25" w:rsidRPr="00C04AAB">
        <w:rPr>
          <w:b w:val="0"/>
          <w:color w:val="auto"/>
          <w:sz w:val="24"/>
          <w:szCs w:val="24"/>
        </w:rPr>
        <w:fldChar w:fldCharType="separate"/>
      </w:r>
      <w:r w:rsidR="006E069B">
        <w:rPr>
          <w:b w:val="0"/>
          <w:noProof/>
          <w:color w:val="auto"/>
          <w:sz w:val="24"/>
          <w:szCs w:val="24"/>
        </w:rPr>
        <w:t>2</w:t>
      </w:r>
      <w:r w:rsidR="00EF3F25" w:rsidRPr="00C04AAB">
        <w:rPr>
          <w:b w:val="0"/>
          <w:color w:val="auto"/>
          <w:sz w:val="24"/>
          <w:szCs w:val="24"/>
        </w:rPr>
        <w:fldChar w:fldCharType="end"/>
      </w:r>
      <w:r w:rsidRPr="00C04AAB">
        <w:rPr>
          <w:b w:val="0"/>
          <w:color w:val="auto"/>
          <w:sz w:val="24"/>
          <w:szCs w:val="24"/>
        </w:rPr>
        <w:t>. Current breeding sub-populations of the Louisiana black bear (</w:t>
      </w:r>
      <w:r w:rsidRPr="007A70F3">
        <w:rPr>
          <w:b w:val="0"/>
          <w:i/>
          <w:color w:val="auto"/>
          <w:sz w:val="24"/>
          <w:szCs w:val="24"/>
        </w:rPr>
        <w:t>Ursus americanus luteolus</w:t>
      </w:r>
      <w:r w:rsidRPr="00C04AAB">
        <w:rPr>
          <w:b w:val="0"/>
          <w:color w:val="auto"/>
          <w:sz w:val="24"/>
          <w:szCs w:val="24"/>
        </w:rPr>
        <w:t>)</w:t>
      </w:r>
      <w:bookmarkEnd w:id="29"/>
    </w:p>
    <w:p w:rsidR="008D69B0" w:rsidRDefault="008D69B0" w:rsidP="008D69B0">
      <w:r>
        <w:br w:type="page"/>
      </w:r>
    </w:p>
    <w:p w:rsidR="008D69B0" w:rsidRDefault="008D69B0" w:rsidP="008D69B0">
      <w:pPr>
        <w:spacing w:before="240"/>
      </w:pPr>
      <w:r>
        <w:rPr>
          <w:noProof/>
        </w:rPr>
        <w:lastRenderedPageBreak/>
        <w:drawing>
          <wp:anchor distT="0" distB="0" distL="114300" distR="114300" simplePos="0" relativeHeight="251660288" behindDoc="0" locked="0" layoutInCell="1" allowOverlap="1">
            <wp:simplePos x="0" y="0"/>
            <wp:positionH relativeFrom="column">
              <wp:posOffset>3724275</wp:posOffset>
            </wp:positionH>
            <wp:positionV relativeFrom="paragraph">
              <wp:posOffset>5391150</wp:posOffset>
            </wp:positionV>
            <wp:extent cx="466725" cy="657225"/>
            <wp:effectExtent l="19050" t="0" r="9525" b="0"/>
            <wp:wrapNone/>
            <wp:docPr id="14" name="il_fi" descr="http://t2.gstatic.com/images?q=tbn:ANd9GcS8YLbiRF1e30X0Dd0pJhTrOKIfACYFSAdRK5EYjncmPTZn3kmV_FARa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S8YLbiRF1e30X0Dd0pJhTrOKIfACYFSAdRK5EYjncmPTZn3kmV_FARalsA"/>
                    <pic:cNvPicPr>
                      <a:picLocks noChangeAspect="1" noChangeArrowheads="1"/>
                    </pic:cNvPicPr>
                  </pic:nvPicPr>
                  <pic:blipFill>
                    <a:blip r:embed="rId13" cstate="print"/>
                    <a:srcRect/>
                    <a:stretch>
                      <a:fillRect/>
                    </a:stretch>
                  </pic:blipFill>
                  <pic:spPr bwMode="auto">
                    <a:xfrm>
                      <a:off x="0" y="0"/>
                      <a:ext cx="466725" cy="657225"/>
                    </a:xfrm>
                    <a:prstGeom prst="rect">
                      <a:avLst/>
                    </a:prstGeom>
                    <a:noFill/>
                    <a:ln w="9525">
                      <a:noFill/>
                      <a:miter lim="800000"/>
                      <a:headEnd/>
                      <a:tailEnd/>
                    </a:ln>
                  </pic:spPr>
                </pic:pic>
              </a:graphicData>
            </a:graphic>
          </wp:anchor>
        </w:drawing>
      </w:r>
      <w:r w:rsidRPr="00017B24">
        <w:rPr>
          <w:noProof/>
        </w:rPr>
        <w:drawing>
          <wp:inline distT="0" distB="0" distL="0" distR="0">
            <wp:extent cx="4305300" cy="6105525"/>
            <wp:effectExtent l="19050" t="0" r="0" b="0"/>
            <wp:docPr id="6"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10200" cy="6955971"/>
                      <a:chOff x="1066800" y="-685800"/>
                      <a:chExt cx="5410200" cy="6955971"/>
                    </a:xfrm>
                  </a:grpSpPr>
                  <a:pic>
                    <a:nvPicPr>
                      <a:cNvPr id="10" name="Picture 9" descr="PC.jpg"/>
                      <a:cNvPicPr>
                        <a:picLocks noChangeAspect="1"/>
                      </a:cNvPicPr>
                    </a:nvPicPr>
                    <a:blipFill>
                      <a:blip r:embed="rId14"/>
                      <a:srcRect l="11176" t="11111" r="18366" b="18889"/>
                      <a:stretch>
                        <a:fillRect/>
                      </a:stretch>
                    </a:blipFill>
                    <a:spPr>
                      <a:xfrm>
                        <a:off x="1066800" y="-685800"/>
                        <a:ext cx="5410200" cy="6955971"/>
                      </a:xfrm>
                      <a:prstGeom prst="rect">
                        <a:avLst/>
                      </a:prstGeom>
                    </a:spPr>
                  </a:pic>
                  <a:grpSp>
                    <a:nvGrpSpPr>
                      <a:cNvPr id="20" name="Group 19"/>
                      <a:cNvGrpSpPr/>
                    </a:nvGrpSpPr>
                    <a:grpSpPr>
                      <a:xfrm>
                        <a:off x="2057400" y="2743200"/>
                        <a:ext cx="1524000" cy="2895600"/>
                        <a:chOff x="4923503" y="2477729"/>
                        <a:chExt cx="1624781" cy="3227439"/>
                      </a:xfrm>
                    </a:grpSpPr>
                    <a:sp>
                      <a:nvSpPr>
                        <a:cNvPr id="21" name="Freeform 20"/>
                        <a:cNvSpPr/>
                      </a:nvSpPr>
                      <a:spPr>
                        <a:xfrm>
                          <a:off x="4923503" y="2477729"/>
                          <a:ext cx="1182329" cy="3215148"/>
                        </a:xfrm>
                        <a:custGeom>
                          <a:avLst/>
                          <a:gdLst>
                            <a:gd name="connsiteX0" fmla="*/ 1182329 w 1182329"/>
                            <a:gd name="connsiteY0" fmla="*/ 0 h 3215148"/>
                            <a:gd name="connsiteX1" fmla="*/ 430162 w 1182329"/>
                            <a:gd name="connsiteY1" fmla="*/ 412955 h 3215148"/>
                            <a:gd name="connsiteX2" fmla="*/ 371168 w 1182329"/>
                            <a:gd name="connsiteY2" fmla="*/ 825910 h 3215148"/>
                            <a:gd name="connsiteX3" fmla="*/ 149942 w 1182329"/>
                            <a:gd name="connsiteY3" fmla="*/ 1017639 h 3215148"/>
                            <a:gd name="connsiteX4" fmla="*/ 253181 w 1182329"/>
                            <a:gd name="connsiteY4" fmla="*/ 1253613 h 3215148"/>
                            <a:gd name="connsiteX5" fmla="*/ 223684 w 1182329"/>
                            <a:gd name="connsiteY5" fmla="*/ 1578077 h 3215148"/>
                            <a:gd name="connsiteX6" fmla="*/ 297426 w 1182329"/>
                            <a:gd name="connsiteY6" fmla="*/ 1755058 h 3215148"/>
                            <a:gd name="connsiteX7" fmla="*/ 135194 w 1182329"/>
                            <a:gd name="connsiteY7" fmla="*/ 1902542 h 3215148"/>
                            <a:gd name="connsiteX8" fmla="*/ 164691 w 1182329"/>
                            <a:gd name="connsiteY8" fmla="*/ 2182761 h 3215148"/>
                            <a:gd name="connsiteX9" fmla="*/ 76200 w 1182329"/>
                            <a:gd name="connsiteY9" fmla="*/ 2403987 h 3215148"/>
                            <a:gd name="connsiteX10" fmla="*/ 2458 w 1182329"/>
                            <a:gd name="connsiteY10" fmla="*/ 2964426 h 3215148"/>
                            <a:gd name="connsiteX11" fmla="*/ 90949 w 1182329"/>
                            <a:gd name="connsiteY11" fmla="*/ 3215148 h 32151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182329" h="3215148">
                              <a:moveTo>
                                <a:pt x="1182329" y="0"/>
                              </a:moveTo>
                              <a:cubicBezTo>
                                <a:pt x="873842" y="137651"/>
                                <a:pt x="565355" y="275303"/>
                                <a:pt x="430162" y="412955"/>
                              </a:cubicBezTo>
                              <a:cubicBezTo>
                                <a:pt x="294969" y="550607"/>
                                <a:pt x="417871" y="725129"/>
                                <a:pt x="371168" y="825910"/>
                              </a:cubicBezTo>
                              <a:cubicBezTo>
                                <a:pt x="324465" y="926691"/>
                                <a:pt x="169606" y="946355"/>
                                <a:pt x="149942" y="1017639"/>
                              </a:cubicBezTo>
                              <a:cubicBezTo>
                                <a:pt x="130278" y="1088923"/>
                                <a:pt x="240891" y="1160207"/>
                                <a:pt x="253181" y="1253613"/>
                              </a:cubicBezTo>
                              <a:cubicBezTo>
                                <a:pt x="265471" y="1347019"/>
                                <a:pt x="216310" y="1494503"/>
                                <a:pt x="223684" y="1578077"/>
                              </a:cubicBezTo>
                              <a:cubicBezTo>
                                <a:pt x="231058" y="1661651"/>
                                <a:pt x="312174" y="1700981"/>
                                <a:pt x="297426" y="1755058"/>
                              </a:cubicBezTo>
                              <a:cubicBezTo>
                                <a:pt x="282678" y="1809136"/>
                                <a:pt x="157316" y="1831258"/>
                                <a:pt x="135194" y="1902542"/>
                              </a:cubicBezTo>
                              <a:cubicBezTo>
                                <a:pt x="113072" y="1973826"/>
                                <a:pt x="174523" y="2099187"/>
                                <a:pt x="164691" y="2182761"/>
                              </a:cubicBezTo>
                              <a:cubicBezTo>
                                <a:pt x="154859" y="2266335"/>
                                <a:pt x="103239" y="2273710"/>
                                <a:pt x="76200" y="2403987"/>
                              </a:cubicBezTo>
                              <a:cubicBezTo>
                                <a:pt x="49161" y="2534264"/>
                                <a:pt x="0" y="2829233"/>
                                <a:pt x="2458" y="2964426"/>
                              </a:cubicBezTo>
                              <a:cubicBezTo>
                                <a:pt x="4916" y="3099619"/>
                                <a:pt x="47932" y="3157383"/>
                                <a:pt x="90949" y="3215148"/>
                              </a:cubicBezTo>
                            </a:path>
                          </a:pathLst>
                        </a:custGeom>
                        <a:ln w="63500">
                          <a:solidFill>
                            <a:schemeClr val="tx1"/>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dirty="0"/>
                          </a:p>
                        </a:txBody>
                        <a:useSpRect/>
                      </a:txSp>
                      <a:style>
                        <a:lnRef idx="1">
                          <a:schemeClr val="accent1"/>
                        </a:lnRef>
                        <a:fillRef idx="0">
                          <a:schemeClr val="accent1"/>
                        </a:fillRef>
                        <a:effectRef idx="0">
                          <a:schemeClr val="accent1"/>
                        </a:effectRef>
                        <a:fontRef idx="minor">
                          <a:schemeClr val="tx1"/>
                        </a:fontRef>
                      </a:style>
                    </a:sp>
                    <a:sp>
                      <a:nvSpPr>
                        <a:cNvPr id="22" name="Freeform 21"/>
                        <a:cNvSpPr/>
                      </a:nvSpPr>
                      <a:spPr>
                        <a:xfrm>
                          <a:off x="5906729" y="3215148"/>
                          <a:ext cx="641555" cy="2490020"/>
                        </a:xfrm>
                        <a:custGeom>
                          <a:avLst/>
                          <a:gdLst>
                            <a:gd name="connsiteX0" fmla="*/ 641555 w 641555"/>
                            <a:gd name="connsiteY0" fmla="*/ 0 h 2490020"/>
                            <a:gd name="connsiteX1" fmla="*/ 390832 w 641555"/>
                            <a:gd name="connsiteY1" fmla="*/ 117987 h 2490020"/>
                            <a:gd name="connsiteX2" fmla="*/ 213852 w 641555"/>
                            <a:gd name="connsiteY2" fmla="*/ 88491 h 2490020"/>
                            <a:gd name="connsiteX3" fmla="*/ 22123 w 641555"/>
                            <a:gd name="connsiteY3" fmla="*/ 235975 h 2490020"/>
                            <a:gd name="connsiteX4" fmla="*/ 81116 w 641555"/>
                            <a:gd name="connsiteY4" fmla="*/ 560439 h 2490020"/>
                            <a:gd name="connsiteX5" fmla="*/ 36871 w 641555"/>
                            <a:gd name="connsiteY5" fmla="*/ 973394 h 2490020"/>
                            <a:gd name="connsiteX6" fmla="*/ 110613 w 641555"/>
                            <a:gd name="connsiteY6" fmla="*/ 1297858 h 2490020"/>
                            <a:gd name="connsiteX7" fmla="*/ 140110 w 641555"/>
                            <a:gd name="connsiteY7" fmla="*/ 1769807 h 2490020"/>
                            <a:gd name="connsiteX8" fmla="*/ 66368 w 641555"/>
                            <a:gd name="connsiteY8" fmla="*/ 2389239 h 2490020"/>
                            <a:gd name="connsiteX9" fmla="*/ 51619 w 641555"/>
                            <a:gd name="connsiteY9" fmla="*/ 2374491 h 2490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41555" h="2490020">
                              <a:moveTo>
                                <a:pt x="641555" y="0"/>
                              </a:moveTo>
                              <a:cubicBezTo>
                                <a:pt x="551835" y="51619"/>
                                <a:pt x="462116" y="103239"/>
                                <a:pt x="390832" y="117987"/>
                              </a:cubicBezTo>
                              <a:cubicBezTo>
                                <a:pt x="319548" y="132735"/>
                                <a:pt x="275304" y="68826"/>
                                <a:pt x="213852" y="88491"/>
                              </a:cubicBezTo>
                              <a:cubicBezTo>
                                <a:pt x="152401" y="108156"/>
                                <a:pt x="44246" y="157317"/>
                                <a:pt x="22123" y="235975"/>
                              </a:cubicBezTo>
                              <a:cubicBezTo>
                                <a:pt x="0" y="314633"/>
                                <a:pt x="78658" y="437536"/>
                                <a:pt x="81116" y="560439"/>
                              </a:cubicBezTo>
                              <a:cubicBezTo>
                                <a:pt x="83574" y="683342"/>
                                <a:pt x="31955" y="850491"/>
                                <a:pt x="36871" y="973394"/>
                              </a:cubicBezTo>
                              <a:cubicBezTo>
                                <a:pt x="41787" y="1096297"/>
                                <a:pt x="93407" y="1165123"/>
                                <a:pt x="110613" y="1297858"/>
                              </a:cubicBezTo>
                              <a:cubicBezTo>
                                <a:pt x="127819" y="1430593"/>
                                <a:pt x="147484" y="1587910"/>
                                <a:pt x="140110" y="1769807"/>
                              </a:cubicBezTo>
                              <a:cubicBezTo>
                                <a:pt x="132736" y="1951704"/>
                                <a:pt x="81116" y="2288458"/>
                                <a:pt x="66368" y="2389239"/>
                              </a:cubicBezTo>
                              <a:cubicBezTo>
                                <a:pt x="51620" y="2490020"/>
                                <a:pt x="51619" y="2432255"/>
                                <a:pt x="51619" y="2374491"/>
                              </a:cubicBezTo>
                            </a:path>
                          </a:pathLst>
                        </a:custGeom>
                        <a:ln w="63500">
                          <a:solidFill>
                            <a:schemeClr val="tx1"/>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dirty="0"/>
                          </a:p>
                        </a:txBody>
                        <a:useSpRect/>
                      </a:txSp>
                      <a:style>
                        <a:lnRef idx="1">
                          <a:schemeClr val="accent1"/>
                        </a:lnRef>
                        <a:fillRef idx="0">
                          <a:schemeClr val="accent1"/>
                        </a:fillRef>
                        <a:effectRef idx="0">
                          <a:schemeClr val="accent1"/>
                        </a:effectRef>
                        <a:fontRef idx="minor">
                          <a:schemeClr val="tx1"/>
                        </a:fontRef>
                      </a:style>
                    </a:sp>
                    <a:cxnSp>
                      <a:nvCxnSpPr>
                        <a:cNvPr id="23" name="Straight Connector 22"/>
                        <a:cNvCxnSpPr>
                          <a:stCxn id="21" idx="0"/>
                          <a:endCxn id="22" idx="0"/>
                        </a:cNvCxnSpPr>
                      </a:nvCxnSpPr>
                      <a:spPr>
                        <a:xfrm>
                          <a:off x="6105832" y="2477729"/>
                          <a:ext cx="442452" cy="737419"/>
                        </a:xfrm>
                        <a:prstGeom prst="line">
                          <a:avLst/>
                        </a:prstGeom>
                        <a:ln w="63500">
                          <a:solidFill>
                            <a:schemeClr val="tx1"/>
                          </a:solidFill>
                        </a:ln>
                      </a:spPr>
                      <a:style>
                        <a:lnRef idx="1">
                          <a:schemeClr val="accent1"/>
                        </a:lnRef>
                        <a:fillRef idx="0">
                          <a:schemeClr val="accent1"/>
                        </a:fillRef>
                        <a:effectRef idx="0">
                          <a:schemeClr val="accent1"/>
                        </a:effectRef>
                        <a:fontRef idx="minor">
                          <a:schemeClr val="tx1"/>
                        </a:fontRef>
                      </a:style>
                    </a:cxnSp>
                    <a:cxnSp>
                      <a:nvCxnSpPr>
                        <a:cNvPr id="24" name="Straight Connector 23"/>
                        <a:cNvCxnSpPr>
                          <a:stCxn id="21" idx="11"/>
                          <a:endCxn id="22" idx="9"/>
                        </a:cNvCxnSpPr>
                      </a:nvCxnSpPr>
                      <a:spPr>
                        <a:xfrm flipV="1">
                          <a:off x="5014452" y="5589638"/>
                          <a:ext cx="943896" cy="103239"/>
                        </a:xfrm>
                        <a:prstGeom prst="line">
                          <a:avLst/>
                        </a:prstGeom>
                        <a:ln w="63500">
                          <a:solidFill>
                            <a:schemeClr val="tx1"/>
                          </a:solidFill>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C04AAB" w:rsidRPr="00C04AAB" w:rsidRDefault="00C04AAB" w:rsidP="00C04AAB">
      <w:pPr>
        <w:pStyle w:val="Caption"/>
        <w:rPr>
          <w:b w:val="0"/>
          <w:color w:val="auto"/>
          <w:sz w:val="24"/>
          <w:szCs w:val="24"/>
        </w:rPr>
      </w:pPr>
      <w:bookmarkStart w:id="30" w:name="_Toc359326318"/>
      <w:r w:rsidRPr="00C04AAB">
        <w:rPr>
          <w:b w:val="0"/>
          <w:color w:val="auto"/>
          <w:sz w:val="24"/>
          <w:szCs w:val="24"/>
        </w:rPr>
        <w:t xml:space="preserve">Figure </w:t>
      </w:r>
      <w:r w:rsidR="00EF3F25" w:rsidRPr="00C04AAB">
        <w:rPr>
          <w:b w:val="0"/>
          <w:color w:val="auto"/>
          <w:sz w:val="24"/>
          <w:szCs w:val="24"/>
        </w:rPr>
        <w:fldChar w:fldCharType="begin"/>
      </w:r>
      <w:r w:rsidRPr="00C04AAB">
        <w:rPr>
          <w:b w:val="0"/>
          <w:color w:val="auto"/>
          <w:sz w:val="24"/>
          <w:szCs w:val="24"/>
        </w:rPr>
        <w:instrText xml:space="preserve"> SEQ Figure \* ARABIC </w:instrText>
      </w:r>
      <w:r w:rsidR="00EF3F25" w:rsidRPr="00C04AAB">
        <w:rPr>
          <w:b w:val="0"/>
          <w:color w:val="auto"/>
          <w:sz w:val="24"/>
          <w:szCs w:val="24"/>
        </w:rPr>
        <w:fldChar w:fldCharType="separate"/>
      </w:r>
      <w:r w:rsidR="006E069B">
        <w:rPr>
          <w:b w:val="0"/>
          <w:noProof/>
          <w:color w:val="auto"/>
          <w:sz w:val="24"/>
          <w:szCs w:val="24"/>
        </w:rPr>
        <w:t>3</w:t>
      </w:r>
      <w:r w:rsidR="00EF3F25" w:rsidRPr="00C04AAB">
        <w:rPr>
          <w:b w:val="0"/>
          <w:color w:val="auto"/>
          <w:sz w:val="24"/>
          <w:szCs w:val="24"/>
        </w:rPr>
        <w:fldChar w:fldCharType="end"/>
      </w:r>
      <w:r w:rsidRPr="00C04AAB">
        <w:rPr>
          <w:b w:val="0"/>
          <w:color w:val="auto"/>
          <w:sz w:val="24"/>
          <w:szCs w:val="24"/>
        </w:rPr>
        <w:t>. Morganza spillway outlined within the Upper Atchafalaya River Basin</w:t>
      </w:r>
      <w:bookmarkEnd w:id="30"/>
    </w:p>
    <w:p w:rsidR="008D69B0" w:rsidRDefault="008D69B0" w:rsidP="008D69B0">
      <w:r>
        <w:br w:type="page"/>
      </w:r>
    </w:p>
    <w:p w:rsidR="008D69B0" w:rsidRDefault="008D69B0" w:rsidP="008D69B0">
      <w:pPr>
        <w:spacing w:before="240"/>
      </w:pPr>
      <w:r>
        <w:rPr>
          <w:noProof/>
        </w:rPr>
        <w:lastRenderedPageBreak/>
        <w:drawing>
          <wp:anchor distT="0" distB="0" distL="114300" distR="114300" simplePos="0" relativeHeight="251659264" behindDoc="0" locked="0" layoutInCell="1" allowOverlap="1">
            <wp:simplePos x="0" y="0"/>
            <wp:positionH relativeFrom="column">
              <wp:posOffset>4202862</wp:posOffset>
            </wp:positionH>
            <wp:positionV relativeFrom="paragraph">
              <wp:posOffset>6029864</wp:posOffset>
            </wp:positionV>
            <wp:extent cx="463130" cy="655608"/>
            <wp:effectExtent l="19050" t="0" r="0" b="0"/>
            <wp:wrapNone/>
            <wp:docPr id="13" name="il_fi" descr="http://t2.gstatic.com/images?q=tbn:ANd9GcS8YLbiRF1e30X0Dd0pJhTrOKIfACYFSAdRK5EYjncmPTZn3kmV_FARa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S8YLbiRF1e30X0Dd0pJhTrOKIfACYFSAdRK5EYjncmPTZn3kmV_FARalsA"/>
                    <pic:cNvPicPr>
                      <a:picLocks noChangeAspect="1" noChangeArrowheads="1"/>
                    </pic:cNvPicPr>
                  </pic:nvPicPr>
                  <pic:blipFill>
                    <a:blip r:embed="rId13" cstate="print"/>
                    <a:srcRect/>
                    <a:stretch>
                      <a:fillRect/>
                    </a:stretch>
                  </pic:blipFill>
                  <pic:spPr bwMode="auto">
                    <a:xfrm>
                      <a:off x="0" y="0"/>
                      <a:ext cx="463130" cy="655608"/>
                    </a:xfrm>
                    <a:prstGeom prst="rect">
                      <a:avLst/>
                    </a:prstGeom>
                    <a:noFill/>
                    <a:ln w="9525">
                      <a:noFill/>
                      <a:miter lim="800000"/>
                      <a:headEnd/>
                      <a:tailEnd/>
                    </a:ln>
                  </pic:spPr>
                </pic:pic>
              </a:graphicData>
            </a:graphic>
          </wp:anchor>
        </w:drawing>
      </w:r>
      <w:r>
        <w:br/>
      </w:r>
      <w:r w:rsidRPr="00565D1C">
        <w:rPr>
          <w:noProof/>
        </w:rPr>
        <w:drawing>
          <wp:inline distT="0" distB="0" distL="0" distR="0">
            <wp:extent cx="4872127" cy="6443932"/>
            <wp:effectExtent l="19050" t="0" r="4673" b="0"/>
            <wp:docPr id="10"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10200" cy="6955971"/>
                      <a:chOff x="1866900" y="-48986"/>
                      <a:chExt cx="5410200" cy="6955971"/>
                    </a:xfrm>
                  </a:grpSpPr>
                  <a:pic>
                    <a:nvPicPr>
                      <a:cNvPr id="10" name="Picture 9" descr="PC.jpg"/>
                      <a:cNvPicPr>
                        <a:picLocks noChangeAspect="1"/>
                      </a:cNvPicPr>
                    </a:nvPicPr>
                    <a:blipFill>
                      <a:blip r:embed="rId14"/>
                      <a:srcRect l="11176" t="11111" r="18366" b="18889"/>
                      <a:stretch>
                        <a:fillRect/>
                      </a:stretch>
                    </a:blipFill>
                    <a:spPr>
                      <a:xfrm>
                        <a:off x="1866900" y="-48986"/>
                        <a:ext cx="5410200" cy="6955971"/>
                      </a:xfrm>
                      <a:prstGeom prst="rect">
                        <a:avLst/>
                      </a:prstGeom>
                    </a:spPr>
                  </a:pic>
                  <a:cxnSp>
                    <a:nvCxnSpPr>
                      <a:cNvPr id="26" name="Straight Connector 25"/>
                      <a:cNvCxnSpPr/>
                    </a:nvCxnSpPr>
                    <a:spPr>
                      <a:xfrm flipV="1">
                        <a:off x="2895600" y="6172200"/>
                        <a:ext cx="2667000" cy="76200"/>
                      </a:xfrm>
                      <a:prstGeom prst="line">
                        <a:avLst/>
                      </a:prstGeom>
                      <a:ln w="28575">
                        <a:solidFill>
                          <a:schemeClr val="tx1"/>
                        </a:solidFill>
                      </a:ln>
                    </a:spPr>
                    <a:style>
                      <a:lnRef idx="1">
                        <a:schemeClr val="accent1"/>
                      </a:lnRef>
                      <a:fillRef idx="0">
                        <a:schemeClr val="accent1"/>
                      </a:fillRef>
                      <a:effectRef idx="0">
                        <a:schemeClr val="accent1"/>
                      </a:effectRef>
                      <a:fontRef idx="minor">
                        <a:schemeClr val="tx1"/>
                      </a:fontRef>
                    </a:style>
                  </a:cxnSp>
                  <a:cxnSp>
                    <a:nvCxnSpPr>
                      <a:cNvPr id="28" name="Straight Connector 27"/>
                      <a:cNvCxnSpPr/>
                    </a:nvCxnSpPr>
                    <a:spPr>
                      <a:xfrm>
                        <a:off x="5562600" y="6172200"/>
                        <a:ext cx="1600200" cy="685800"/>
                      </a:xfrm>
                      <a:prstGeom prst="line">
                        <a:avLst/>
                      </a:prstGeom>
                      <a:ln w="28575">
                        <a:solidFill>
                          <a:schemeClr val="tx1"/>
                        </a:solidFill>
                      </a:ln>
                    </a:spPr>
                    <a:style>
                      <a:lnRef idx="1">
                        <a:schemeClr val="accent1"/>
                      </a:lnRef>
                      <a:fillRef idx="0">
                        <a:schemeClr val="accent1"/>
                      </a:fillRef>
                      <a:effectRef idx="0">
                        <a:schemeClr val="accent1"/>
                      </a:effectRef>
                      <a:fontRef idx="minor">
                        <a:schemeClr val="tx1"/>
                      </a:fontRef>
                    </a:style>
                  </a:cxnSp>
                  <a:cxnSp>
                    <a:nvCxnSpPr>
                      <a:cNvPr id="34" name="Straight Connector 33"/>
                      <a:cNvCxnSpPr/>
                    </a:nvCxnSpPr>
                    <a:spPr>
                      <a:xfrm>
                        <a:off x="3886200" y="3352800"/>
                        <a:ext cx="762000" cy="1066800"/>
                      </a:xfrm>
                      <a:prstGeom prst="line">
                        <a:avLst/>
                      </a:prstGeom>
                      <a:ln w="28575">
                        <a:solidFill>
                          <a:schemeClr val="tx1"/>
                        </a:solidFill>
                      </a:ln>
                    </a:spPr>
                    <a:style>
                      <a:lnRef idx="1">
                        <a:schemeClr val="accent1"/>
                      </a:lnRef>
                      <a:fillRef idx="0">
                        <a:schemeClr val="accent1"/>
                      </a:fillRef>
                      <a:effectRef idx="0">
                        <a:schemeClr val="accent1"/>
                      </a:effectRef>
                      <a:fontRef idx="minor">
                        <a:schemeClr val="tx1"/>
                      </a:fontRef>
                    </a:style>
                  </a:cxnSp>
                  <a:cxnSp>
                    <a:nvCxnSpPr>
                      <a:cNvPr id="37" name="Straight Connector 36"/>
                      <a:cNvCxnSpPr/>
                    </a:nvCxnSpPr>
                    <a:spPr>
                      <a:xfrm>
                        <a:off x="3581400" y="2514600"/>
                        <a:ext cx="304800" cy="838200"/>
                      </a:xfrm>
                      <a:prstGeom prst="line">
                        <a:avLst/>
                      </a:prstGeom>
                      <a:ln w="28575">
                        <a:solidFill>
                          <a:schemeClr val="tx1"/>
                        </a:solidFill>
                      </a:ln>
                    </a:spPr>
                    <a:style>
                      <a:lnRef idx="1">
                        <a:schemeClr val="accent1"/>
                      </a:lnRef>
                      <a:fillRef idx="0">
                        <a:schemeClr val="accent1"/>
                      </a:fillRef>
                      <a:effectRef idx="0">
                        <a:schemeClr val="accent1"/>
                      </a:effectRef>
                      <a:fontRef idx="minor">
                        <a:schemeClr val="tx1"/>
                      </a:fontRef>
                    </a:style>
                  </a:cxnSp>
                  <a:cxnSp>
                    <a:nvCxnSpPr>
                      <a:cNvPr id="42" name="Straight Connector 41"/>
                      <a:cNvCxnSpPr/>
                    </a:nvCxnSpPr>
                    <a:spPr>
                      <a:xfrm flipH="1">
                        <a:off x="3581400" y="1905000"/>
                        <a:ext cx="152400" cy="609600"/>
                      </a:xfrm>
                      <a:prstGeom prst="line">
                        <a:avLst/>
                      </a:prstGeom>
                      <a:ln w="28575">
                        <a:solidFill>
                          <a:schemeClr val="tx1"/>
                        </a:solidFill>
                      </a:ln>
                    </a:spPr>
                    <a:style>
                      <a:lnRef idx="1">
                        <a:schemeClr val="accent1"/>
                      </a:lnRef>
                      <a:fillRef idx="0">
                        <a:schemeClr val="accent1"/>
                      </a:fillRef>
                      <a:effectRef idx="0">
                        <a:schemeClr val="accent1"/>
                      </a:effectRef>
                      <a:fontRef idx="minor">
                        <a:schemeClr val="tx1"/>
                      </a:fontRef>
                    </a:style>
                  </a:cxnSp>
                  <a:sp>
                    <a:nvSpPr>
                      <a:cNvPr id="47" name="TextBox 46"/>
                      <a:cNvSpPr txBox="1"/>
                    </a:nvSpPr>
                    <a:spPr>
                      <a:xfrm>
                        <a:off x="3581400" y="6336268"/>
                        <a:ext cx="838200" cy="369332"/>
                      </a:xfrm>
                      <a:prstGeom prst="rect">
                        <a:avLst/>
                      </a:prstGeom>
                      <a:solidFill>
                        <a:schemeClr val="bg1"/>
                      </a:solidFill>
                      <a:ln w="127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US 190</a:t>
                          </a:r>
                          <a:endParaRPr lang="en-US" dirty="0"/>
                        </a:p>
                      </a:txBody>
                      <a:useSpRect/>
                    </a:txSp>
                  </a:sp>
                  <a:sp>
                    <a:nvSpPr>
                      <a:cNvPr id="48" name="TextBox 47"/>
                      <a:cNvSpPr txBox="1"/>
                    </a:nvSpPr>
                    <a:spPr>
                      <a:xfrm>
                        <a:off x="3962400" y="3048000"/>
                        <a:ext cx="609600" cy="369332"/>
                      </a:xfrm>
                      <a:prstGeom prst="rect">
                        <a:avLst/>
                      </a:prstGeom>
                      <a:solidFill>
                        <a:schemeClr val="bg1"/>
                      </a:solidFill>
                      <a:ln w="127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LA 1</a:t>
                          </a:r>
                          <a:endParaRPr lang="en-US" dirty="0"/>
                        </a:p>
                      </a:txBody>
                      <a:useSpRect/>
                    </a:txSp>
                  </a:sp>
                </lc:lockedCanvas>
              </a:graphicData>
            </a:graphic>
          </wp:inline>
        </w:drawing>
      </w:r>
    </w:p>
    <w:p w:rsidR="008D69B0" w:rsidRPr="00C04AAB" w:rsidRDefault="00C04AAB" w:rsidP="00C04AAB">
      <w:pPr>
        <w:pStyle w:val="Caption"/>
        <w:rPr>
          <w:b w:val="0"/>
          <w:color w:val="auto"/>
          <w:sz w:val="24"/>
          <w:szCs w:val="24"/>
        </w:rPr>
      </w:pPr>
      <w:bookmarkStart w:id="31" w:name="_Toc359326319"/>
      <w:r w:rsidRPr="00C04AAB">
        <w:rPr>
          <w:b w:val="0"/>
          <w:color w:val="auto"/>
          <w:sz w:val="24"/>
          <w:szCs w:val="24"/>
        </w:rPr>
        <w:t xml:space="preserve">Figure </w:t>
      </w:r>
      <w:r w:rsidR="00EF3F25" w:rsidRPr="00C04AAB">
        <w:rPr>
          <w:b w:val="0"/>
          <w:color w:val="auto"/>
          <w:sz w:val="24"/>
          <w:szCs w:val="24"/>
        </w:rPr>
        <w:fldChar w:fldCharType="begin"/>
      </w:r>
      <w:r w:rsidRPr="00C04AAB">
        <w:rPr>
          <w:b w:val="0"/>
          <w:color w:val="auto"/>
          <w:sz w:val="24"/>
          <w:szCs w:val="24"/>
        </w:rPr>
        <w:instrText xml:space="preserve"> SEQ Figure \* ARABIC </w:instrText>
      </w:r>
      <w:r w:rsidR="00EF3F25" w:rsidRPr="00C04AAB">
        <w:rPr>
          <w:b w:val="0"/>
          <w:color w:val="auto"/>
          <w:sz w:val="24"/>
          <w:szCs w:val="24"/>
        </w:rPr>
        <w:fldChar w:fldCharType="separate"/>
      </w:r>
      <w:r w:rsidR="006E069B">
        <w:rPr>
          <w:b w:val="0"/>
          <w:noProof/>
          <w:color w:val="auto"/>
          <w:sz w:val="24"/>
          <w:szCs w:val="24"/>
        </w:rPr>
        <w:t>4</w:t>
      </w:r>
      <w:r w:rsidR="00EF3F25" w:rsidRPr="00C04AAB">
        <w:rPr>
          <w:b w:val="0"/>
          <w:color w:val="auto"/>
          <w:sz w:val="24"/>
          <w:szCs w:val="24"/>
        </w:rPr>
        <w:fldChar w:fldCharType="end"/>
      </w:r>
      <w:r w:rsidRPr="00C04AAB">
        <w:rPr>
          <w:b w:val="0"/>
          <w:color w:val="auto"/>
          <w:sz w:val="24"/>
          <w:szCs w:val="24"/>
        </w:rPr>
        <w:t>. The Upper Atchafalaya River Basin study area borders: North by Louisiana Highway 1, East by the Mississippi River, South by US 190, and West by the Atchafalaya River</w:t>
      </w:r>
      <w:bookmarkEnd w:id="31"/>
    </w:p>
    <w:p w:rsidR="008D69B0" w:rsidRPr="00C04AAB" w:rsidRDefault="008D69B0" w:rsidP="008D69B0">
      <w:pPr>
        <w:spacing w:before="240"/>
      </w:pPr>
      <w:r w:rsidRPr="00C04AAB">
        <w:rPr>
          <w:noProof/>
        </w:rPr>
        <w:lastRenderedPageBreak/>
        <w:drawing>
          <wp:inline distT="0" distB="0" distL="0" distR="0">
            <wp:extent cx="5207581" cy="6739255"/>
            <wp:effectExtent l="19050" t="0" r="0" b="0"/>
            <wp:docPr id="7" name="Picture 6" descr="PC_hairsiteswg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_hairsiteswgrid.jpg"/>
                    <pic:cNvPicPr/>
                  </pic:nvPicPr>
                  <pic:blipFill>
                    <a:blip r:embed="rId15" cstate="print"/>
                    <a:stretch>
                      <a:fillRect/>
                    </a:stretch>
                  </pic:blipFill>
                  <pic:spPr>
                    <a:xfrm>
                      <a:off x="0" y="0"/>
                      <a:ext cx="5207581" cy="6739255"/>
                    </a:xfrm>
                    <a:prstGeom prst="rect">
                      <a:avLst/>
                    </a:prstGeom>
                  </pic:spPr>
                </pic:pic>
              </a:graphicData>
            </a:graphic>
          </wp:inline>
        </w:drawing>
      </w:r>
    </w:p>
    <w:p w:rsidR="008D69B0" w:rsidRPr="00C04AAB" w:rsidRDefault="00C04AAB" w:rsidP="00C04AAB">
      <w:pPr>
        <w:pStyle w:val="Caption"/>
        <w:rPr>
          <w:b w:val="0"/>
          <w:color w:val="auto"/>
          <w:sz w:val="24"/>
          <w:szCs w:val="24"/>
          <w:vertAlign w:val="superscript"/>
        </w:rPr>
      </w:pPr>
      <w:bookmarkStart w:id="32" w:name="_Toc359326320"/>
      <w:r w:rsidRPr="00C04AAB">
        <w:rPr>
          <w:b w:val="0"/>
          <w:color w:val="auto"/>
          <w:sz w:val="24"/>
          <w:szCs w:val="24"/>
        </w:rPr>
        <w:t xml:space="preserve">Figure </w:t>
      </w:r>
      <w:r w:rsidR="00EF3F25" w:rsidRPr="00C04AAB">
        <w:rPr>
          <w:b w:val="0"/>
          <w:color w:val="auto"/>
          <w:sz w:val="24"/>
          <w:szCs w:val="24"/>
        </w:rPr>
        <w:fldChar w:fldCharType="begin"/>
      </w:r>
      <w:r w:rsidRPr="00C04AAB">
        <w:rPr>
          <w:b w:val="0"/>
          <w:color w:val="auto"/>
          <w:sz w:val="24"/>
          <w:szCs w:val="24"/>
        </w:rPr>
        <w:instrText xml:space="preserve"> SEQ Figure \* ARABIC </w:instrText>
      </w:r>
      <w:r w:rsidR="00EF3F25" w:rsidRPr="00C04AAB">
        <w:rPr>
          <w:b w:val="0"/>
          <w:color w:val="auto"/>
          <w:sz w:val="24"/>
          <w:szCs w:val="24"/>
        </w:rPr>
        <w:fldChar w:fldCharType="separate"/>
      </w:r>
      <w:r w:rsidR="006E069B">
        <w:rPr>
          <w:b w:val="0"/>
          <w:noProof/>
          <w:color w:val="auto"/>
          <w:sz w:val="24"/>
          <w:szCs w:val="24"/>
        </w:rPr>
        <w:t>5</w:t>
      </w:r>
      <w:r w:rsidR="00EF3F25" w:rsidRPr="00C04AAB">
        <w:rPr>
          <w:b w:val="0"/>
          <w:color w:val="auto"/>
          <w:sz w:val="24"/>
          <w:szCs w:val="24"/>
        </w:rPr>
        <w:fldChar w:fldCharType="end"/>
      </w:r>
      <w:r w:rsidRPr="00C04AAB">
        <w:rPr>
          <w:b w:val="0"/>
          <w:color w:val="auto"/>
          <w:sz w:val="24"/>
          <w:szCs w:val="24"/>
        </w:rPr>
        <w:t>. Sampling sites within the Upper Atchafalaya River Basin based on 1.6 x 1.6 km</w:t>
      </w:r>
      <w:r w:rsidRPr="00C04AAB">
        <w:rPr>
          <w:b w:val="0"/>
          <w:color w:val="auto"/>
          <w:sz w:val="24"/>
          <w:szCs w:val="24"/>
          <w:vertAlign w:val="superscript"/>
        </w:rPr>
        <w:t>2</w:t>
      </w:r>
      <w:bookmarkEnd w:id="32"/>
    </w:p>
    <w:p w:rsidR="008D69B0" w:rsidRDefault="008D69B0" w:rsidP="008D69B0">
      <w:pPr>
        <w:rPr>
          <w:vertAlign w:val="superscript"/>
        </w:rPr>
      </w:pPr>
      <w:r>
        <w:rPr>
          <w:vertAlign w:val="superscript"/>
        </w:rPr>
        <w:br w:type="page"/>
      </w:r>
    </w:p>
    <w:p w:rsidR="008D69B0" w:rsidRDefault="008D69B0" w:rsidP="008D69B0">
      <w:pPr>
        <w:spacing w:before="240"/>
      </w:pPr>
      <w:r w:rsidRPr="00017B24">
        <w:rPr>
          <w:noProof/>
        </w:rPr>
        <w:lastRenderedPageBreak/>
        <w:drawing>
          <wp:inline distT="0" distB="0" distL="0" distR="0">
            <wp:extent cx="4076700" cy="3143250"/>
            <wp:effectExtent l="57150" t="38100" r="38100" b="19050"/>
            <wp:docPr id="9" name="Picture 8" descr="CDY_0003.JPG"/>
            <wp:cNvGraphicFramePr/>
            <a:graphic xmlns:a="http://schemas.openxmlformats.org/drawingml/2006/main">
              <a:graphicData uri="http://schemas.openxmlformats.org/drawingml/2006/picture">
                <pic:pic xmlns:pic="http://schemas.openxmlformats.org/drawingml/2006/picture">
                  <pic:nvPicPr>
                    <pic:cNvPr id="6" name="Content Placeholder 5" descr="CDY_0003.JPG"/>
                    <pic:cNvPicPr>
                      <a:picLocks noChangeAspect="1"/>
                    </pic:cNvPicPr>
                  </pic:nvPicPr>
                  <pic:blipFill>
                    <a:blip r:embed="rId16" cstate="print"/>
                    <a:stretch>
                      <a:fillRect/>
                    </a:stretch>
                  </pic:blipFill>
                  <pic:spPr>
                    <a:xfrm>
                      <a:off x="0" y="0"/>
                      <a:ext cx="4076700" cy="3143250"/>
                    </a:xfrm>
                    <a:prstGeom prst="rect">
                      <a:avLst/>
                    </a:prstGeom>
                    <a:ln w="38100">
                      <a:solidFill>
                        <a:schemeClr val="dk1"/>
                      </a:solidFill>
                    </a:ln>
                  </pic:spPr>
                </pic:pic>
              </a:graphicData>
            </a:graphic>
          </wp:inline>
        </w:drawing>
      </w:r>
    </w:p>
    <w:p w:rsidR="00C04AAB" w:rsidRPr="00C04AAB" w:rsidRDefault="00C04AAB" w:rsidP="00C04AAB">
      <w:pPr>
        <w:pStyle w:val="Caption"/>
        <w:rPr>
          <w:b w:val="0"/>
          <w:color w:val="auto"/>
          <w:sz w:val="24"/>
          <w:szCs w:val="24"/>
        </w:rPr>
      </w:pPr>
      <w:bookmarkStart w:id="33" w:name="_Toc359326321"/>
      <w:r w:rsidRPr="00C04AAB">
        <w:rPr>
          <w:b w:val="0"/>
          <w:color w:val="auto"/>
          <w:sz w:val="24"/>
          <w:szCs w:val="24"/>
        </w:rPr>
        <w:t xml:space="preserve">Figure </w:t>
      </w:r>
      <w:r w:rsidR="00EF3F25" w:rsidRPr="00C04AAB">
        <w:rPr>
          <w:b w:val="0"/>
          <w:color w:val="auto"/>
          <w:sz w:val="24"/>
          <w:szCs w:val="24"/>
        </w:rPr>
        <w:fldChar w:fldCharType="begin"/>
      </w:r>
      <w:r w:rsidRPr="00C04AAB">
        <w:rPr>
          <w:b w:val="0"/>
          <w:color w:val="auto"/>
          <w:sz w:val="24"/>
          <w:szCs w:val="24"/>
        </w:rPr>
        <w:instrText xml:space="preserve"> SEQ Figure \* ARABIC </w:instrText>
      </w:r>
      <w:r w:rsidR="00EF3F25" w:rsidRPr="00C04AAB">
        <w:rPr>
          <w:b w:val="0"/>
          <w:color w:val="auto"/>
          <w:sz w:val="24"/>
          <w:szCs w:val="24"/>
        </w:rPr>
        <w:fldChar w:fldCharType="separate"/>
      </w:r>
      <w:r w:rsidR="006E069B">
        <w:rPr>
          <w:b w:val="0"/>
          <w:noProof/>
          <w:color w:val="auto"/>
          <w:sz w:val="24"/>
          <w:szCs w:val="24"/>
        </w:rPr>
        <w:t>6</w:t>
      </w:r>
      <w:r w:rsidR="00EF3F25" w:rsidRPr="00C04AAB">
        <w:rPr>
          <w:b w:val="0"/>
          <w:color w:val="auto"/>
          <w:sz w:val="24"/>
          <w:szCs w:val="24"/>
        </w:rPr>
        <w:fldChar w:fldCharType="end"/>
      </w:r>
      <w:r w:rsidRPr="00C04AAB">
        <w:rPr>
          <w:b w:val="0"/>
          <w:color w:val="auto"/>
          <w:sz w:val="24"/>
          <w:szCs w:val="24"/>
        </w:rPr>
        <w:t>. Two-wire hair collection system with the top wire set at 65-70cm and bottom wire set at 35-40 cm</w:t>
      </w:r>
      <w:bookmarkEnd w:id="33"/>
    </w:p>
    <w:p w:rsidR="008D69B0" w:rsidRDefault="008D69B0" w:rsidP="008D69B0">
      <w:r>
        <w:br w:type="page"/>
      </w:r>
    </w:p>
    <w:p w:rsidR="008D69B0" w:rsidRDefault="008D69B0" w:rsidP="008D69B0">
      <w:r>
        <w:rPr>
          <w:noProof/>
        </w:rPr>
        <w:lastRenderedPageBreak/>
        <w:drawing>
          <wp:anchor distT="0" distB="0" distL="114300" distR="114300" simplePos="0" relativeHeight="251662336" behindDoc="0" locked="0" layoutInCell="1" allowOverlap="1">
            <wp:simplePos x="0" y="0"/>
            <wp:positionH relativeFrom="column">
              <wp:posOffset>3693903</wp:posOffset>
            </wp:positionH>
            <wp:positionV relativeFrom="paragraph">
              <wp:posOffset>5201729</wp:posOffset>
            </wp:positionV>
            <wp:extent cx="463130" cy="655607"/>
            <wp:effectExtent l="19050" t="0" r="0" b="0"/>
            <wp:wrapNone/>
            <wp:docPr id="18" name="il_fi" descr="http://t2.gstatic.com/images?q=tbn:ANd9GcS8YLbiRF1e30X0Dd0pJhTrOKIfACYFSAdRK5EYjncmPTZn3kmV_FARa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S8YLbiRF1e30X0Dd0pJhTrOKIfACYFSAdRK5EYjncmPTZn3kmV_FARalsA"/>
                    <pic:cNvPicPr>
                      <a:picLocks noChangeAspect="1" noChangeArrowheads="1"/>
                    </pic:cNvPicPr>
                  </pic:nvPicPr>
                  <pic:blipFill>
                    <a:blip r:embed="rId13" cstate="print"/>
                    <a:srcRect/>
                    <a:stretch>
                      <a:fillRect/>
                    </a:stretch>
                  </pic:blipFill>
                  <pic:spPr bwMode="auto">
                    <a:xfrm>
                      <a:off x="0" y="0"/>
                      <a:ext cx="463130" cy="655607"/>
                    </a:xfrm>
                    <a:prstGeom prst="rect">
                      <a:avLst/>
                    </a:prstGeom>
                    <a:noFill/>
                    <a:ln w="9525">
                      <a:noFill/>
                      <a:miter lim="800000"/>
                      <a:headEnd/>
                      <a:tailEnd/>
                    </a:ln>
                  </pic:spPr>
                </pic:pic>
              </a:graphicData>
            </a:graphic>
          </wp:anchor>
        </w:drawing>
      </w:r>
      <w:r w:rsidRPr="00565D1C">
        <w:rPr>
          <w:noProof/>
        </w:rPr>
        <w:drawing>
          <wp:inline distT="0" distB="0" distL="0" distR="0">
            <wp:extent cx="4302784" cy="5934974"/>
            <wp:effectExtent l="19050" t="0" r="2516" b="0"/>
            <wp:docPr id="8"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10200" cy="6955971"/>
                      <a:chOff x="1866900" y="-48986"/>
                      <a:chExt cx="5410200" cy="6955971"/>
                    </a:xfrm>
                  </a:grpSpPr>
                  <a:pic>
                    <a:nvPicPr>
                      <a:cNvPr id="10" name="Picture 9" descr="PC.jpg"/>
                      <a:cNvPicPr>
                        <a:picLocks noChangeAspect="1"/>
                      </a:cNvPicPr>
                    </a:nvPicPr>
                    <a:blipFill>
                      <a:blip r:embed="rId14"/>
                      <a:srcRect l="11176" t="11111" r="18366" b="18889"/>
                      <a:stretch>
                        <a:fillRect/>
                      </a:stretch>
                    </a:blipFill>
                    <a:spPr>
                      <a:xfrm>
                        <a:off x="1866900" y="-48986"/>
                        <a:ext cx="5410200" cy="6955971"/>
                      </a:xfrm>
                      <a:prstGeom prst="rect">
                        <a:avLst/>
                      </a:prstGeom>
                    </a:spPr>
                  </a:pic>
                  <a:sp>
                    <a:nvSpPr>
                      <a:cNvPr id="11" name="Freeform 10"/>
                      <a:cNvSpPr/>
                    </a:nvSpPr>
                    <a:spPr>
                      <a:xfrm>
                        <a:off x="3821373" y="4462818"/>
                        <a:ext cx="1692323" cy="1569492"/>
                      </a:xfrm>
                      <a:custGeom>
                        <a:avLst/>
                        <a:gdLst>
                          <a:gd name="connsiteX0" fmla="*/ 286603 w 1692323"/>
                          <a:gd name="connsiteY0" fmla="*/ 0 h 1569492"/>
                          <a:gd name="connsiteX1" fmla="*/ 0 w 1692323"/>
                          <a:gd name="connsiteY1" fmla="*/ 286603 h 1569492"/>
                          <a:gd name="connsiteX2" fmla="*/ 54591 w 1692323"/>
                          <a:gd name="connsiteY2" fmla="*/ 777922 h 1569492"/>
                          <a:gd name="connsiteX3" fmla="*/ 450376 w 1692323"/>
                          <a:gd name="connsiteY3" fmla="*/ 1569492 h 1569492"/>
                          <a:gd name="connsiteX4" fmla="*/ 1392072 w 1692323"/>
                          <a:gd name="connsiteY4" fmla="*/ 1514901 h 1569492"/>
                          <a:gd name="connsiteX5" fmla="*/ 1514902 w 1692323"/>
                          <a:gd name="connsiteY5" fmla="*/ 818866 h 1569492"/>
                          <a:gd name="connsiteX6" fmla="*/ 1692323 w 1692323"/>
                          <a:gd name="connsiteY6" fmla="*/ 259307 h 1569492"/>
                          <a:gd name="connsiteX7" fmla="*/ 1214651 w 1692323"/>
                          <a:gd name="connsiteY7" fmla="*/ 109182 h 1569492"/>
                          <a:gd name="connsiteX8" fmla="*/ 832514 w 1692323"/>
                          <a:gd name="connsiteY8" fmla="*/ 341194 h 1569492"/>
                          <a:gd name="connsiteX9" fmla="*/ 286603 w 1692323"/>
                          <a:gd name="connsiteY9" fmla="*/ 0 h 15694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692323" h="1569492">
                            <a:moveTo>
                              <a:pt x="286603" y="0"/>
                            </a:moveTo>
                            <a:lnTo>
                              <a:pt x="0" y="286603"/>
                            </a:lnTo>
                            <a:lnTo>
                              <a:pt x="54591" y="777922"/>
                            </a:lnTo>
                            <a:lnTo>
                              <a:pt x="450376" y="1569492"/>
                            </a:lnTo>
                            <a:lnTo>
                              <a:pt x="1392072" y="1514901"/>
                            </a:lnTo>
                            <a:lnTo>
                              <a:pt x="1514902" y="818866"/>
                            </a:lnTo>
                            <a:lnTo>
                              <a:pt x="1692323" y="259307"/>
                            </a:lnTo>
                            <a:lnTo>
                              <a:pt x="1214651" y="109182"/>
                            </a:lnTo>
                            <a:lnTo>
                              <a:pt x="832514" y="341194"/>
                            </a:lnTo>
                            <a:lnTo>
                              <a:pt x="286603" y="0"/>
                            </a:lnTo>
                            <a:close/>
                          </a:path>
                        </a:pathLst>
                      </a:custGeom>
                      <a:noFill/>
                      <a:ln w="38100">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Freeform 11"/>
                      <a:cNvSpPr/>
                    </a:nvSpPr>
                    <a:spPr>
                      <a:xfrm>
                        <a:off x="2514600" y="2133600"/>
                        <a:ext cx="736979" cy="1651379"/>
                      </a:xfrm>
                      <a:custGeom>
                        <a:avLst/>
                        <a:gdLst>
                          <a:gd name="connsiteX0" fmla="*/ 95534 w 736979"/>
                          <a:gd name="connsiteY0" fmla="*/ 27295 h 1651379"/>
                          <a:gd name="connsiteX1" fmla="*/ 491319 w 736979"/>
                          <a:gd name="connsiteY1" fmla="*/ 0 h 1651379"/>
                          <a:gd name="connsiteX2" fmla="*/ 736979 w 736979"/>
                          <a:gd name="connsiteY2" fmla="*/ 368489 h 1651379"/>
                          <a:gd name="connsiteX3" fmla="*/ 655092 w 736979"/>
                          <a:gd name="connsiteY3" fmla="*/ 1296537 h 1651379"/>
                          <a:gd name="connsiteX4" fmla="*/ 300251 w 736979"/>
                          <a:gd name="connsiteY4" fmla="*/ 1651379 h 1651379"/>
                          <a:gd name="connsiteX5" fmla="*/ 0 w 736979"/>
                          <a:gd name="connsiteY5" fmla="*/ 1105468 h 1651379"/>
                          <a:gd name="connsiteX6" fmla="*/ 95534 w 736979"/>
                          <a:gd name="connsiteY6" fmla="*/ 27295 h 16513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36979" h="1651379">
                            <a:moveTo>
                              <a:pt x="95534" y="27295"/>
                            </a:moveTo>
                            <a:lnTo>
                              <a:pt x="491319" y="0"/>
                            </a:lnTo>
                            <a:lnTo>
                              <a:pt x="736979" y="368489"/>
                            </a:lnTo>
                            <a:lnTo>
                              <a:pt x="655092" y="1296537"/>
                            </a:lnTo>
                            <a:lnTo>
                              <a:pt x="300251" y="1651379"/>
                            </a:lnTo>
                            <a:lnTo>
                              <a:pt x="0" y="1105468"/>
                            </a:lnTo>
                            <a:lnTo>
                              <a:pt x="95534" y="27295"/>
                            </a:lnTo>
                            <a:close/>
                          </a:path>
                        </a:pathLst>
                      </a:custGeom>
                      <a:noFill/>
                      <a:ln w="38100">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 name="Straight Arrow Connector 5"/>
                      <a:cNvCxnSpPr>
                        <a:stCxn id="7" idx="2"/>
                      </a:cNvCxnSpPr>
                    </a:nvCxnSpPr>
                    <a:spPr>
                      <a:xfrm flipH="1">
                        <a:off x="3124200" y="1664732"/>
                        <a:ext cx="495300" cy="621268"/>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7" name="TextBox 17"/>
                      <a:cNvSpPr txBox="1"/>
                    </a:nvSpPr>
                    <a:spPr>
                      <a:xfrm>
                        <a:off x="2667000" y="1295400"/>
                        <a:ext cx="1905000" cy="369332"/>
                      </a:xfrm>
                      <a:prstGeom prst="rect">
                        <a:avLst/>
                      </a:prstGeom>
                      <a:solidFill>
                        <a:schemeClr val="bg1"/>
                      </a:solid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err="1" smtClean="0"/>
                            <a:t>Batchelor</a:t>
                          </a:r>
                          <a:r>
                            <a:rPr lang="en-US" dirty="0" smtClean="0"/>
                            <a:t> Area</a:t>
                          </a:r>
                          <a:endParaRPr lang="en-US" dirty="0"/>
                        </a:p>
                      </a:txBody>
                      <a:useSpRect/>
                    </a:txSp>
                  </a:sp>
                  <a:cxnSp>
                    <a:nvCxnSpPr>
                      <a:cNvPr id="8" name="Straight Arrow Connector 7"/>
                      <a:cNvCxnSpPr>
                        <a:stCxn id="9" idx="2"/>
                      </a:cNvCxnSpPr>
                    </a:nvCxnSpPr>
                    <a:spPr>
                      <a:xfrm flipH="1">
                        <a:off x="5486400" y="4103132"/>
                        <a:ext cx="495300" cy="621268"/>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9" name="TextBox 21"/>
                      <a:cNvSpPr txBox="1"/>
                    </a:nvSpPr>
                    <a:spPr>
                      <a:xfrm>
                        <a:off x="5029200" y="3733800"/>
                        <a:ext cx="1905000" cy="369332"/>
                      </a:xfrm>
                      <a:prstGeom prst="rect">
                        <a:avLst/>
                      </a:prstGeom>
                      <a:solidFill>
                        <a:schemeClr val="bg1"/>
                      </a:solid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err="1" smtClean="0"/>
                            <a:t>Fordoche</a:t>
                          </a:r>
                          <a:r>
                            <a:rPr lang="en-US" dirty="0" smtClean="0"/>
                            <a:t> Area</a:t>
                          </a:r>
                          <a:endParaRPr lang="en-US" dirty="0"/>
                        </a:p>
                      </a:txBody>
                      <a:useSpRect/>
                    </a:txSp>
                  </a:sp>
                  <a:sp>
                    <a:nvSpPr>
                      <a:cNvPr id="13" name="Freeform 12"/>
                      <a:cNvSpPr/>
                    </a:nvSpPr>
                    <a:spPr>
                      <a:xfrm>
                        <a:off x="2787445" y="3303639"/>
                        <a:ext cx="1578078" cy="3008671"/>
                      </a:xfrm>
                      <a:custGeom>
                        <a:avLst/>
                        <a:gdLst>
                          <a:gd name="connsiteX0" fmla="*/ 1165123 w 1578078"/>
                          <a:gd name="connsiteY0" fmla="*/ 44245 h 3008671"/>
                          <a:gd name="connsiteX1" fmla="*/ 1578078 w 1578078"/>
                          <a:gd name="connsiteY1" fmla="*/ 707922 h 3008671"/>
                          <a:gd name="connsiteX2" fmla="*/ 1342103 w 1578078"/>
                          <a:gd name="connsiteY2" fmla="*/ 825909 h 3008671"/>
                          <a:gd name="connsiteX3" fmla="*/ 1150374 w 1578078"/>
                          <a:gd name="connsiteY3" fmla="*/ 811161 h 3008671"/>
                          <a:gd name="connsiteX4" fmla="*/ 1002890 w 1578078"/>
                          <a:gd name="connsiteY4" fmla="*/ 899651 h 3008671"/>
                          <a:gd name="connsiteX5" fmla="*/ 973394 w 1578078"/>
                          <a:gd name="connsiteY5" fmla="*/ 1032387 h 3008671"/>
                          <a:gd name="connsiteX6" fmla="*/ 988142 w 1578078"/>
                          <a:gd name="connsiteY6" fmla="*/ 1681316 h 3008671"/>
                          <a:gd name="connsiteX7" fmla="*/ 1076632 w 1578078"/>
                          <a:gd name="connsiteY7" fmla="*/ 2212258 h 3008671"/>
                          <a:gd name="connsiteX8" fmla="*/ 1032387 w 1578078"/>
                          <a:gd name="connsiteY8" fmla="*/ 2831690 h 3008671"/>
                          <a:gd name="connsiteX9" fmla="*/ 1002890 w 1578078"/>
                          <a:gd name="connsiteY9" fmla="*/ 2949677 h 3008671"/>
                          <a:gd name="connsiteX10" fmla="*/ 103239 w 1578078"/>
                          <a:gd name="connsiteY10" fmla="*/ 3008671 h 3008671"/>
                          <a:gd name="connsiteX11" fmla="*/ 0 w 1578078"/>
                          <a:gd name="connsiteY11" fmla="*/ 2831690 h 3008671"/>
                          <a:gd name="connsiteX12" fmla="*/ 73742 w 1578078"/>
                          <a:gd name="connsiteY12" fmla="*/ 2418735 h 3008671"/>
                          <a:gd name="connsiteX13" fmla="*/ 73742 w 1578078"/>
                          <a:gd name="connsiteY13" fmla="*/ 2241755 h 3008671"/>
                          <a:gd name="connsiteX14" fmla="*/ 206478 w 1578078"/>
                          <a:gd name="connsiteY14" fmla="*/ 2079522 h 3008671"/>
                          <a:gd name="connsiteX15" fmla="*/ 162232 w 1578078"/>
                          <a:gd name="connsiteY15" fmla="*/ 1710813 h 3008671"/>
                          <a:gd name="connsiteX16" fmla="*/ 265471 w 1578078"/>
                          <a:gd name="connsiteY16" fmla="*/ 1622322 h 3008671"/>
                          <a:gd name="connsiteX17" fmla="*/ 265471 w 1578078"/>
                          <a:gd name="connsiteY17" fmla="*/ 1386348 h 3008671"/>
                          <a:gd name="connsiteX18" fmla="*/ 250723 w 1578078"/>
                          <a:gd name="connsiteY18" fmla="*/ 1209367 h 3008671"/>
                          <a:gd name="connsiteX19" fmla="*/ 221226 w 1578078"/>
                          <a:gd name="connsiteY19" fmla="*/ 722671 h 3008671"/>
                          <a:gd name="connsiteX20" fmla="*/ 516194 w 1578078"/>
                          <a:gd name="connsiteY20" fmla="*/ 383458 h 3008671"/>
                          <a:gd name="connsiteX21" fmla="*/ 1091381 w 1578078"/>
                          <a:gd name="connsiteY21" fmla="*/ 0 h 3008671"/>
                          <a:gd name="connsiteX22" fmla="*/ 1165123 w 1578078"/>
                          <a:gd name="connsiteY22" fmla="*/ 44245 h 30086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78078" h="3008671">
                            <a:moveTo>
                              <a:pt x="1165123" y="44245"/>
                            </a:moveTo>
                            <a:lnTo>
                              <a:pt x="1578078" y="707922"/>
                            </a:lnTo>
                            <a:lnTo>
                              <a:pt x="1342103" y="825909"/>
                            </a:lnTo>
                            <a:lnTo>
                              <a:pt x="1150374" y="811161"/>
                            </a:lnTo>
                            <a:lnTo>
                              <a:pt x="1002890" y="899651"/>
                            </a:lnTo>
                            <a:lnTo>
                              <a:pt x="973394" y="1032387"/>
                            </a:lnTo>
                            <a:lnTo>
                              <a:pt x="988142" y="1681316"/>
                            </a:lnTo>
                            <a:lnTo>
                              <a:pt x="1076632" y="2212258"/>
                            </a:lnTo>
                            <a:lnTo>
                              <a:pt x="1032387" y="2831690"/>
                            </a:lnTo>
                            <a:lnTo>
                              <a:pt x="1002890" y="2949677"/>
                            </a:lnTo>
                            <a:lnTo>
                              <a:pt x="103239" y="3008671"/>
                            </a:lnTo>
                            <a:lnTo>
                              <a:pt x="0" y="2831690"/>
                            </a:lnTo>
                            <a:lnTo>
                              <a:pt x="73742" y="2418735"/>
                            </a:lnTo>
                            <a:lnTo>
                              <a:pt x="73742" y="2241755"/>
                            </a:lnTo>
                            <a:lnTo>
                              <a:pt x="206478" y="2079522"/>
                            </a:lnTo>
                            <a:lnTo>
                              <a:pt x="162232" y="1710813"/>
                            </a:lnTo>
                            <a:lnTo>
                              <a:pt x="265471" y="1622322"/>
                            </a:lnTo>
                            <a:lnTo>
                              <a:pt x="265471" y="1386348"/>
                            </a:lnTo>
                            <a:lnTo>
                              <a:pt x="250723" y="1209367"/>
                            </a:lnTo>
                            <a:lnTo>
                              <a:pt x="221226" y="722671"/>
                            </a:lnTo>
                            <a:lnTo>
                              <a:pt x="516194" y="383458"/>
                            </a:lnTo>
                            <a:lnTo>
                              <a:pt x="1091381" y="0"/>
                            </a:lnTo>
                            <a:lnTo>
                              <a:pt x="1165123" y="44245"/>
                            </a:lnTo>
                            <a:close/>
                          </a:path>
                        </a:pathLst>
                      </a:custGeom>
                      <a:noFill/>
                      <a:ln w="38100">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5" name="Straight Arrow Connector 14"/>
                      <a:cNvCxnSpPr>
                        <a:endCxn id="13" idx="0"/>
                      </a:cNvCxnSpPr>
                    </a:nvCxnSpPr>
                    <a:spPr>
                      <a:xfrm flipH="1">
                        <a:off x="3952568" y="2971800"/>
                        <a:ext cx="771832" cy="376084"/>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6" name="TextBox 15"/>
                      <a:cNvSpPr txBox="1"/>
                    </a:nvSpPr>
                    <a:spPr>
                      <a:xfrm>
                        <a:off x="4724400" y="2590800"/>
                        <a:ext cx="1828800" cy="381000"/>
                      </a:xfrm>
                      <a:prstGeom prst="rect">
                        <a:avLst/>
                      </a:prstGeom>
                      <a:solidFill>
                        <a:schemeClr val="bg1"/>
                      </a:solidFill>
                      <a:ln w="28575">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Spillway Area</a:t>
                          </a:r>
                          <a:endParaRPr lang="en-US" dirty="0"/>
                        </a:p>
                      </a:txBody>
                      <a:useSpRect/>
                    </a:txSp>
                  </a:sp>
                </lc:lockedCanvas>
              </a:graphicData>
            </a:graphic>
          </wp:inline>
        </w:drawing>
      </w:r>
    </w:p>
    <w:p w:rsidR="007A70F3" w:rsidRPr="007A70F3" w:rsidRDefault="007A70F3" w:rsidP="007A70F3">
      <w:pPr>
        <w:pStyle w:val="Caption"/>
        <w:rPr>
          <w:b w:val="0"/>
          <w:color w:val="auto"/>
          <w:sz w:val="24"/>
          <w:szCs w:val="24"/>
        </w:rPr>
      </w:pPr>
      <w:bookmarkStart w:id="34" w:name="_Toc359326322"/>
      <w:r w:rsidRPr="007A70F3">
        <w:rPr>
          <w:b w:val="0"/>
          <w:color w:val="auto"/>
          <w:sz w:val="24"/>
          <w:szCs w:val="24"/>
        </w:rPr>
        <w:t xml:space="preserve">Figure </w:t>
      </w:r>
      <w:r w:rsidR="00EF3F25" w:rsidRPr="007A70F3">
        <w:rPr>
          <w:b w:val="0"/>
          <w:color w:val="auto"/>
          <w:sz w:val="24"/>
          <w:szCs w:val="24"/>
        </w:rPr>
        <w:fldChar w:fldCharType="begin"/>
      </w:r>
      <w:r w:rsidRPr="007A70F3">
        <w:rPr>
          <w:b w:val="0"/>
          <w:color w:val="auto"/>
          <w:sz w:val="24"/>
          <w:szCs w:val="24"/>
        </w:rPr>
        <w:instrText xml:space="preserve"> SEQ Figure \* ARABIC </w:instrText>
      </w:r>
      <w:r w:rsidR="00EF3F25" w:rsidRPr="007A70F3">
        <w:rPr>
          <w:b w:val="0"/>
          <w:color w:val="auto"/>
          <w:sz w:val="24"/>
          <w:szCs w:val="24"/>
        </w:rPr>
        <w:fldChar w:fldCharType="separate"/>
      </w:r>
      <w:r w:rsidR="006E069B">
        <w:rPr>
          <w:b w:val="0"/>
          <w:noProof/>
          <w:color w:val="auto"/>
          <w:sz w:val="24"/>
          <w:szCs w:val="24"/>
        </w:rPr>
        <w:t>7</w:t>
      </w:r>
      <w:r w:rsidR="00EF3F25" w:rsidRPr="007A70F3">
        <w:rPr>
          <w:b w:val="0"/>
          <w:color w:val="auto"/>
          <w:sz w:val="24"/>
          <w:szCs w:val="24"/>
        </w:rPr>
        <w:fldChar w:fldCharType="end"/>
      </w:r>
      <w:r w:rsidRPr="007A70F3">
        <w:rPr>
          <w:b w:val="0"/>
          <w:color w:val="auto"/>
          <w:sz w:val="24"/>
          <w:szCs w:val="24"/>
        </w:rPr>
        <w:t>. Batchelor, Spillway, and Fordoche are the three different areas I will use as “states” in the mutli-state mark-recapture model.</w:t>
      </w:r>
      <w:bookmarkEnd w:id="34"/>
    </w:p>
    <w:p w:rsidR="008D69B0" w:rsidRDefault="008D69B0" w:rsidP="008D69B0">
      <w:pPr>
        <w:rPr>
          <w:b/>
        </w:rPr>
      </w:pPr>
      <w:r>
        <w:rPr>
          <w:b/>
        </w:rPr>
        <w:br w:type="page"/>
      </w:r>
    </w:p>
    <w:p w:rsidR="008D69B0" w:rsidRDefault="008D69B0" w:rsidP="00D51FDE">
      <w:pPr>
        <w:pStyle w:val="Heading2"/>
        <w:jc w:val="center"/>
        <w:rPr>
          <w:rFonts w:ascii="Times New Roman" w:hAnsi="Times New Roman" w:cs="Times New Roman"/>
          <w:color w:val="auto"/>
          <w:sz w:val="24"/>
          <w:szCs w:val="24"/>
        </w:rPr>
      </w:pPr>
      <w:bookmarkStart w:id="35" w:name="_Toc361839473"/>
      <w:r w:rsidRPr="00D51FDE">
        <w:rPr>
          <w:rFonts w:ascii="Times New Roman" w:hAnsi="Times New Roman" w:cs="Times New Roman"/>
          <w:color w:val="auto"/>
          <w:sz w:val="24"/>
          <w:szCs w:val="24"/>
        </w:rPr>
        <w:lastRenderedPageBreak/>
        <w:t>Appendix B: Tables</w:t>
      </w:r>
      <w:bookmarkEnd w:id="35"/>
    </w:p>
    <w:p w:rsidR="00D51FDE" w:rsidRDefault="00D51FDE" w:rsidP="00D51FDE"/>
    <w:p w:rsidR="00D51FDE" w:rsidRDefault="00D51FDE">
      <w:pPr>
        <w:spacing w:line="276" w:lineRule="auto"/>
      </w:pPr>
      <w:r>
        <w:br w:type="page"/>
      </w:r>
    </w:p>
    <w:p w:rsidR="00D51FDE" w:rsidRPr="00D51FDE" w:rsidRDefault="00D51FDE" w:rsidP="00D51FDE">
      <w:pPr>
        <w:pStyle w:val="Heading1"/>
        <w:jc w:val="center"/>
        <w:rPr>
          <w:rFonts w:ascii="Times New Roman" w:hAnsi="Times New Roman" w:cs="Times New Roman"/>
          <w:color w:val="auto"/>
        </w:rPr>
      </w:pPr>
      <w:bookmarkStart w:id="36" w:name="_Toc361839474"/>
      <w:r w:rsidRPr="00D51FDE">
        <w:rPr>
          <w:rFonts w:ascii="Times New Roman" w:hAnsi="Times New Roman" w:cs="Times New Roman"/>
          <w:color w:val="auto"/>
        </w:rPr>
        <w:lastRenderedPageBreak/>
        <w:t>VITA</w:t>
      </w:r>
      <w:bookmarkEnd w:id="36"/>
    </w:p>
    <w:sectPr w:rsidR="00D51FDE" w:rsidRPr="00D51FDE" w:rsidSect="0076074D">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B6D" w:rsidRDefault="000D1B6D" w:rsidP="00D93D76">
      <w:pPr>
        <w:spacing w:after="0" w:line="240" w:lineRule="auto"/>
      </w:pPr>
      <w:r>
        <w:separator/>
      </w:r>
    </w:p>
  </w:endnote>
  <w:endnote w:type="continuationSeparator" w:id="0">
    <w:p w:rsidR="000D1B6D" w:rsidRDefault="000D1B6D" w:rsidP="00D93D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A00002EF" w:usb1="420020E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489234"/>
      <w:docPartObj>
        <w:docPartGallery w:val="Page Numbers (Bottom of Page)"/>
        <w:docPartUnique/>
      </w:docPartObj>
    </w:sdtPr>
    <w:sdtContent>
      <w:p w:rsidR="006E069B" w:rsidRDefault="006E069B">
        <w:pPr>
          <w:pStyle w:val="Footer"/>
          <w:jc w:val="right"/>
        </w:pPr>
        <w:fldSimple w:instr=" PAGE   \* MERGEFORMAT ">
          <w:r w:rsidR="000F65ED">
            <w:rPr>
              <w:noProof/>
            </w:rPr>
            <w:t>38</w:t>
          </w:r>
        </w:fldSimple>
      </w:p>
    </w:sdtContent>
  </w:sdt>
  <w:p w:rsidR="000D1B6D" w:rsidRDefault="000D1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B6D" w:rsidRDefault="000D1B6D" w:rsidP="00D93D76">
      <w:pPr>
        <w:spacing w:after="0" w:line="240" w:lineRule="auto"/>
      </w:pPr>
      <w:r>
        <w:separator/>
      </w:r>
    </w:p>
  </w:footnote>
  <w:footnote w:type="continuationSeparator" w:id="0">
    <w:p w:rsidR="000D1B6D" w:rsidRDefault="000D1B6D" w:rsidP="00D93D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84120"/>
    <w:multiLevelType w:val="hybridMultilevel"/>
    <w:tmpl w:val="8D72C95E"/>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2735E3"/>
    <w:multiLevelType w:val="hybridMultilevel"/>
    <w:tmpl w:val="0FB04D84"/>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504557"/>
    <w:multiLevelType w:val="hybridMultilevel"/>
    <w:tmpl w:val="6B400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B718FB"/>
    <w:multiLevelType w:val="hybridMultilevel"/>
    <w:tmpl w:val="2F645BDC"/>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EA6C19"/>
    <w:multiLevelType w:val="hybridMultilevel"/>
    <w:tmpl w:val="9E84C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02000A"/>
    <w:multiLevelType w:val="hybridMultilevel"/>
    <w:tmpl w:val="B976891E"/>
    <w:lvl w:ilvl="0" w:tplc="BBC884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3158A"/>
    <w:rsid w:val="000273D2"/>
    <w:rsid w:val="00034AA6"/>
    <w:rsid w:val="00053128"/>
    <w:rsid w:val="00062661"/>
    <w:rsid w:val="00094072"/>
    <w:rsid w:val="00095F95"/>
    <w:rsid w:val="00096EF5"/>
    <w:rsid w:val="000A3D45"/>
    <w:rsid w:val="000A4FB2"/>
    <w:rsid w:val="000B17AC"/>
    <w:rsid w:val="000B2744"/>
    <w:rsid w:val="000D1B6D"/>
    <w:rsid w:val="000D2E77"/>
    <w:rsid w:val="000D46C7"/>
    <w:rsid w:val="000E0CBA"/>
    <w:rsid w:val="000E2E89"/>
    <w:rsid w:val="000E6643"/>
    <w:rsid w:val="000F65ED"/>
    <w:rsid w:val="001017D7"/>
    <w:rsid w:val="00117455"/>
    <w:rsid w:val="00136F6D"/>
    <w:rsid w:val="001407C8"/>
    <w:rsid w:val="001571C2"/>
    <w:rsid w:val="00162989"/>
    <w:rsid w:val="0016541B"/>
    <w:rsid w:val="00194695"/>
    <w:rsid w:val="00196AD9"/>
    <w:rsid w:val="001B67BA"/>
    <w:rsid w:val="001C1F6F"/>
    <w:rsid w:val="001C68E3"/>
    <w:rsid w:val="001D5E83"/>
    <w:rsid w:val="001E3843"/>
    <w:rsid w:val="0021073C"/>
    <w:rsid w:val="002266B0"/>
    <w:rsid w:val="00230E20"/>
    <w:rsid w:val="0023207A"/>
    <w:rsid w:val="0024226C"/>
    <w:rsid w:val="002571F7"/>
    <w:rsid w:val="0027207A"/>
    <w:rsid w:val="002868ED"/>
    <w:rsid w:val="0029597C"/>
    <w:rsid w:val="0029674D"/>
    <w:rsid w:val="002A1425"/>
    <w:rsid w:val="002B639F"/>
    <w:rsid w:val="002B6B91"/>
    <w:rsid w:val="002B71F8"/>
    <w:rsid w:val="002B792A"/>
    <w:rsid w:val="002C5CC9"/>
    <w:rsid w:val="002C738A"/>
    <w:rsid w:val="002D41A2"/>
    <w:rsid w:val="002D5284"/>
    <w:rsid w:val="002E3423"/>
    <w:rsid w:val="002F2455"/>
    <w:rsid w:val="002F7AA1"/>
    <w:rsid w:val="00300ED0"/>
    <w:rsid w:val="00315DBC"/>
    <w:rsid w:val="00320E1B"/>
    <w:rsid w:val="00322940"/>
    <w:rsid w:val="0032381E"/>
    <w:rsid w:val="00323FA5"/>
    <w:rsid w:val="0033065C"/>
    <w:rsid w:val="00340BAE"/>
    <w:rsid w:val="00364ED0"/>
    <w:rsid w:val="00383D4D"/>
    <w:rsid w:val="00385C93"/>
    <w:rsid w:val="00390001"/>
    <w:rsid w:val="003A087B"/>
    <w:rsid w:val="003A1BC2"/>
    <w:rsid w:val="003B025C"/>
    <w:rsid w:val="003B301C"/>
    <w:rsid w:val="003E2304"/>
    <w:rsid w:val="003E4D07"/>
    <w:rsid w:val="004033A6"/>
    <w:rsid w:val="004110DD"/>
    <w:rsid w:val="004242CA"/>
    <w:rsid w:val="00434869"/>
    <w:rsid w:val="00437FE9"/>
    <w:rsid w:val="004418BB"/>
    <w:rsid w:val="00457938"/>
    <w:rsid w:val="004618F2"/>
    <w:rsid w:val="004631FC"/>
    <w:rsid w:val="00465E79"/>
    <w:rsid w:val="00466F4F"/>
    <w:rsid w:val="00480AB8"/>
    <w:rsid w:val="0048758C"/>
    <w:rsid w:val="004947B1"/>
    <w:rsid w:val="00497EBA"/>
    <w:rsid w:val="004A7351"/>
    <w:rsid w:val="004B3DBC"/>
    <w:rsid w:val="004C087E"/>
    <w:rsid w:val="004D23E7"/>
    <w:rsid w:val="00505E0C"/>
    <w:rsid w:val="00512B8C"/>
    <w:rsid w:val="00515138"/>
    <w:rsid w:val="0053450A"/>
    <w:rsid w:val="00543121"/>
    <w:rsid w:val="0055404E"/>
    <w:rsid w:val="005559B4"/>
    <w:rsid w:val="00557F6C"/>
    <w:rsid w:val="005727C5"/>
    <w:rsid w:val="0057653F"/>
    <w:rsid w:val="005B750F"/>
    <w:rsid w:val="005C1213"/>
    <w:rsid w:val="005C2577"/>
    <w:rsid w:val="005C26EA"/>
    <w:rsid w:val="005C3E31"/>
    <w:rsid w:val="005D5168"/>
    <w:rsid w:val="005E0BCD"/>
    <w:rsid w:val="005E2C3B"/>
    <w:rsid w:val="005E4F1C"/>
    <w:rsid w:val="005E5B51"/>
    <w:rsid w:val="005E7442"/>
    <w:rsid w:val="00602760"/>
    <w:rsid w:val="006079D7"/>
    <w:rsid w:val="006147D7"/>
    <w:rsid w:val="006302B3"/>
    <w:rsid w:val="006648F5"/>
    <w:rsid w:val="00670BD8"/>
    <w:rsid w:val="006756B1"/>
    <w:rsid w:val="00675D5B"/>
    <w:rsid w:val="00677A73"/>
    <w:rsid w:val="00680BC2"/>
    <w:rsid w:val="006841AD"/>
    <w:rsid w:val="006860DB"/>
    <w:rsid w:val="00690535"/>
    <w:rsid w:val="00694DAC"/>
    <w:rsid w:val="006A657A"/>
    <w:rsid w:val="006B337C"/>
    <w:rsid w:val="006C69DF"/>
    <w:rsid w:val="006D1C92"/>
    <w:rsid w:val="006E058A"/>
    <w:rsid w:val="006E069B"/>
    <w:rsid w:val="006E400E"/>
    <w:rsid w:val="00712EB0"/>
    <w:rsid w:val="007168E2"/>
    <w:rsid w:val="007174B1"/>
    <w:rsid w:val="00724723"/>
    <w:rsid w:val="0073158A"/>
    <w:rsid w:val="00731832"/>
    <w:rsid w:val="00732619"/>
    <w:rsid w:val="0075178C"/>
    <w:rsid w:val="0076074D"/>
    <w:rsid w:val="00762837"/>
    <w:rsid w:val="00770126"/>
    <w:rsid w:val="0077623F"/>
    <w:rsid w:val="00783B60"/>
    <w:rsid w:val="00783FA3"/>
    <w:rsid w:val="007A70F3"/>
    <w:rsid w:val="007C691F"/>
    <w:rsid w:val="007C6FBA"/>
    <w:rsid w:val="007C73AC"/>
    <w:rsid w:val="007D3380"/>
    <w:rsid w:val="007D7AB4"/>
    <w:rsid w:val="007E54AA"/>
    <w:rsid w:val="007E57EF"/>
    <w:rsid w:val="007E6099"/>
    <w:rsid w:val="007F0EA0"/>
    <w:rsid w:val="007F3713"/>
    <w:rsid w:val="007F4B51"/>
    <w:rsid w:val="00815BCF"/>
    <w:rsid w:val="00817F1D"/>
    <w:rsid w:val="008463B1"/>
    <w:rsid w:val="00861971"/>
    <w:rsid w:val="008778A6"/>
    <w:rsid w:val="00882937"/>
    <w:rsid w:val="00883639"/>
    <w:rsid w:val="0088502A"/>
    <w:rsid w:val="00891736"/>
    <w:rsid w:val="008A19D7"/>
    <w:rsid w:val="008A5B16"/>
    <w:rsid w:val="008C06A6"/>
    <w:rsid w:val="008C543F"/>
    <w:rsid w:val="008D36C6"/>
    <w:rsid w:val="008D69B0"/>
    <w:rsid w:val="00902B57"/>
    <w:rsid w:val="00912A4F"/>
    <w:rsid w:val="0092040A"/>
    <w:rsid w:val="00922849"/>
    <w:rsid w:val="00944F53"/>
    <w:rsid w:val="00974693"/>
    <w:rsid w:val="009752C0"/>
    <w:rsid w:val="00982B1E"/>
    <w:rsid w:val="009900AD"/>
    <w:rsid w:val="00992170"/>
    <w:rsid w:val="009A2744"/>
    <w:rsid w:val="009A3CB8"/>
    <w:rsid w:val="009B3B04"/>
    <w:rsid w:val="009C1F88"/>
    <w:rsid w:val="009C4001"/>
    <w:rsid w:val="009F583F"/>
    <w:rsid w:val="009F6C8F"/>
    <w:rsid w:val="00A10CCB"/>
    <w:rsid w:val="00A14C14"/>
    <w:rsid w:val="00A24B52"/>
    <w:rsid w:val="00A32752"/>
    <w:rsid w:val="00A477E6"/>
    <w:rsid w:val="00A75199"/>
    <w:rsid w:val="00A75721"/>
    <w:rsid w:val="00A75782"/>
    <w:rsid w:val="00A774CE"/>
    <w:rsid w:val="00A9436C"/>
    <w:rsid w:val="00AA6FF7"/>
    <w:rsid w:val="00AD20DC"/>
    <w:rsid w:val="00AE0868"/>
    <w:rsid w:val="00B15C95"/>
    <w:rsid w:val="00B325FA"/>
    <w:rsid w:val="00B41610"/>
    <w:rsid w:val="00B53946"/>
    <w:rsid w:val="00B729E9"/>
    <w:rsid w:val="00B82089"/>
    <w:rsid w:val="00B82159"/>
    <w:rsid w:val="00B83765"/>
    <w:rsid w:val="00B86F54"/>
    <w:rsid w:val="00B95415"/>
    <w:rsid w:val="00BB045B"/>
    <w:rsid w:val="00BB17C7"/>
    <w:rsid w:val="00BB213E"/>
    <w:rsid w:val="00BB71E1"/>
    <w:rsid w:val="00BC1627"/>
    <w:rsid w:val="00BC1AE1"/>
    <w:rsid w:val="00BC48A7"/>
    <w:rsid w:val="00BD3154"/>
    <w:rsid w:val="00BE08B5"/>
    <w:rsid w:val="00BE6DF0"/>
    <w:rsid w:val="00BF4CA4"/>
    <w:rsid w:val="00BF5646"/>
    <w:rsid w:val="00C02080"/>
    <w:rsid w:val="00C02CD7"/>
    <w:rsid w:val="00C04AAB"/>
    <w:rsid w:val="00C05B98"/>
    <w:rsid w:val="00C15072"/>
    <w:rsid w:val="00C2284E"/>
    <w:rsid w:val="00C258E8"/>
    <w:rsid w:val="00C2766D"/>
    <w:rsid w:val="00C33E42"/>
    <w:rsid w:val="00C36374"/>
    <w:rsid w:val="00C44D57"/>
    <w:rsid w:val="00C46299"/>
    <w:rsid w:val="00C52FC1"/>
    <w:rsid w:val="00C56399"/>
    <w:rsid w:val="00C95B83"/>
    <w:rsid w:val="00CC4948"/>
    <w:rsid w:val="00CE6F99"/>
    <w:rsid w:val="00D10AA7"/>
    <w:rsid w:val="00D1388E"/>
    <w:rsid w:val="00D257AF"/>
    <w:rsid w:val="00D41215"/>
    <w:rsid w:val="00D431D5"/>
    <w:rsid w:val="00D46C68"/>
    <w:rsid w:val="00D51FDE"/>
    <w:rsid w:val="00D53739"/>
    <w:rsid w:val="00D57B2A"/>
    <w:rsid w:val="00D65749"/>
    <w:rsid w:val="00D679AB"/>
    <w:rsid w:val="00D74843"/>
    <w:rsid w:val="00D74C79"/>
    <w:rsid w:val="00D76913"/>
    <w:rsid w:val="00D93D76"/>
    <w:rsid w:val="00DB66E9"/>
    <w:rsid w:val="00DC0A2A"/>
    <w:rsid w:val="00DC0DF7"/>
    <w:rsid w:val="00DC68C8"/>
    <w:rsid w:val="00DD5735"/>
    <w:rsid w:val="00DE7B96"/>
    <w:rsid w:val="00DF0815"/>
    <w:rsid w:val="00DF4202"/>
    <w:rsid w:val="00E20052"/>
    <w:rsid w:val="00E41E26"/>
    <w:rsid w:val="00E452DF"/>
    <w:rsid w:val="00E54149"/>
    <w:rsid w:val="00E71F27"/>
    <w:rsid w:val="00E75A53"/>
    <w:rsid w:val="00E76DBE"/>
    <w:rsid w:val="00E85443"/>
    <w:rsid w:val="00E85919"/>
    <w:rsid w:val="00E9585D"/>
    <w:rsid w:val="00EA6908"/>
    <w:rsid w:val="00EB57C5"/>
    <w:rsid w:val="00EC2494"/>
    <w:rsid w:val="00EC2E3F"/>
    <w:rsid w:val="00EC3E93"/>
    <w:rsid w:val="00ED7AA4"/>
    <w:rsid w:val="00EF3F25"/>
    <w:rsid w:val="00F0446C"/>
    <w:rsid w:val="00F12F3A"/>
    <w:rsid w:val="00F15C58"/>
    <w:rsid w:val="00F240CA"/>
    <w:rsid w:val="00F25CE3"/>
    <w:rsid w:val="00F32C4D"/>
    <w:rsid w:val="00F432B6"/>
    <w:rsid w:val="00F50DAC"/>
    <w:rsid w:val="00F54254"/>
    <w:rsid w:val="00F5617A"/>
    <w:rsid w:val="00F608DF"/>
    <w:rsid w:val="00F637B3"/>
    <w:rsid w:val="00F63951"/>
    <w:rsid w:val="00F67FB9"/>
    <w:rsid w:val="00F8232D"/>
    <w:rsid w:val="00F8498B"/>
    <w:rsid w:val="00FA4F42"/>
    <w:rsid w:val="00FA5643"/>
    <w:rsid w:val="00FA5BB9"/>
    <w:rsid w:val="00FB224F"/>
    <w:rsid w:val="00FD1D81"/>
    <w:rsid w:val="00FE39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58A"/>
    <w:pPr>
      <w:spacing w:line="48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5D51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A70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51F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qFormat/>
    <w:rsid w:val="00390001"/>
    <w:pPr>
      <w:spacing w:line="480" w:lineRule="auto"/>
    </w:pPr>
    <w:rPr>
      <w:rFonts w:ascii="Times New Roman" w:hAnsi="Times New Roman" w:cs="Times New Roman"/>
      <w:sz w:val="24"/>
      <w:szCs w:val="24"/>
    </w:rPr>
  </w:style>
  <w:style w:type="paragraph" w:styleId="ListParagraph">
    <w:name w:val="List Paragraph"/>
    <w:basedOn w:val="Normal"/>
    <w:uiPriority w:val="34"/>
    <w:qFormat/>
    <w:rsid w:val="0073158A"/>
    <w:pPr>
      <w:ind w:left="720"/>
      <w:contextualSpacing/>
    </w:pPr>
  </w:style>
  <w:style w:type="character" w:customStyle="1" w:styleId="ft">
    <w:name w:val="ft"/>
    <w:basedOn w:val="DefaultParagraphFont"/>
    <w:rsid w:val="0073158A"/>
  </w:style>
  <w:style w:type="character" w:styleId="CommentReference">
    <w:name w:val="annotation reference"/>
    <w:basedOn w:val="DefaultParagraphFont"/>
    <w:uiPriority w:val="99"/>
    <w:semiHidden/>
    <w:unhideWhenUsed/>
    <w:rsid w:val="0073158A"/>
    <w:rPr>
      <w:sz w:val="16"/>
      <w:szCs w:val="16"/>
    </w:rPr>
  </w:style>
  <w:style w:type="paragraph" w:styleId="CommentText">
    <w:name w:val="annotation text"/>
    <w:basedOn w:val="Normal"/>
    <w:link w:val="CommentTextChar"/>
    <w:uiPriority w:val="99"/>
    <w:unhideWhenUsed/>
    <w:rsid w:val="0073158A"/>
    <w:pPr>
      <w:spacing w:line="240" w:lineRule="auto"/>
    </w:pPr>
    <w:rPr>
      <w:sz w:val="20"/>
      <w:szCs w:val="20"/>
    </w:rPr>
  </w:style>
  <w:style w:type="character" w:customStyle="1" w:styleId="CommentTextChar">
    <w:name w:val="Comment Text Char"/>
    <w:basedOn w:val="DefaultParagraphFont"/>
    <w:link w:val="CommentText"/>
    <w:uiPriority w:val="99"/>
    <w:rsid w:val="0073158A"/>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731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58A"/>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543121"/>
    <w:rPr>
      <w:b/>
      <w:bCs/>
    </w:rPr>
  </w:style>
  <w:style w:type="character" w:customStyle="1" w:styleId="CommentSubjectChar">
    <w:name w:val="Comment Subject Char"/>
    <w:basedOn w:val="CommentTextChar"/>
    <w:link w:val="CommentSubject"/>
    <w:uiPriority w:val="99"/>
    <w:semiHidden/>
    <w:rsid w:val="00543121"/>
    <w:rPr>
      <w:rFonts w:ascii="Times New Roman" w:eastAsiaTheme="minorEastAsia" w:hAnsi="Times New Roman" w:cs="Times New Roman"/>
      <w:b/>
      <w:bCs/>
      <w:sz w:val="20"/>
      <w:szCs w:val="20"/>
    </w:rPr>
  </w:style>
  <w:style w:type="character" w:styleId="Hyperlink">
    <w:name w:val="Hyperlink"/>
    <w:basedOn w:val="DefaultParagraphFont"/>
    <w:uiPriority w:val="99"/>
    <w:unhideWhenUsed/>
    <w:rsid w:val="002B71F8"/>
    <w:rPr>
      <w:color w:val="0000FF"/>
      <w:u w:val="single"/>
    </w:rPr>
  </w:style>
  <w:style w:type="character" w:styleId="PlaceholderText">
    <w:name w:val="Placeholder Text"/>
    <w:basedOn w:val="DefaultParagraphFont"/>
    <w:uiPriority w:val="99"/>
    <w:semiHidden/>
    <w:rsid w:val="009C4001"/>
    <w:rPr>
      <w:color w:val="808080"/>
    </w:rPr>
  </w:style>
  <w:style w:type="character" w:customStyle="1" w:styleId="Heading1Char">
    <w:name w:val="Heading 1 Char"/>
    <w:basedOn w:val="DefaultParagraphFont"/>
    <w:link w:val="Heading1"/>
    <w:uiPriority w:val="9"/>
    <w:rsid w:val="005D516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5D5168"/>
    <w:pPr>
      <w:spacing w:line="276" w:lineRule="auto"/>
      <w:outlineLvl w:val="9"/>
    </w:pPr>
  </w:style>
  <w:style w:type="paragraph" w:styleId="TOC2">
    <w:name w:val="toc 2"/>
    <w:basedOn w:val="Normal"/>
    <w:next w:val="Normal"/>
    <w:autoRedefine/>
    <w:uiPriority w:val="39"/>
    <w:unhideWhenUsed/>
    <w:qFormat/>
    <w:rsid w:val="005D5168"/>
    <w:pPr>
      <w:spacing w:after="0"/>
      <w:ind w:left="240"/>
    </w:pPr>
    <w:rPr>
      <w:rFonts w:asciiTheme="minorHAnsi" w:hAnsiTheme="minorHAnsi"/>
      <w:smallCaps/>
      <w:sz w:val="20"/>
      <w:szCs w:val="20"/>
    </w:rPr>
  </w:style>
  <w:style w:type="paragraph" w:styleId="TOC1">
    <w:name w:val="toc 1"/>
    <w:basedOn w:val="Normal"/>
    <w:next w:val="Normal"/>
    <w:autoRedefine/>
    <w:uiPriority w:val="39"/>
    <w:unhideWhenUsed/>
    <w:qFormat/>
    <w:rsid w:val="008778A6"/>
    <w:pPr>
      <w:spacing w:before="120" w:after="120"/>
    </w:pPr>
    <w:rPr>
      <w:rFonts w:asciiTheme="minorHAnsi" w:hAnsiTheme="minorHAnsi"/>
      <w:b/>
      <w:bCs/>
      <w:caps/>
      <w:sz w:val="20"/>
      <w:szCs w:val="20"/>
    </w:rPr>
  </w:style>
  <w:style w:type="paragraph" w:styleId="Footer">
    <w:name w:val="footer"/>
    <w:basedOn w:val="Normal"/>
    <w:link w:val="FooterChar"/>
    <w:uiPriority w:val="99"/>
    <w:unhideWhenUsed/>
    <w:rsid w:val="005D5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168"/>
    <w:rPr>
      <w:rFonts w:ascii="Times New Roman" w:eastAsiaTheme="minorEastAsia" w:hAnsi="Times New Roman" w:cs="Times New Roman"/>
      <w:sz w:val="24"/>
      <w:szCs w:val="24"/>
    </w:rPr>
  </w:style>
  <w:style w:type="paragraph" w:styleId="NoSpacing">
    <w:name w:val="No Spacing"/>
    <w:uiPriority w:val="1"/>
    <w:qFormat/>
    <w:rsid w:val="00505E0C"/>
    <w:pPr>
      <w:spacing w:after="0"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semiHidden/>
    <w:unhideWhenUsed/>
    <w:rsid w:val="00D93D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3D76"/>
    <w:rPr>
      <w:rFonts w:ascii="Times New Roman" w:eastAsiaTheme="minorEastAsia" w:hAnsi="Times New Roman" w:cs="Times New Roman"/>
      <w:sz w:val="24"/>
      <w:szCs w:val="24"/>
    </w:rPr>
  </w:style>
  <w:style w:type="paragraph" w:styleId="NormalWeb">
    <w:name w:val="Normal (Web)"/>
    <w:basedOn w:val="Normal"/>
    <w:uiPriority w:val="99"/>
    <w:semiHidden/>
    <w:unhideWhenUsed/>
    <w:rsid w:val="008D69B0"/>
    <w:pPr>
      <w:spacing w:before="100" w:beforeAutospacing="1" w:after="100" w:afterAutospacing="1" w:line="240" w:lineRule="auto"/>
    </w:pPr>
    <w:rPr>
      <w:rFonts w:ascii="Verdana" w:eastAsia="Times New Roman" w:hAnsi="Verdana"/>
      <w:color w:val="000000"/>
      <w:sz w:val="23"/>
      <w:szCs w:val="23"/>
    </w:rPr>
  </w:style>
  <w:style w:type="paragraph" w:styleId="Caption">
    <w:name w:val="caption"/>
    <w:basedOn w:val="Normal"/>
    <w:next w:val="Normal"/>
    <w:uiPriority w:val="35"/>
    <w:unhideWhenUsed/>
    <w:qFormat/>
    <w:rsid w:val="008778A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C04AAB"/>
    <w:pPr>
      <w:spacing w:after="0"/>
      <w:ind w:left="480" w:hanging="480"/>
    </w:pPr>
    <w:rPr>
      <w:rFonts w:asciiTheme="minorHAnsi" w:hAnsiTheme="minorHAnsi"/>
      <w:smallCaps/>
      <w:sz w:val="20"/>
      <w:szCs w:val="20"/>
    </w:rPr>
  </w:style>
  <w:style w:type="character" w:customStyle="1" w:styleId="Heading2Char">
    <w:name w:val="Heading 2 Char"/>
    <w:basedOn w:val="DefaultParagraphFont"/>
    <w:link w:val="Heading2"/>
    <w:uiPriority w:val="9"/>
    <w:semiHidden/>
    <w:rsid w:val="007A70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51FDE"/>
    <w:rPr>
      <w:rFonts w:asciiTheme="majorHAnsi" w:eastAsiaTheme="majorEastAsia" w:hAnsiTheme="majorHAnsi" w:cstheme="majorBidi"/>
      <w:b/>
      <w:bCs/>
      <w:color w:val="4F81BD" w:themeColor="accent1"/>
      <w:sz w:val="24"/>
      <w:szCs w:val="24"/>
    </w:rPr>
  </w:style>
  <w:style w:type="paragraph" w:styleId="TOC3">
    <w:name w:val="toc 3"/>
    <w:basedOn w:val="Normal"/>
    <w:next w:val="Normal"/>
    <w:autoRedefine/>
    <w:uiPriority w:val="39"/>
    <w:unhideWhenUsed/>
    <w:qFormat/>
    <w:rsid w:val="00D51FDE"/>
    <w:pPr>
      <w:spacing w:after="0"/>
      <w:ind w:left="480"/>
    </w:pPr>
    <w:rPr>
      <w:rFonts w:asciiTheme="minorHAnsi" w:hAnsiTheme="minorHAnsi"/>
      <w:i/>
      <w:iCs/>
      <w:sz w:val="20"/>
      <w:szCs w:val="20"/>
    </w:rPr>
  </w:style>
  <w:style w:type="paragraph" w:styleId="TOC4">
    <w:name w:val="toc 4"/>
    <w:basedOn w:val="Normal"/>
    <w:next w:val="Normal"/>
    <w:autoRedefine/>
    <w:uiPriority w:val="39"/>
    <w:unhideWhenUsed/>
    <w:rsid w:val="00D51FDE"/>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D51FDE"/>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D51FDE"/>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D51FDE"/>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D51FDE"/>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D51FDE"/>
    <w:pPr>
      <w:spacing w:after="0"/>
      <w:ind w:left="1920"/>
    </w:pPr>
    <w:rPr>
      <w:rFonts w:asciiTheme="minorHAnsi" w:hAnsiTheme="minorHAns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884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oyomartin.com/sites/default/files/2013_forest_management_plan.pdf" TargetMode="External"/><Relationship Id="rId14"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A00002EF" w:usb1="420020E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264C4"/>
    <w:rsid w:val="00161CD8"/>
    <w:rsid w:val="004264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C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1CD8"/>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B9FA349B-47E7-4179-8C26-209816CC3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58</Pages>
  <Words>10008</Words>
  <Characters>57047</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66922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koconne4</dc:creator>
  <cp:keywords/>
  <dc:description/>
  <cp:lastModifiedBy>koconne4</cp:lastModifiedBy>
  <cp:revision>11</cp:revision>
  <cp:lastPrinted>2013-07-17T14:46:00Z</cp:lastPrinted>
  <dcterms:created xsi:type="dcterms:W3CDTF">2013-07-15T18:29:00Z</dcterms:created>
  <dcterms:modified xsi:type="dcterms:W3CDTF">2013-07-17T19:49:00Z</dcterms:modified>
</cp:coreProperties>
</file>