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drawings/drawing1.xml" ContentType="application/vnd.openxmlformats-officedocument.drawingml.chartshapes+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drawings/drawing2.xml" ContentType="application/vnd.openxmlformats-officedocument.drawingml.chartshapes+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charts/chart35.xml" ContentType="application/vnd.openxmlformats-officedocument.drawingml.chart+xml"/>
  <Override PartName="/word/charts/style35.xml" ContentType="application/vnd.ms-office.chartstyle+xml"/>
  <Override PartName="/word/charts/colors35.xml" ContentType="application/vnd.ms-office.chartcolorstyle+xml"/>
  <Override PartName="/word/charts/chart36.xml" ContentType="application/vnd.openxmlformats-officedocument.drawingml.chart+xml"/>
  <Override PartName="/word/charts/style36.xml" ContentType="application/vnd.ms-office.chartstyle+xml"/>
  <Override PartName="/word/charts/colors36.xml" ContentType="application/vnd.ms-office.chartcolorstyle+xml"/>
  <Override PartName="/word/charts/chart37.xml" ContentType="application/vnd.openxmlformats-officedocument.drawingml.chart+xml"/>
  <Override PartName="/word/charts/style37.xml" ContentType="application/vnd.ms-office.chartstyle+xml"/>
  <Override PartName="/word/charts/colors37.xml" ContentType="application/vnd.ms-office.chartcolorstyle+xml"/>
  <Override PartName="/word/drawings/drawing3.xml" ContentType="application/vnd.openxmlformats-officedocument.drawingml.chartshapes+xml"/>
  <Override PartName="/word/charts/chart38.xml" ContentType="application/vnd.openxmlformats-officedocument.drawingml.chart+xml"/>
  <Override PartName="/word/charts/style38.xml" ContentType="application/vnd.ms-office.chartstyle+xml"/>
  <Override PartName="/word/charts/colors38.xml" ContentType="application/vnd.ms-office.chartcolorstyle+xml"/>
  <Override PartName="/word/charts/chart39.xml" ContentType="application/vnd.openxmlformats-officedocument.drawingml.chart+xml"/>
  <Override PartName="/word/charts/style39.xml" ContentType="application/vnd.ms-office.chartstyle+xml"/>
  <Override PartName="/word/charts/colors39.xml" ContentType="application/vnd.ms-office.chartcolorstyle+xml"/>
  <Override PartName="/word/drawings/drawing4.xml" ContentType="application/vnd.openxmlformats-officedocument.drawingml.chartshapes+xml"/>
  <Override PartName="/word/charts/chart40.xml" ContentType="application/vnd.openxmlformats-officedocument.drawingml.chart+xml"/>
  <Override PartName="/word/charts/style40.xml" ContentType="application/vnd.ms-office.chartstyle+xml"/>
  <Override PartName="/word/charts/colors40.xml" ContentType="application/vnd.ms-office.chartcolorstyle+xml"/>
  <Override PartName="/word/charts/chart41.xml" ContentType="application/vnd.openxmlformats-officedocument.drawingml.chart+xml"/>
  <Override PartName="/word/charts/style41.xml" ContentType="application/vnd.ms-office.chartstyle+xml"/>
  <Override PartName="/word/charts/colors41.xml" ContentType="application/vnd.ms-office.chartcolorstyle+xml"/>
  <Override PartName="/word/charts/chart42.xml" ContentType="application/vnd.openxmlformats-officedocument.drawingml.chart+xml"/>
  <Override PartName="/word/charts/style42.xml" ContentType="application/vnd.ms-office.chartstyle+xml"/>
  <Override PartName="/word/charts/colors42.xml" ContentType="application/vnd.ms-office.chartcolorstyle+xml"/>
  <Override PartName="/word/charts/chart43.xml" ContentType="application/vnd.openxmlformats-officedocument.drawingml.chart+xml"/>
  <Override PartName="/word/charts/style43.xml" ContentType="application/vnd.ms-office.chartstyle+xml"/>
  <Override PartName="/word/charts/colors43.xml" ContentType="application/vnd.ms-office.chartcolorstyle+xml"/>
  <Override PartName="/word/charts/chart44.xml" ContentType="application/vnd.openxmlformats-officedocument.drawingml.chart+xml"/>
  <Override PartName="/word/charts/style44.xml" ContentType="application/vnd.ms-office.chartstyle+xml"/>
  <Override PartName="/word/charts/colors44.xml" ContentType="application/vnd.ms-office.chartcolorstyle+xml"/>
  <Override PartName="/word/charts/chart45.xml" ContentType="application/vnd.openxmlformats-officedocument.drawingml.chart+xml"/>
  <Override PartName="/word/charts/style45.xml" ContentType="application/vnd.ms-office.chartstyle+xml"/>
  <Override PartName="/word/charts/colors45.xml" ContentType="application/vnd.ms-office.chartcolorstyle+xml"/>
  <Override PartName="/word/charts/chart46.xml" ContentType="application/vnd.openxmlformats-officedocument.drawingml.chart+xml"/>
  <Override PartName="/word/charts/style46.xml" ContentType="application/vnd.ms-office.chartstyle+xml"/>
  <Override PartName="/word/charts/colors46.xml" ContentType="application/vnd.ms-office.chartcolorstyle+xml"/>
  <Override PartName="/word/charts/chart47.xml" ContentType="application/vnd.openxmlformats-officedocument.drawingml.chart+xml"/>
  <Override PartName="/word/charts/style47.xml" ContentType="application/vnd.ms-office.chartstyle+xml"/>
  <Override PartName="/word/charts/colors47.xml" ContentType="application/vnd.ms-office.chartcolorstyle+xml"/>
  <Override PartName="/word/charts/chart48.xml" ContentType="application/vnd.openxmlformats-officedocument.drawingml.chart+xml"/>
  <Override PartName="/word/charts/style48.xml" ContentType="application/vnd.ms-office.chartstyle+xml"/>
  <Override PartName="/word/charts/colors48.xml" ContentType="application/vnd.ms-office.chartcolorstyle+xml"/>
  <Override PartName="/word/charts/chart49.xml" ContentType="application/vnd.openxmlformats-officedocument.drawingml.chart+xml"/>
  <Override PartName="/word/charts/style49.xml" ContentType="application/vnd.ms-office.chartstyle+xml"/>
  <Override PartName="/word/charts/colors49.xml" ContentType="application/vnd.ms-office.chartcolorstyle+xml"/>
  <Override PartName="/word/charts/chart50.xml" ContentType="application/vnd.openxmlformats-officedocument.drawingml.chart+xml"/>
  <Override PartName="/word/charts/style50.xml" ContentType="application/vnd.ms-office.chartstyle+xml"/>
  <Override PartName="/word/charts/colors50.xml" ContentType="application/vnd.ms-office.chartcolorstyle+xml"/>
  <Override PartName="/word/charts/chart51.xml" ContentType="application/vnd.openxmlformats-officedocument.drawingml.chart+xml"/>
  <Override PartName="/word/charts/style51.xml" ContentType="application/vnd.ms-office.chartstyle+xml"/>
  <Override PartName="/word/charts/colors51.xml" ContentType="application/vnd.ms-office.chartcolorstyle+xml"/>
  <Override PartName="/word/charts/chart52.xml" ContentType="application/vnd.openxmlformats-officedocument.drawingml.chart+xml"/>
  <Override PartName="/word/charts/style52.xml" ContentType="application/vnd.ms-office.chartstyle+xml"/>
  <Override PartName="/word/charts/colors52.xml" ContentType="application/vnd.ms-office.chartcolorstyle+xml"/>
  <Override PartName="/word/charts/chart53.xml" ContentType="application/vnd.openxmlformats-officedocument.drawingml.chart+xml"/>
  <Override PartName="/word/charts/style53.xml" ContentType="application/vnd.ms-office.chartstyle+xml"/>
  <Override PartName="/word/charts/colors53.xml" ContentType="application/vnd.ms-office.chartcolorstyle+xml"/>
  <Override PartName="/word/charts/chart54.xml" ContentType="application/vnd.openxmlformats-officedocument.drawingml.chart+xml"/>
  <Override PartName="/word/charts/style54.xml" ContentType="application/vnd.ms-office.chartstyle+xml"/>
  <Override PartName="/word/charts/colors54.xml" ContentType="application/vnd.ms-office.chartcolorstyle+xml"/>
  <Override PartName="/word/charts/chart55.xml" ContentType="application/vnd.openxmlformats-officedocument.drawingml.chart+xml"/>
  <Override PartName="/word/charts/style55.xml" ContentType="application/vnd.ms-office.chartstyle+xml"/>
  <Override PartName="/word/charts/colors55.xml" ContentType="application/vnd.ms-office.chartcolorstyle+xml"/>
  <Override PartName="/word/charts/chart56.xml" ContentType="application/vnd.openxmlformats-officedocument.drawingml.chart+xml"/>
  <Override PartName="/word/charts/style56.xml" ContentType="application/vnd.ms-office.chartstyle+xml"/>
  <Override PartName="/word/charts/colors56.xml" ContentType="application/vnd.ms-office.chartcolorstyle+xml"/>
  <Override PartName="/word/charts/chart57.xml" ContentType="application/vnd.openxmlformats-officedocument.drawingml.chart+xml"/>
  <Override PartName="/word/charts/style57.xml" ContentType="application/vnd.ms-office.chartstyle+xml"/>
  <Override PartName="/word/charts/colors57.xml" ContentType="application/vnd.ms-office.chartcolorstyle+xml"/>
  <Override PartName="/word/charts/chart58.xml" ContentType="application/vnd.openxmlformats-officedocument.drawingml.chart+xml"/>
  <Override PartName="/word/charts/style58.xml" ContentType="application/vnd.ms-office.chartstyle+xml"/>
  <Override PartName="/word/charts/colors58.xml" ContentType="application/vnd.ms-office.chartcolorstyle+xml"/>
  <Override PartName="/word/charts/chart59.xml" ContentType="application/vnd.openxmlformats-officedocument.drawingml.chart+xml"/>
  <Override PartName="/word/charts/style59.xml" ContentType="application/vnd.ms-office.chartstyle+xml"/>
  <Override PartName="/word/charts/colors59.xml" ContentType="application/vnd.ms-office.chartcolorstyle+xml"/>
  <Override PartName="/word/charts/chart60.xml" ContentType="application/vnd.openxmlformats-officedocument.drawingml.chart+xml"/>
  <Override PartName="/word/charts/style60.xml" ContentType="application/vnd.ms-office.chartstyle+xml"/>
  <Override PartName="/word/charts/colors60.xml" ContentType="application/vnd.ms-office.chartcolorstyle+xml"/>
  <Override PartName="/word/charts/chart61.xml" ContentType="application/vnd.openxmlformats-officedocument.drawingml.chart+xml"/>
  <Override PartName="/word/charts/style61.xml" ContentType="application/vnd.ms-office.chartstyle+xml"/>
  <Override PartName="/word/charts/colors61.xml" ContentType="application/vnd.ms-office.chartcolorstyle+xml"/>
  <Override PartName="/word/charts/chart62.xml" ContentType="application/vnd.openxmlformats-officedocument.drawingml.chart+xml"/>
  <Override PartName="/word/charts/style62.xml" ContentType="application/vnd.ms-office.chartstyle+xml"/>
  <Override PartName="/word/charts/colors62.xml" ContentType="application/vnd.ms-office.chartcolorstyle+xml"/>
  <Override PartName="/word/charts/chart63.xml" ContentType="application/vnd.openxmlformats-officedocument.drawingml.chart+xml"/>
  <Override PartName="/word/charts/style63.xml" ContentType="application/vnd.ms-office.chartstyle+xml"/>
  <Override PartName="/word/charts/colors63.xml" ContentType="application/vnd.ms-office.chartcolorstyle+xml"/>
  <Override PartName="/word/charts/chart64.xml" ContentType="application/vnd.openxmlformats-officedocument.drawingml.chart+xml"/>
  <Override PartName="/word/charts/style64.xml" ContentType="application/vnd.ms-office.chartstyle+xml"/>
  <Override PartName="/word/charts/colors64.xml" ContentType="application/vnd.ms-office.chartcolorstyle+xml"/>
  <Override PartName="/word/charts/chart65.xml" ContentType="application/vnd.openxmlformats-officedocument.drawingml.chart+xml"/>
  <Override PartName="/word/charts/style65.xml" ContentType="application/vnd.ms-office.chartstyle+xml"/>
  <Override PartName="/word/charts/colors65.xml" ContentType="application/vnd.ms-office.chartcolorstyle+xml"/>
  <Override PartName="/word/charts/chart66.xml" ContentType="application/vnd.openxmlformats-officedocument.drawingml.chart+xml"/>
  <Override PartName="/word/charts/style66.xml" ContentType="application/vnd.ms-office.chartstyle+xml"/>
  <Override PartName="/word/charts/colors66.xml" ContentType="application/vnd.ms-office.chartcolorstyle+xml"/>
  <Override PartName="/word/drawings/drawing5.xml" ContentType="application/vnd.openxmlformats-officedocument.drawingml.chartshapes+xml"/>
  <Override PartName="/word/charts/chart67.xml" ContentType="application/vnd.openxmlformats-officedocument.drawingml.chart+xml"/>
  <Override PartName="/word/charts/style67.xml" ContentType="application/vnd.ms-office.chartstyle+xml"/>
  <Override PartName="/word/charts/colors67.xml" ContentType="application/vnd.ms-office.chartcolorstyle+xml"/>
  <Override PartName="/word/drawings/drawing6.xml" ContentType="application/vnd.openxmlformats-officedocument.drawingml.chartshapes+xml"/>
  <Override PartName="/word/charts/chart68.xml" ContentType="application/vnd.openxmlformats-officedocument.drawingml.chart+xml"/>
  <Override PartName="/word/charts/style68.xml" ContentType="application/vnd.ms-office.chartstyle+xml"/>
  <Override PartName="/word/charts/colors68.xml" ContentType="application/vnd.ms-office.chartcolorstyle+xml"/>
  <Override PartName="/word/charts/chart69.xml" ContentType="application/vnd.openxmlformats-officedocument.drawingml.chart+xml"/>
  <Override PartName="/word/charts/style69.xml" ContentType="application/vnd.ms-office.chartstyle+xml"/>
  <Override PartName="/word/charts/colors69.xml" ContentType="application/vnd.ms-office.chartcolorstyle+xml"/>
  <Override PartName="/word/charts/chart70.xml" ContentType="application/vnd.openxmlformats-officedocument.drawingml.chart+xml"/>
  <Override PartName="/word/charts/style70.xml" ContentType="application/vnd.ms-office.chartstyle+xml"/>
  <Override PartName="/word/charts/colors70.xml" ContentType="application/vnd.ms-office.chartcolorstyle+xml"/>
  <Override PartName="/word/charts/chart71.xml" ContentType="application/vnd.openxmlformats-officedocument.drawingml.chart+xml"/>
  <Override PartName="/word/charts/style71.xml" ContentType="application/vnd.ms-office.chartstyle+xml"/>
  <Override PartName="/word/charts/colors71.xml" ContentType="application/vnd.ms-office.chartcolorstyle+xml"/>
  <Override PartName="/word/charts/chart72.xml" ContentType="application/vnd.openxmlformats-officedocument.drawingml.chart+xml"/>
  <Override PartName="/word/charts/style72.xml" ContentType="application/vnd.ms-office.chartstyle+xml"/>
  <Override PartName="/word/charts/colors7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CB98F" w14:textId="3DA154C3" w:rsidR="00C70796" w:rsidRPr="003C6DBD" w:rsidRDefault="003F6F35" w:rsidP="002A7494">
      <w:pPr>
        <w:pStyle w:val="Title"/>
        <w:spacing w:line="480" w:lineRule="auto"/>
        <w:rPr>
          <w:color w:val="0D0D0D" w:themeColor="text1" w:themeTint="F2"/>
        </w:rPr>
      </w:pPr>
      <w:bookmarkStart w:id="0" w:name="_Toc102229875"/>
      <w:r w:rsidRPr="003C6DBD">
        <w:rPr>
          <w:color w:val="0D0D0D" w:themeColor="text1" w:themeTint="F2"/>
        </w:rPr>
        <w:t xml:space="preserve">RISK </w:t>
      </w:r>
      <w:r w:rsidR="0073605D" w:rsidRPr="003C6DBD">
        <w:rPr>
          <w:color w:val="0D0D0D" w:themeColor="text1" w:themeTint="F2"/>
        </w:rPr>
        <w:t xml:space="preserve">AND FINANCIAL </w:t>
      </w:r>
      <w:r w:rsidRPr="003C6DBD">
        <w:rPr>
          <w:color w:val="0D0D0D" w:themeColor="text1" w:themeTint="F2"/>
        </w:rPr>
        <w:t>ANALYSIS OF PUBLICLY</w:t>
      </w:r>
      <w:r w:rsidR="006F4C40" w:rsidRPr="003C6DBD">
        <w:rPr>
          <w:color w:val="0D0D0D" w:themeColor="text1" w:themeTint="F2"/>
        </w:rPr>
        <w:t xml:space="preserve"> </w:t>
      </w:r>
      <w:r w:rsidRPr="003C6DBD">
        <w:rPr>
          <w:color w:val="0D0D0D" w:themeColor="text1" w:themeTint="F2"/>
        </w:rPr>
        <w:t>TRADED BIOFUEL FIRMS</w:t>
      </w:r>
    </w:p>
    <w:p w14:paraId="4DB76E40" w14:textId="77777777" w:rsidR="00C70796" w:rsidRPr="003C6DBD" w:rsidRDefault="00C70796" w:rsidP="002A7494">
      <w:pPr>
        <w:spacing w:line="480" w:lineRule="auto"/>
        <w:jc w:val="center"/>
        <w:rPr>
          <w:rFonts w:ascii="Times New Roman" w:hAnsi="Times New Roman" w:cs="Times New Roman"/>
          <w:color w:val="0D0D0D" w:themeColor="text1" w:themeTint="F2"/>
          <w:sz w:val="24"/>
          <w:szCs w:val="24"/>
        </w:rPr>
      </w:pPr>
    </w:p>
    <w:p w14:paraId="110D7C26" w14:textId="77777777" w:rsidR="00C70796" w:rsidRPr="003C6DBD" w:rsidRDefault="00C70796" w:rsidP="002A7494">
      <w:pPr>
        <w:spacing w:line="480" w:lineRule="auto"/>
        <w:jc w:val="center"/>
        <w:rPr>
          <w:rFonts w:ascii="Times New Roman" w:hAnsi="Times New Roman" w:cs="Times New Roman"/>
          <w:color w:val="0D0D0D" w:themeColor="text1" w:themeTint="F2"/>
          <w:sz w:val="24"/>
          <w:szCs w:val="24"/>
        </w:rPr>
      </w:pPr>
    </w:p>
    <w:p w14:paraId="4D606AB0" w14:textId="70A201B6" w:rsidR="00C260D8" w:rsidRPr="003C6DBD" w:rsidRDefault="00353A79" w:rsidP="00353A79">
      <w:pPr>
        <w:tabs>
          <w:tab w:val="left" w:pos="83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b/>
      </w:r>
    </w:p>
    <w:p w14:paraId="06E9B436" w14:textId="77777777" w:rsidR="00C260D8" w:rsidRPr="003C6DBD" w:rsidRDefault="00C260D8" w:rsidP="002A7494">
      <w:pPr>
        <w:spacing w:line="480" w:lineRule="auto"/>
        <w:jc w:val="center"/>
        <w:rPr>
          <w:rFonts w:ascii="Times New Roman" w:hAnsi="Times New Roman" w:cs="Times New Roman"/>
          <w:color w:val="0D0D0D" w:themeColor="text1" w:themeTint="F2"/>
          <w:sz w:val="24"/>
          <w:szCs w:val="24"/>
        </w:rPr>
      </w:pPr>
    </w:p>
    <w:p w14:paraId="4EB34007" w14:textId="77777777" w:rsidR="00C260D8" w:rsidRPr="003C6DBD" w:rsidRDefault="00C260D8" w:rsidP="002A7494">
      <w:pPr>
        <w:spacing w:line="480" w:lineRule="auto"/>
        <w:jc w:val="center"/>
        <w:rPr>
          <w:rFonts w:ascii="Times New Roman" w:hAnsi="Times New Roman" w:cs="Times New Roman"/>
          <w:color w:val="0D0D0D" w:themeColor="text1" w:themeTint="F2"/>
          <w:sz w:val="24"/>
          <w:szCs w:val="24"/>
        </w:rPr>
      </w:pPr>
    </w:p>
    <w:p w14:paraId="4DAC202A" w14:textId="77777777" w:rsidR="00C260D8" w:rsidRPr="003C6DBD" w:rsidRDefault="00C260D8" w:rsidP="002A7494">
      <w:pPr>
        <w:spacing w:line="480" w:lineRule="auto"/>
        <w:jc w:val="center"/>
        <w:rPr>
          <w:rFonts w:ascii="Times New Roman" w:hAnsi="Times New Roman" w:cs="Times New Roman"/>
          <w:color w:val="0D0D0D" w:themeColor="text1" w:themeTint="F2"/>
          <w:sz w:val="24"/>
          <w:szCs w:val="24"/>
        </w:rPr>
      </w:pPr>
    </w:p>
    <w:p w14:paraId="5F5ABA02" w14:textId="0260E37B" w:rsidR="00C70796" w:rsidRPr="003C6DBD" w:rsidRDefault="003F6F35" w:rsidP="002A7494">
      <w:pPr>
        <w:spacing w:line="480" w:lineRule="auto"/>
        <w:jc w:val="cente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 Thesis Presented for the</w:t>
      </w:r>
    </w:p>
    <w:p w14:paraId="369EB4E5" w14:textId="77777777" w:rsidR="00683056" w:rsidRPr="003C6DBD" w:rsidRDefault="003F6F35" w:rsidP="002A7494">
      <w:pPr>
        <w:spacing w:line="480" w:lineRule="auto"/>
        <w:jc w:val="cente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Master of Science </w:t>
      </w:r>
    </w:p>
    <w:p w14:paraId="018E8AB0" w14:textId="77777777" w:rsidR="00683056" w:rsidRPr="003C6DBD" w:rsidRDefault="003F6F35" w:rsidP="002A7494">
      <w:pPr>
        <w:pStyle w:val="Heading8"/>
        <w:rPr>
          <w:color w:val="0D0D0D" w:themeColor="text1" w:themeTint="F2"/>
        </w:rPr>
      </w:pPr>
      <w:r w:rsidRPr="003C6DBD">
        <w:rPr>
          <w:color w:val="0D0D0D" w:themeColor="text1" w:themeTint="F2"/>
        </w:rPr>
        <w:t>Degree</w:t>
      </w:r>
    </w:p>
    <w:p w14:paraId="546B3F14" w14:textId="77777777" w:rsidR="00683056" w:rsidRPr="003C6DBD" w:rsidRDefault="003F6F35" w:rsidP="002A7494">
      <w:pPr>
        <w:spacing w:line="480" w:lineRule="auto"/>
        <w:jc w:val="cente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The University of Tennessee, Knoxville</w:t>
      </w:r>
    </w:p>
    <w:p w14:paraId="315FC480" w14:textId="77777777" w:rsidR="00C260D8" w:rsidRPr="003C6DBD" w:rsidRDefault="00C260D8" w:rsidP="002A7494">
      <w:pPr>
        <w:spacing w:line="480" w:lineRule="auto"/>
        <w:jc w:val="center"/>
        <w:rPr>
          <w:rFonts w:ascii="Times New Roman" w:hAnsi="Times New Roman" w:cs="Times New Roman"/>
          <w:color w:val="0D0D0D" w:themeColor="text1" w:themeTint="F2"/>
          <w:sz w:val="24"/>
          <w:szCs w:val="24"/>
        </w:rPr>
      </w:pPr>
    </w:p>
    <w:p w14:paraId="42022676" w14:textId="77777777" w:rsidR="00C260D8" w:rsidRPr="003C6DBD" w:rsidRDefault="00C260D8" w:rsidP="002A7494">
      <w:pPr>
        <w:spacing w:line="480" w:lineRule="auto"/>
        <w:jc w:val="center"/>
        <w:rPr>
          <w:rFonts w:ascii="Times New Roman" w:hAnsi="Times New Roman" w:cs="Times New Roman"/>
          <w:color w:val="0D0D0D" w:themeColor="text1" w:themeTint="F2"/>
          <w:sz w:val="24"/>
          <w:szCs w:val="24"/>
        </w:rPr>
      </w:pPr>
    </w:p>
    <w:p w14:paraId="678A4D0A" w14:textId="77777777" w:rsidR="00C260D8" w:rsidRPr="003C6DBD" w:rsidRDefault="00C260D8" w:rsidP="002A7494">
      <w:pPr>
        <w:spacing w:line="480" w:lineRule="auto"/>
        <w:jc w:val="center"/>
        <w:rPr>
          <w:rFonts w:ascii="Times New Roman" w:hAnsi="Times New Roman" w:cs="Times New Roman"/>
          <w:color w:val="0D0D0D" w:themeColor="text1" w:themeTint="F2"/>
          <w:sz w:val="24"/>
          <w:szCs w:val="24"/>
        </w:rPr>
      </w:pPr>
    </w:p>
    <w:p w14:paraId="3FBA601C" w14:textId="77777777" w:rsidR="00C260D8" w:rsidRPr="003C6DBD" w:rsidRDefault="00C260D8" w:rsidP="002A7494">
      <w:pPr>
        <w:spacing w:line="480" w:lineRule="auto"/>
        <w:jc w:val="center"/>
        <w:rPr>
          <w:rFonts w:ascii="Times New Roman" w:hAnsi="Times New Roman" w:cs="Times New Roman"/>
          <w:color w:val="0D0D0D" w:themeColor="text1" w:themeTint="F2"/>
          <w:sz w:val="24"/>
          <w:szCs w:val="24"/>
        </w:rPr>
      </w:pPr>
    </w:p>
    <w:p w14:paraId="6C05E617" w14:textId="77777777" w:rsidR="009C1532" w:rsidRPr="003C6DBD" w:rsidRDefault="003F6F35" w:rsidP="002A7494">
      <w:pPr>
        <w:spacing w:line="480" w:lineRule="auto"/>
        <w:jc w:val="cente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Bishal Bista</w:t>
      </w:r>
    </w:p>
    <w:p w14:paraId="06E8823A" w14:textId="7144BE93" w:rsidR="00440B42" w:rsidRPr="003C6DBD" w:rsidRDefault="000A5C42" w:rsidP="00826849">
      <w:pPr>
        <w:pStyle w:val="Heading8"/>
        <w:rPr>
          <w:color w:val="0D0D0D" w:themeColor="text1" w:themeTint="F2"/>
        </w:rPr>
      </w:pPr>
      <w:r w:rsidRPr="003C6DBD">
        <w:rPr>
          <w:color w:val="0D0D0D" w:themeColor="text1" w:themeTint="F2"/>
        </w:rPr>
        <w:t>Ma</w:t>
      </w:r>
      <w:r w:rsidR="009502E5" w:rsidRPr="003C6DBD">
        <w:rPr>
          <w:color w:val="0D0D0D" w:themeColor="text1" w:themeTint="F2"/>
        </w:rPr>
        <w:t>y</w:t>
      </w:r>
      <w:r w:rsidR="003F6F35" w:rsidRPr="003C6DBD">
        <w:rPr>
          <w:color w:val="0D0D0D" w:themeColor="text1" w:themeTint="F2"/>
        </w:rPr>
        <w:t xml:space="preserve"> 202</w:t>
      </w:r>
      <w:r w:rsidR="00826849" w:rsidRPr="003C6DBD">
        <w:rPr>
          <w:color w:val="0D0D0D" w:themeColor="text1" w:themeTint="F2"/>
        </w:rPr>
        <w:t>3</w:t>
      </w:r>
    </w:p>
    <w:p w14:paraId="6608552C" w14:textId="77777777" w:rsidR="00826849" w:rsidRPr="003C6DBD" w:rsidRDefault="00826849" w:rsidP="00826849">
      <w:pPr>
        <w:rPr>
          <w:rFonts w:ascii="Times New Roman" w:hAnsi="Times New Roman" w:cs="Times New Roman"/>
          <w:color w:val="0D0D0D" w:themeColor="text1" w:themeTint="F2"/>
          <w:sz w:val="24"/>
          <w:szCs w:val="24"/>
        </w:rPr>
      </w:pPr>
    </w:p>
    <w:p w14:paraId="342CD12B" w14:textId="36611C96" w:rsidR="00440B42" w:rsidRPr="003C6DBD" w:rsidRDefault="00440B42" w:rsidP="00440B42">
      <w:pPr>
        <w:rPr>
          <w:rFonts w:ascii="Times New Roman" w:hAnsi="Times New Roman" w:cs="Times New Roman"/>
          <w:color w:val="0D0D0D" w:themeColor="text1" w:themeTint="F2"/>
          <w:sz w:val="24"/>
          <w:szCs w:val="24"/>
        </w:rPr>
      </w:pPr>
    </w:p>
    <w:p w14:paraId="65904431" w14:textId="77777777" w:rsidR="003850D6" w:rsidRPr="003C6DBD" w:rsidRDefault="003850D6" w:rsidP="00440B42">
      <w:pPr>
        <w:pStyle w:val="Default"/>
        <w:rPr>
          <w:color w:val="0D0D0D" w:themeColor="text1" w:themeTint="F2"/>
        </w:rPr>
        <w:sectPr w:rsidR="003850D6" w:rsidRPr="003C6DBD" w:rsidSect="003F384F">
          <w:footerReference w:type="default" r:id="rId11"/>
          <w:type w:val="nextColumn"/>
          <w:pgSz w:w="12240" w:h="15840"/>
          <w:pgMar w:top="1440" w:right="1440" w:bottom="1440" w:left="1440" w:header="720" w:footer="720" w:gutter="0"/>
          <w:pgNumType w:fmt="lowerRoman" w:start="1"/>
          <w:cols w:space="720"/>
          <w:docGrid w:linePitch="360"/>
        </w:sectPr>
      </w:pPr>
    </w:p>
    <w:p w14:paraId="208CFA7A" w14:textId="4ED657E5" w:rsidR="00440B42" w:rsidRPr="003C6DBD" w:rsidRDefault="00440B42" w:rsidP="00440B42">
      <w:pPr>
        <w:pStyle w:val="Default"/>
        <w:rPr>
          <w:color w:val="0D0D0D" w:themeColor="text1" w:themeTint="F2"/>
        </w:rPr>
      </w:pPr>
      <w:r w:rsidRPr="003C6DBD">
        <w:rPr>
          <w:color w:val="0D0D0D" w:themeColor="text1" w:themeTint="F2"/>
        </w:rPr>
        <w:lastRenderedPageBreak/>
        <w:t>Copyright © 2018 by Bishal Bista</w:t>
      </w:r>
    </w:p>
    <w:p w14:paraId="469288A6" w14:textId="0CA4C7EA" w:rsidR="00440B42" w:rsidRPr="003C6DBD" w:rsidRDefault="00440B42" w:rsidP="00440B42">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All rights reserved.</w:t>
      </w:r>
    </w:p>
    <w:p w14:paraId="28960645" w14:textId="1E7B49A1" w:rsidR="00440B42" w:rsidRPr="003C6DBD" w:rsidRDefault="00440B42" w:rsidP="00440B42">
      <w:pPr>
        <w:rPr>
          <w:rFonts w:ascii="Times New Roman" w:hAnsi="Times New Roman" w:cs="Times New Roman"/>
          <w:color w:val="0D0D0D" w:themeColor="text1" w:themeTint="F2"/>
          <w:sz w:val="24"/>
          <w:szCs w:val="24"/>
        </w:rPr>
      </w:pPr>
    </w:p>
    <w:p w14:paraId="7AC460AE" w14:textId="5ABDE015" w:rsidR="00440B42" w:rsidRPr="003C6DBD" w:rsidRDefault="00440B42" w:rsidP="00440B42">
      <w:pPr>
        <w:rPr>
          <w:rFonts w:ascii="Times New Roman" w:hAnsi="Times New Roman" w:cs="Times New Roman"/>
          <w:color w:val="0D0D0D" w:themeColor="text1" w:themeTint="F2"/>
          <w:sz w:val="24"/>
          <w:szCs w:val="24"/>
        </w:rPr>
      </w:pPr>
    </w:p>
    <w:p w14:paraId="414A5C9F" w14:textId="5CD0152E" w:rsidR="00440B42" w:rsidRPr="003C6DBD" w:rsidRDefault="00440B42" w:rsidP="00440B42">
      <w:pPr>
        <w:rPr>
          <w:rFonts w:ascii="Times New Roman" w:hAnsi="Times New Roman" w:cs="Times New Roman"/>
          <w:color w:val="0D0D0D" w:themeColor="text1" w:themeTint="F2"/>
          <w:sz w:val="24"/>
          <w:szCs w:val="24"/>
        </w:rPr>
      </w:pPr>
    </w:p>
    <w:p w14:paraId="35C96240" w14:textId="09CAF13E" w:rsidR="00440B42" w:rsidRPr="003C6DBD" w:rsidRDefault="00440B42" w:rsidP="00440B42">
      <w:pPr>
        <w:rPr>
          <w:rFonts w:ascii="Times New Roman" w:hAnsi="Times New Roman" w:cs="Times New Roman"/>
          <w:color w:val="0D0D0D" w:themeColor="text1" w:themeTint="F2"/>
          <w:sz w:val="24"/>
          <w:szCs w:val="24"/>
        </w:rPr>
      </w:pPr>
    </w:p>
    <w:p w14:paraId="49958FA5" w14:textId="09B488A8" w:rsidR="00440B42" w:rsidRPr="003C6DBD" w:rsidRDefault="00440B42" w:rsidP="00440B42">
      <w:pPr>
        <w:rPr>
          <w:rFonts w:ascii="Times New Roman" w:hAnsi="Times New Roman" w:cs="Times New Roman"/>
          <w:color w:val="0D0D0D" w:themeColor="text1" w:themeTint="F2"/>
          <w:sz w:val="24"/>
          <w:szCs w:val="24"/>
        </w:rPr>
      </w:pPr>
    </w:p>
    <w:p w14:paraId="6DEB5518" w14:textId="782C5F2B" w:rsidR="00440B42" w:rsidRPr="003C6DBD" w:rsidRDefault="00440B42" w:rsidP="00440B42">
      <w:pPr>
        <w:rPr>
          <w:rFonts w:ascii="Times New Roman" w:hAnsi="Times New Roman" w:cs="Times New Roman"/>
          <w:color w:val="0D0D0D" w:themeColor="text1" w:themeTint="F2"/>
          <w:sz w:val="24"/>
          <w:szCs w:val="24"/>
        </w:rPr>
      </w:pPr>
    </w:p>
    <w:p w14:paraId="594BF2B9" w14:textId="51AB9805" w:rsidR="00440B42" w:rsidRPr="003C6DBD" w:rsidRDefault="00440B42" w:rsidP="00440B42">
      <w:pPr>
        <w:rPr>
          <w:rFonts w:ascii="Times New Roman" w:hAnsi="Times New Roman" w:cs="Times New Roman"/>
          <w:color w:val="0D0D0D" w:themeColor="text1" w:themeTint="F2"/>
          <w:sz w:val="24"/>
          <w:szCs w:val="24"/>
        </w:rPr>
      </w:pPr>
    </w:p>
    <w:p w14:paraId="3EF3D879" w14:textId="2BC47FF0" w:rsidR="00440B42" w:rsidRPr="003C6DBD" w:rsidRDefault="00440B42" w:rsidP="00440B42">
      <w:pPr>
        <w:rPr>
          <w:rFonts w:ascii="Times New Roman" w:hAnsi="Times New Roman" w:cs="Times New Roman"/>
          <w:color w:val="0D0D0D" w:themeColor="text1" w:themeTint="F2"/>
          <w:sz w:val="24"/>
          <w:szCs w:val="24"/>
        </w:rPr>
      </w:pPr>
    </w:p>
    <w:p w14:paraId="2C6CD5D5" w14:textId="66541655" w:rsidR="00440B42" w:rsidRPr="003C6DBD" w:rsidRDefault="00440B42" w:rsidP="00440B42">
      <w:pPr>
        <w:rPr>
          <w:rFonts w:ascii="Times New Roman" w:hAnsi="Times New Roman" w:cs="Times New Roman"/>
          <w:color w:val="0D0D0D" w:themeColor="text1" w:themeTint="F2"/>
          <w:sz w:val="24"/>
          <w:szCs w:val="24"/>
        </w:rPr>
      </w:pPr>
    </w:p>
    <w:p w14:paraId="42E99F6F" w14:textId="17963606" w:rsidR="00440B42" w:rsidRPr="003C6DBD" w:rsidRDefault="00440B42" w:rsidP="00440B42">
      <w:pPr>
        <w:rPr>
          <w:rFonts w:ascii="Times New Roman" w:hAnsi="Times New Roman" w:cs="Times New Roman"/>
          <w:color w:val="0D0D0D" w:themeColor="text1" w:themeTint="F2"/>
          <w:sz w:val="24"/>
          <w:szCs w:val="24"/>
        </w:rPr>
      </w:pPr>
    </w:p>
    <w:p w14:paraId="78A34FB4" w14:textId="2C35B031" w:rsidR="00440B42" w:rsidRPr="003C6DBD" w:rsidRDefault="00440B42" w:rsidP="00440B42">
      <w:pPr>
        <w:rPr>
          <w:rFonts w:ascii="Times New Roman" w:hAnsi="Times New Roman" w:cs="Times New Roman"/>
          <w:color w:val="0D0D0D" w:themeColor="text1" w:themeTint="F2"/>
          <w:sz w:val="24"/>
          <w:szCs w:val="24"/>
        </w:rPr>
      </w:pPr>
    </w:p>
    <w:p w14:paraId="22B50EC3" w14:textId="170402D8" w:rsidR="00440B42" w:rsidRPr="003C6DBD" w:rsidRDefault="00440B42" w:rsidP="00440B42">
      <w:pPr>
        <w:rPr>
          <w:rFonts w:ascii="Times New Roman" w:hAnsi="Times New Roman" w:cs="Times New Roman"/>
          <w:color w:val="0D0D0D" w:themeColor="text1" w:themeTint="F2"/>
          <w:sz w:val="24"/>
          <w:szCs w:val="24"/>
        </w:rPr>
      </w:pPr>
    </w:p>
    <w:p w14:paraId="0FEDCE32" w14:textId="310C10B5" w:rsidR="00440B42" w:rsidRPr="003C6DBD" w:rsidRDefault="00440B42" w:rsidP="00440B42">
      <w:pPr>
        <w:rPr>
          <w:rFonts w:ascii="Times New Roman" w:hAnsi="Times New Roman" w:cs="Times New Roman"/>
          <w:color w:val="0D0D0D" w:themeColor="text1" w:themeTint="F2"/>
          <w:sz w:val="24"/>
          <w:szCs w:val="24"/>
        </w:rPr>
      </w:pPr>
    </w:p>
    <w:p w14:paraId="36E9C09A" w14:textId="408EAD69" w:rsidR="00440B42" w:rsidRPr="003C6DBD" w:rsidRDefault="00440B42" w:rsidP="00440B42">
      <w:pPr>
        <w:rPr>
          <w:rFonts w:ascii="Times New Roman" w:hAnsi="Times New Roman" w:cs="Times New Roman"/>
          <w:color w:val="0D0D0D" w:themeColor="text1" w:themeTint="F2"/>
          <w:sz w:val="24"/>
          <w:szCs w:val="24"/>
        </w:rPr>
      </w:pPr>
    </w:p>
    <w:p w14:paraId="3C9F6A57" w14:textId="4ABF533D" w:rsidR="00440B42" w:rsidRPr="003C6DBD" w:rsidRDefault="00440B42" w:rsidP="00440B42">
      <w:pPr>
        <w:rPr>
          <w:rFonts w:ascii="Times New Roman" w:hAnsi="Times New Roman" w:cs="Times New Roman"/>
          <w:color w:val="0D0D0D" w:themeColor="text1" w:themeTint="F2"/>
          <w:sz w:val="24"/>
          <w:szCs w:val="24"/>
        </w:rPr>
      </w:pPr>
    </w:p>
    <w:p w14:paraId="28E91784" w14:textId="182B85CF" w:rsidR="00440B42" w:rsidRPr="003C6DBD" w:rsidRDefault="00440B42" w:rsidP="00440B42">
      <w:pPr>
        <w:rPr>
          <w:rFonts w:ascii="Times New Roman" w:hAnsi="Times New Roman" w:cs="Times New Roman"/>
          <w:color w:val="0D0D0D" w:themeColor="text1" w:themeTint="F2"/>
          <w:sz w:val="24"/>
          <w:szCs w:val="24"/>
        </w:rPr>
      </w:pPr>
    </w:p>
    <w:p w14:paraId="58B908D9" w14:textId="4D9564F1" w:rsidR="00C267F3" w:rsidRPr="003C6DBD" w:rsidRDefault="00C267F3" w:rsidP="00440B42">
      <w:pPr>
        <w:rPr>
          <w:rFonts w:ascii="Times New Roman" w:hAnsi="Times New Roman" w:cs="Times New Roman"/>
          <w:color w:val="0D0D0D" w:themeColor="text1" w:themeTint="F2"/>
          <w:sz w:val="24"/>
          <w:szCs w:val="24"/>
        </w:rPr>
      </w:pPr>
    </w:p>
    <w:p w14:paraId="774E51E8" w14:textId="12A921C0" w:rsidR="00C267F3" w:rsidRPr="003C6DBD" w:rsidRDefault="00C267F3" w:rsidP="00440B42">
      <w:pPr>
        <w:rPr>
          <w:rFonts w:ascii="Times New Roman" w:hAnsi="Times New Roman" w:cs="Times New Roman"/>
          <w:color w:val="0D0D0D" w:themeColor="text1" w:themeTint="F2"/>
          <w:sz w:val="24"/>
          <w:szCs w:val="24"/>
        </w:rPr>
      </w:pPr>
    </w:p>
    <w:p w14:paraId="7D808EF3" w14:textId="47F8F611" w:rsidR="00C267F3" w:rsidRPr="003C6DBD" w:rsidRDefault="00C267F3" w:rsidP="00440B42">
      <w:pPr>
        <w:rPr>
          <w:rFonts w:ascii="Times New Roman" w:hAnsi="Times New Roman" w:cs="Times New Roman"/>
          <w:color w:val="0D0D0D" w:themeColor="text1" w:themeTint="F2"/>
          <w:sz w:val="24"/>
          <w:szCs w:val="24"/>
        </w:rPr>
      </w:pPr>
    </w:p>
    <w:p w14:paraId="3504B255" w14:textId="103A3DA6" w:rsidR="00C267F3" w:rsidRPr="003C6DBD" w:rsidRDefault="00C267F3" w:rsidP="00440B42">
      <w:pPr>
        <w:rPr>
          <w:rFonts w:ascii="Times New Roman" w:hAnsi="Times New Roman" w:cs="Times New Roman"/>
          <w:color w:val="0D0D0D" w:themeColor="text1" w:themeTint="F2"/>
          <w:sz w:val="24"/>
          <w:szCs w:val="24"/>
        </w:rPr>
      </w:pPr>
    </w:p>
    <w:p w14:paraId="255BC9D2" w14:textId="4D5A3FD3" w:rsidR="00C267F3" w:rsidRPr="003C6DBD" w:rsidRDefault="00C267F3" w:rsidP="00440B42">
      <w:pPr>
        <w:rPr>
          <w:rFonts w:ascii="Times New Roman" w:hAnsi="Times New Roman" w:cs="Times New Roman"/>
          <w:color w:val="0D0D0D" w:themeColor="text1" w:themeTint="F2"/>
          <w:sz w:val="24"/>
          <w:szCs w:val="24"/>
        </w:rPr>
      </w:pPr>
    </w:p>
    <w:p w14:paraId="1A4F66E2" w14:textId="732AAEC9" w:rsidR="00C267F3" w:rsidRPr="003C6DBD" w:rsidRDefault="00C267F3" w:rsidP="00440B42">
      <w:pPr>
        <w:rPr>
          <w:rFonts w:ascii="Times New Roman" w:hAnsi="Times New Roman" w:cs="Times New Roman"/>
          <w:color w:val="0D0D0D" w:themeColor="text1" w:themeTint="F2"/>
          <w:sz w:val="24"/>
          <w:szCs w:val="24"/>
        </w:rPr>
      </w:pPr>
    </w:p>
    <w:p w14:paraId="4780482F" w14:textId="1F5E13F5" w:rsidR="00C267F3" w:rsidRPr="003C6DBD" w:rsidRDefault="00C267F3" w:rsidP="00440B42">
      <w:pPr>
        <w:rPr>
          <w:rFonts w:ascii="Times New Roman" w:hAnsi="Times New Roman" w:cs="Times New Roman"/>
          <w:color w:val="0D0D0D" w:themeColor="text1" w:themeTint="F2"/>
          <w:sz w:val="24"/>
          <w:szCs w:val="24"/>
        </w:rPr>
      </w:pPr>
    </w:p>
    <w:p w14:paraId="77307285" w14:textId="18A65453" w:rsidR="00C267F3" w:rsidRPr="003C6DBD" w:rsidRDefault="00C267F3" w:rsidP="00440B42">
      <w:pPr>
        <w:rPr>
          <w:rFonts w:ascii="Times New Roman" w:hAnsi="Times New Roman" w:cs="Times New Roman"/>
          <w:color w:val="0D0D0D" w:themeColor="text1" w:themeTint="F2"/>
          <w:sz w:val="24"/>
          <w:szCs w:val="24"/>
        </w:rPr>
      </w:pPr>
    </w:p>
    <w:p w14:paraId="3FFDBF4E" w14:textId="04A0F44C" w:rsidR="00C267F3" w:rsidRPr="003C6DBD" w:rsidRDefault="00C267F3" w:rsidP="00440B42">
      <w:pPr>
        <w:rPr>
          <w:rFonts w:ascii="Times New Roman" w:hAnsi="Times New Roman" w:cs="Times New Roman"/>
          <w:color w:val="0D0D0D" w:themeColor="text1" w:themeTint="F2"/>
          <w:sz w:val="24"/>
          <w:szCs w:val="24"/>
        </w:rPr>
      </w:pPr>
    </w:p>
    <w:p w14:paraId="50712CB5" w14:textId="77777777" w:rsidR="0068142C" w:rsidRPr="003C6DBD" w:rsidRDefault="0068142C" w:rsidP="00440B42">
      <w:pPr>
        <w:rPr>
          <w:rFonts w:ascii="Times New Roman" w:hAnsi="Times New Roman" w:cs="Times New Roman"/>
          <w:color w:val="0D0D0D" w:themeColor="text1" w:themeTint="F2"/>
          <w:sz w:val="24"/>
          <w:szCs w:val="24"/>
        </w:rPr>
      </w:pPr>
    </w:p>
    <w:p w14:paraId="2DC8BCBC" w14:textId="08FD49D3" w:rsidR="00C267F3" w:rsidRPr="003C6DBD" w:rsidRDefault="00C267F3" w:rsidP="00440B42">
      <w:pPr>
        <w:rPr>
          <w:rFonts w:ascii="Times New Roman" w:hAnsi="Times New Roman" w:cs="Times New Roman"/>
          <w:color w:val="0D0D0D" w:themeColor="text1" w:themeTint="F2"/>
          <w:sz w:val="24"/>
          <w:szCs w:val="24"/>
        </w:rPr>
      </w:pPr>
    </w:p>
    <w:p w14:paraId="2158D00F" w14:textId="6091133D" w:rsidR="00C267F3" w:rsidRPr="003C6DBD" w:rsidRDefault="00C267F3" w:rsidP="00C267F3">
      <w:pPr>
        <w:pStyle w:val="Default"/>
        <w:jc w:val="center"/>
        <w:rPr>
          <w:b/>
          <w:bCs/>
          <w:color w:val="0D0D0D" w:themeColor="text1" w:themeTint="F2"/>
        </w:rPr>
      </w:pPr>
      <w:r w:rsidRPr="003C6DBD">
        <w:rPr>
          <w:b/>
          <w:bCs/>
          <w:color w:val="0D0D0D" w:themeColor="text1" w:themeTint="F2"/>
        </w:rPr>
        <w:lastRenderedPageBreak/>
        <w:t>D</w:t>
      </w:r>
      <w:r w:rsidR="00803267" w:rsidRPr="003C6DBD">
        <w:rPr>
          <w:b/>
          <w:bCs/>
          <w:color w:val="0D0D0D" w:themeColor="text1" w:themeTint="F2"/>
        </w:rPr>
        <w:t>edication</w:t>
      </w:r>
    </w:p>
    <w:p w14:paraId="41345C4F" w14:textId="10C615F3" w:rsidR="00C267F3" w:rsidRPr="003C6DBD" w:rsidRDefault="00C267F3" w:rsidP="00C267F3">
      <w:pPr>
        <w:pStyle w:val="Default"/>
        <w:rPr>
          <w:b/>
          <w:bCs/>
          <w:color w:val="0D0D0D" w:themeColor="text1" w:themeTint="F2"/>
        </w:rPr>
      </w:pPr>
    </w:p>
    <w:p w14:paraId="1A44B730" w14:textId="0CE8380D" w:rsidR="00C267F3" w:rsidRPr="003C6DBD" w:rsidRDefault="00557602" w:rsidP="00803267">
      <w:pPr>
        <w:pStyle w:val="Default"/>
        <w:spacing w:line="480" w:lineRule="auto"/>
        <w:rPr>
          <w:color w:val="0D0D0D" w:themeColor="text1" w:themeTint="F2"/>
        </w:rPr>
      </w:pPr>
      <w:r w:rsidRPr="003C6DBD">
        <w:rPr>
          <w:color w:val="0D0D0D" w:themeColor="text1" w:themeTint="F2"/>
        </w:rPr>
        <w:t xml:space="preserve">I dedicate my work to Ganga Bista, Hemraj Bista, </w:t>
      </w:r>
      <w:proofErr w:type="spellStart"/>
      <w:r w:rsidRPr="003C6DBD">
        <w:rPr>
          <w:color w:val="0D0D0D" w:themeColor="text1" w:themeTint="F2"/>
        </w:rPr>
        <w:t>Bimala</w:t>
      </w:r>
      <w:proofErr w:type="spellEnd"/>
      <w:r w:rsidRPr="003C6DBD">
        <w:rPr>
          <w:color w:val="0D0D0D" w:themeColor="text1" w:themeTint="F2"/>
        </w:rPr>
        <w:t xml:space="preserve"> Bista, </w:t>
      </w:r>
      <w:r w:rsidR="0016077E" w:rsidRPr="003C6DBD">
        <w:rPr>
          <w:color w:val="0D0D0D" w:themeColor="text1" w:themeTint="F2"/>
        </w:rPr>
        <w:t xml:space="preserve">Birendra Basnet, </w:t>
      </w:r>
      <w:proofErr w:type="spellStart"/>
      <w:r w:rsidR="0016077E" w:rsidRPr="003C6DBD">
        <w:rPr>
          <w:color w:val="0D0D0D" w:themeColor="text1" w:themeTint="F2"/>
        </w:rPr>
        <w:t>Hemanta</w:t>
      </w:r>
      <w:proofErr w:type="spellEnd"/>
      <w:r w:rsidR="0016077E" w:rsidRPr="003C6DBD">
        <w:rPr>
          <w:color w:val="0D0D0D" w:themeColor="text1" w:themeTint="F2"/>
        </w:rPr>
        <w:t xml:space="preserve"> Basnet, </w:t>
      </w:r>
      <w:r w:rsidRPr="003C6DBD">
        <w:rPr>
          <w:color w:val="0D0D0D" w:themeColor="text1" w:themeTint="F2"/>
        </w:rPr>
        <w:t xml:space="preserve">Bhishma Raj </w:t>
      </w:r>
      <w:proofErr w:type="spellStart"/>
      <w:r w:rsidRPr="003C6DBD">
        <w:rPr>
          <w:color w:val="0D0D0D" w:themeColor="text1" w:themeTint="F2"/>
        </w:rPr>
        <w:t>Dahal</w:t>
      </w:r>
      <w:proofErr w:type="spellEnd"/>
      <w:r w:rsidRPr="003C6DBD">
        <w:rPr>
          <w:color w:val="0D0D0D" w:themeColor="text1" w:themeTint="F2"/>
        </w:rPr>
        <w:t xml:space="preserve">, Amrit Shrestha, </w:t>
      </w:r>
      <w:r w:rsidR="004835C4" w:rsidRPr="003C6DBD">
        <w:rPr>
          <w:color w:val="0D0D0D" w:themeColor="text1" w:themeTint="F2"/>
        </w:rPr>
        <w:t xml:space="preserve">Sagar </w:t>
      </w:r>
      <w:proofErr w:type="spellStart"/>
      <w:r w:rsidR="004835C4" w:rsidRPr="003C6DBD">
        <w:rPr>
          <w:color w:val="0D0D0D" w:themeColor="text1" w:themeTint="F2"/>
        </w:rPr>
        <w:t>Dahal</w:t>
      </w:r>
      <w:proofErr w:type="spellEnd"/>
      <w:r w:rsidR="004835C4" w:rsidRPr="003C6DBD">
        <w:rPr>
          <w:color w:val="0D0D0D" w:themeColor="text1" w:themeTint="F2"/>
        </w:rPr>
        <w:t xml:space="preserve">, L.N. Ojha, </w:t>
      </w:r>
      <w:r w:rsidRPr="003C6DBD">
        <w:rPr>
          <w:color w:val="0D0D0D" w:themeColor="text1" w:themeTint="F2"/>
        </w:rPr>
        <w:t xml:space="preserve">Seth Ingram, Brad </w:t>
      </w:r>
      <w:proofErr w:type="spellStart"/>
      <w:r w:rsidRPr="003C6DBD">
        <w:rPr>
          <w:color w:val="0D0D0D" w:themeColor="text1" w:themeTint="F2"/>
        </w:rPr>
        <w:t>Antone</w:t>
      </w:r>
      <w:proofErr w:type="spellEnd"/>
      <w:r w:rsidRPr="003C6DBD">
        <w:rPr>
          <w:color w:val="0D0D0D" w:themeColor="text1" w:themeTint="F2"/>
        </w:rPr>
        <w:t xml:space="preserve">, </w:t>
      </w:r>
      <w:r w:rsidR="004835C4" w:rsidRPr="003C6DBD">
        <w:rPr>
          <w:color w:val="0D0D0D" w:themeColor="text1" w:themeTint="F2"/>
        </w:rPr>
        <w:t xml:space="preserve">Kumar </w:t>
      </w:r>
      <w:proofErr w:type="spellStart"/>
      <w:r w:rsidR="004835C4" w:rsidRPr="003C6DBD">
        <w:rPr>
          <w:color w:val="0D0D0D" w:themeColor="text1" w:themeTint="F2"/>
        </w:rPr>
        <w:t>Bolakhe</w:t>
      </w:r>
      <w:proofErr w:type="spellEnd"/>
      <w:r w:rsidR="004835C4" w:rsidRPr="003C6DBD">
        <w:rPr>
          <w:color w:val="0D0D0D" w:themeColor="text1" w:themeTint="F2"/>
        </w:rPr>
        <w:t xml:space="preserve">, Binayak Kunwar, Suman </w:t>
      </w:r>
      <w:proofErr w:type="spellStart"/>
      <w:r w:rsidR="004835C4" w:rsidRPr="003C6DBD">
        <w:rPr>
          <w:color w:val="0D0D0D" w:themeColor="text1" w:themeTint="F2"/>
        </w:rPr>
        <w:t>Kshetri</w:t>
      </w:r>
      <w:proofErr w:type="spellEnd"/>
      <w:r w:rsidR="004835C4" w:rsidRPr="003C6DBD">
        <w:rPr>
          <w:color w:val="0D0D0D" w:themeColor="text1" w:themeTint="F2"/>
        </w:rPr>
        <w:t xml:space="preserve">, </w:t>
      </w:r>
      <w:proofErr w:type="spellStart"/>
      <w:r w:rsidRPr="003C6DBD">
        <w:rPr>
          <w:color w:val="0D0D0D" w:themeColor="text1" w:themeTint="F2"/>
        </w:rPr>
        <w:t>Tongtong</w:t>
      </w:r>
      <w:proofErr w:type="spellEnd"/>
      <w:r w:rsidRPr="003C6DBD">
        <w:rPr>
          <w:color w:val="0D0D0D" w:themeColor="text1" w:themeTint="F2"/>
        </w:rPr>
        <w:t xml:space="preserve"> Li, Bowen Jiang, </w:t>
      </w:r>
      <w:proofErr w:type="spellStart"/>
      <w:r w:rsidRPr="003C6DBD">
        <w:rPr>
          <w:color w:val="0D0D0D" w:themeColor="text1" w:themeTint="F2"/>
        </w:rPr>
        <w:t>Lun</w:t>
      </w:r>
      <w:proofErr w:type="spellEnd"/>
      <w:r w:rsidRPr="003C6DBD">
        <w:rPr>
          <w:color w:val="0D0D0D" w:themeColor="text1" w:themeTint="F2"/>
        </w:rPr>
        <w:t xml:space="preserve"> Luo, Billie Ray, </w:t>
      </w:r>
      <w:r w:rsidR="00763B5E" w:rsidRPr="003C6DBD">
        <w:rPr>
          <w:color w:val="0D0D0D" w:themeColor="text1" w:themeTint="F2"/>
        </w:rPr>
        <w:t xml:space="preserve">and </w:t>
      </w:r>
      <w:r w:rsidRPr="003C6DBD">
        <w:rPr>
          <w:color w:val="0D0D0D" w:themeColor="text1" w:themeTint="F2"/>
        </w:rPr>
        <w:t xml:space="preserve">Sam </w:t>
      </w:r>
      <w:proofErr w:type="spellStart"/>
      <w:r w:rsidRPr="003C6DBD">
        <w:rPr>
          <w:color w:val="0D0D0D" w:themeColor="text1" w:themeTint="F2"/>
        </w:rPr>
        <w:t>Gerloff</w:t>
      </w:r>
      <w:proofErr w:type="spellEnd"/>
      <w:r w:rsidRPr="003C6DBD">
        <w:rPr>
          <w:color w:val="0D0D0D" w:themeColor="text1" w:themeTint="F2"/>
        </w:rPr>
        <w:t xml:space="preserve">. </w:t>
      </w:r>
    </w:p>
    <w:p w14:paraId="4BDA0874" w14:textId="77777777" w:rsidR="00C267F3" w:rsidRPr="003C6DBD" w:rsidRDefault="00C267F3" w:rsidP="00C267F3">
      <w:pPr>
        <w:pStyle w:val="Default"/>
        <w:rPr>
          <w:color w:val="0D0D0D" w:themeColor="text1" w:themeTint="F2"/>
        </w:rPr>
      </w:pPr>
    </w:p>
    <w:p w14:paraId="26B1258E" w14:textId="74FA9019" w:rsidR="00440B42" w:rsidRPr="003C6DBD" w:rsidRDefault="00440B42" w:rsidP="00440B42">
      <w:pPr>
        <w:rPr>
          <w:rFonts w:ascii="Times New Roman" w:hAnsi="Times New Roman" w:cs="Times New Roman"/>
          <w:color w:val="0D0D0D" w:themeColor="text1" w:themeTint="F2"/>
          <w:sz w:val="24"/>
          <w:szCs w:val="24"/>
        </w:rPr>
      </w:pPr>
    </w:p>
    <w:p w14:paraId="4B771547" w14:textId="32782AEC" w:rsidR="00440B42" w:rsidRPr="003C6DBD" w:rsidRDefault="00440B42" w:rsidP="00440B42">
      <w:pPr>
        <w:rPr>
          <w:rFonts w:ascii="Times New Roman" w:hAnsi="Times New Roman" w:cs="Times New Roman"/>
          <w:color w:val="0D0D0D" w:themeColor="text1" w:themeTint="F2"/>
          <w:sz w:val="24"/>
          <w:szCs w:val="24"/>
        </w:rPr>
      </w:pPr>
    </w:p>
    <w:p w14:paraId="47136950" w14:textId="4EBC0A23" w:rsidR="00440B42" w:rsidRPr="003C6DBD" w:rsidRDefault="00440B42" w:rsidP="00440B42">
      <w:pPr>
        <w:rPr>
          <w:rFonts w:ascii="Times New Roman" w:hAnsi="Times New Roman" w:cs="Times New Roman"/>
          <w:color w:val="0D0D0D" w:themeColor="text1" w:themeTint="F2"/>
          <w:sz w:val="24"/>
          <w:szCs w:val="24"/>
        </w:rPr>
      </w:pPr>
    </w:p>
    <w:p w14:paraId="1EDDC605" w14:textId="3D027779" w:rsidR="00440B42" w:rsidRPr="003C6DBD" w:rsidRDefault="00440B42" w:rsidP="00440B42">
      <w:pPr>
        <w:rPr>
          <w:rFonts w:ascii="Times New Roman" w:hAnsi="Times New Roman" w:cs="Times New Roman"/>
          <w:color w:val="0D0D0D" w:themeColor="text1" w:themeTint="F2"/>
          <w:sz w:val="24"/>
          <w:szCs w:val="24"/>
        </w:rPr>
      </w:pPr>
    </w:p>
    <w:p w14:paraId="22AE25A4" w14:textId="0DE6BF66" w:rsidR="00440B42" w:rsidRPr="003C6DBD" w:rsidRDefault="00440B42" w:rsidP="00440B42">
      <w:pPr>
        <w:rPr>
          <w:rFonts w:ascii="Times New Roman" w:hAnsi="Times New Roman" w:cs="Times New Roman"/>
          <w:color w:val="0D0D0D" w:themeColor="text1" w:themeTint="F2"/>
          <w:sz w:val="24"/>
          <w:szCs w:val="24"/>
        </w:rPr>
      </w:pPr>
    </w:p>
    <w:p w14:paraId="68497615" w14:textId="6543EF26" w:rsidR="00440B42" w:rsidRPr="003C6DBD" w:rsidRDefault="00440B42" w:rsidP="00440B42">
      <w:pPr>
        <w:rPr>
          <w:rFonts w:ascii="Times New Roman" w:hAnsi="Times New Roman" w:cs="Times New Roman"/>
          <w:color w:val="0D0D0D" w:themeColor="text1" w:themeTint="F2"/>
          <w:sz w:val="24"/>
          <w:szCs w:val="24"/>
        </w:rPr>
      </w:pPr>
    </w:p>
    <w:p w14:paraId="7A3A77BE" w14:textId="3010A64A" w:rsidR="00440B42" w:rsidRPr="003C6DBD" w:rsidRDefault="00440B42" w:rsidP="00440B42">
      <w:pPr>
        <w:rPr>
          <w:rFonts w:ascii="Times New Roman" w:hAnsi="Times New Roman" w:cs="Times New Roman"/>
          <w:color w:val="0D0D0D" w:themeColor="text1" w:themeTint="F2"/>
          <w:sz w:val="24"/>
          <w:szCs w:val="24"/>
        </w:rPr>
      </w:pPr>
    </w:p>
    <w:p w14:paraId="09C83EE0" w14:textId="69571341" w:rsidR="00440B42" w:rsidRPr="003C6DBD" w:rsidRDefault="00440B42" w:rsidP="00440B42">
      <w:pPr>
        <w:rPr>
          <w:rFonts w:ascii="Times New Roman" w:hAnsi="Times New Roman" w:cs="Times New Roman"/>
          <w:color w:val="0D0D0D" w:themeColor="text1" w:themeTint="F2"/>
          <w:sz w:val="24"/>
          <w:szCs w:val="24"/>
        </w:rPr>
      </w:pPr>
    </w:p>
    <w:p w14:paraId="4C8A93A8" w14:textId="7B4F7536" w:rsidR="00C653FE" w:rsidRPr="003C6DBD" w:rsidRDefault="00C653FE" w:rsidP="00440B42">
      <w:pPr>
        <w:rPr>
          <w:rFonts w:ascii="Times New Roman" w:hAnsi="Times New Roman" w:cs="Times New Roman"/>
          <w:color w:val="0D0D0D" w:themeColor="text1" w:themeTint="F2"/>
          <w:sz w:val="24"/>
          <w:szCs w:val="24"/>
        </w:rPr>
      </w:pPr>
    </w:p>
    <w:p w14:paraId="32508903" w14:textId="56A4FD3F" w:rsidR="00C653FE" w:rsidRPr="003C6DBD" w:rsidRDefault="00C653FE" w:rsidP="00440B42">
      <w:pPr>
        <w:rPr>
          <w:rFonts w:ascii="Times New Roman" w:hAnsi="Times New Roman" w:cs="Times New Roman"/>
          <w:color w:val="0D0D0D" w:themeColor="text1" w:themeTint="F2"/>
          <w:sz w:val="24"/>
          <w:szCs w:val="24"/>
        </w:rPr>
      </w:pPr>
    </w:p>
    <w:p w14:paraId="12944CD4" w14:textId="5E542CEB" w:rsidR="00C653FE" w:rsidRPr="003C6DBD" w:rsidRDefault="00C653FE" w:rsidP="00440B42">
      <w:pPr>
        <w:rPr>
          <w:rFonts w:ascii="Times New Roman" w:hAnsi="Times New Roman" w:cs="Times New Roman"/>
          <w:color w:val="0D0D0D" w:themeColor="text1" w:themeTint="F2"/>
          <w:sz w:val="24"/>
          <w:szCs w:val="24"/>
        </w:rPr>
      </w:pPr>
    </w:p>
    <w:p w14:paraId="5E4C0D49" w14:textId="26A68229" w:rsidR="00C653FE" w:rsidRPr="003C6DBD" w:rsidRDefault="00C653FE" w:rsidP="00440B42">
      <w:pPr>
        <w:rPr>
          <w:rFonts w:ascii="Times New Roman" w:hAnsi="Times New Roman" w:cs="Times New Roman"/>
          <w:color w:val="0D0D0D" w:themeColor="text1" w:themeTint="F2"/>
          <w:sz w:val="24"/>
          <w:szCs w:val="24"/>
        </w:rPr>
      </w:pPr>
    </w:p>
    <w:p w14:paraId="5CDC3429" w14:textId="06C9FDDD" w:rsidR="00C653FE" w:rsidRPr="003C6DBD" w:rsidRDefault="00C653FE" w:rsidP="00440B42">
      <w:pPr>
        <w:rPr>
          <w:rFonts w:ascii="Times New Roman" w:hAnsi="Times New Roman" w:cs="Times New Roman"/>
          <w:color w:val="0D0D0D" w:themeColor="text1" w:themeTint="F2"/>
          <w:sz w:val="24"/>
          <w:szCs w:val="24"/>
        </w:rPr>
      </w:pPr>
    </w:p>
    <w:p w14:paraId="0E1CA928" w14:textId="7C921AE6" w:rsidR="00C653FE" w:rsidRPr="003C6DBD" w:rsidRDefault="00C653FE" w:rsidP="00440B42">
      <w:pPr>
        <w:rPr>
          <w:rFonts w:ascii="Times New Roman" w:hAnsi="Times New Roman" w:cs="Times New Roman"/>
          <w:color w:val="0D0D0D" w:themeColor="text1" w:themeTint="F2"/>
          <w:sz w:val="24"/>
          <w:szCs w:val="24"/>
        </w:rPr>
      </w:pPr>
    </w:p>
    <w:p w14:paraId="0C1EF2AD" w14:textId="1A5099E9" w:rsidR="00C653FE" w:rsidRPr="003C6DBD" w:rsidRDefault="00C653FE" w:rsidP="00440B42">
      <w:pPr>
        <w:rPr>
          <w:rFonts w:ascii="Times New Roman" w:hAnsi="Times New Roman" w:cs="Times New Roman"/>
          <w:color w:val="0D0D0D" w:themeColor="text1" w:themeTint="F2"/>
          <w:sz w:val="24"/>
          <w:szCs w:val="24"/>
        </w:rPr>
      </w:pPr>
    </w:p>
    <w:p w14:paraId="212D48ED" w14:textId="6153784C" w:rsidR="00C653FE" w:rsidRPr="003C6DBD" w:rsidRDefault="00C653FE" w:rsidP="00440B42">
      <w:pPr>
        <w:rPr>
          <w:rFonts w:ascii="Times New Roman" w:hAnsi="Times New Roman" w:cs="Times New Roman"/>
          <w:color w:val="0D0D0D" w:themeColor="text1" w:themeTint="F2"/>
          <w:sz w:val="24"/>
          <w:szCs w:val="24"/>
        </w:rPr>
      </w:pPr>
    </w:p>
    <w:p w14:paraId="5A3AF165" w14:textId="224B9E36" w:rsidR="00C653FE" w:rsidRPr="003C6DBD" w:rsidRDefault="00C653FE" w:rsidP="00440B42">
      <w:pPr>
        <w:rPr>
          <w:rFonts w:ascii="Times New Roman" w:hAnsi="Times New Roman" w:cs="Times New Roman"/>
          <w:color w:val="0D0D0D" w:themeColor="text1" w:themeTint="F2"/>
          <w:sz w:val="24"/>
          <w:szCs w:val="24"/>
        </w:rPr>
      </w:pPr>
    </w:p>
    <w:p w14:paraId="4A015462" w14:textId="300F1A7B" w:rsidR="00C653FE" w:rsidRPr="003C6DBD" w:rsidRDefault="00C653FE" w:rsidP="00440B42">
      <w:pPr>
        <w:rPr>
          <w:rFonts w:ascii="Times New Roman" w:hAnsi="Times New Roman" w:cs="Times New Roman"/>
          <w:color w:val="0D0D0D" w:themeColor="text1" w:themeTint="F2"/>
          <w:sz w:val="24"/>
          <w:szCs w:val="24"/>
        </w:rPr>
      </w:pPr>
    </w:p>
    <w:p w14:paraId="4E77A338" w14:textId="5EBD8092" w:rsidR="00C653FE" w:rsidRPr="003C6DBD" w:rsidRDefault="00C653FE" w:rsidP="00440B42">
      <w:pPr>
        <w:rPr>
          <w:rFonts w:ascii="Times New Roman" w:hAnsi="Times New Roman" w:cs="Times New Roman"/>
          <w:color w:val="0D0D0D" w:themeColor="text1" w:themeTint="F2"/>
          <w:sz w:val="24"/>
          <w:szCs w:val="24"/>
        </w:rPr>
      </w:pPr>
    </w:p>
    <w:p w14:paraId="26FA4A17" w14:textId="6AF92128" w:rsidR="00C653FE" w:rsidRPr="003C6DBD" w:rsidRDefault="00C653FE" w:rsidP="00440B42">
      <w:pPr>
        <w:rPr>
          <w:rFonts w:ascii="Times New Roman" w:hAnsi="Times New Roman" w:cs="Times New Roman"/>
          <w:color w:val="0D0D0D" w:themeColor="text1" w:themeTint="F2"/>
          <w:sz w:val="24"/>
          <w:szCs w:val="24"/>
        </w:rPr>
      </w:pPr>
    </w:p>
    <w:p w14:paraId="6A4A8586" w14:textId="77777777" w:rsidR="00C55EAB" w:rsidRPr="003C6DBD" w:rsidRDefault="00C55EAB" w:rsidP="00440B42">
      <w:pPr>
        <w:rPr>
          <w:rFonts w:ascii="Times New Roman" w:hAnsi="Times New Roman" w:cs="Times New Roman"/>
          <w:color w:val="0D0D0D" w:themeColor="text1" w:themeTint="F2"/>
          <w:sz w:val="24"/>
          <w:szCs w:val="24"/>
        </w:rPr>
      </w:pPr>
    </w:p>
    <w:p w14:paraId="38788C5A" w14:textId="77777777" w:rsidR="00933024" w:rsidRPr="003C6DBD" w:rsidRDefault="00933024" w:rsidP="00440B42">
      <w:pPr>
        <w:rPr>
          <w:rFonts w:ascii="Times New Roman" w:hAnsi="Times New Roman" w:cs="Times New Roman"/>
          <w:color w:val="0D0D0D" w:themeColor="text1" w:themeTint="F2"/>
          <w:sz w:val="24"/>
          <w:szCs w:val="24"/>
        </w:rPr>
      </w:pPr>
    </w:p>
    <w:p w14:paraId="76B8AC52" w14:textId="7E54025C" w:rsidR="00803267" w:rsidRPr="003C6DBD" w:rsidRDefault="00803267" w:rsidP="00147136">
      <w:pPr>
        <w:pStyle w:val="Default"/>
        <w:spacing w:line="480" w:lineRule="auto"/>
        <w:jc w:val="center"/>
        <w:rPr>
          <w:color w:val="0D0D0D" w:themeColor="text1" w:themeTint="F2"/>
        </w:rPr>
      </w:pPr>
      <w:r w:rsidRPr="003C6DBD">
        <w:rPr>
          <w:b/>
          <w:bCs/>
          <w:color w:val="0D0D0D" w:themeColor="text1" w:themeTint="F2"/>
        </w:rPr>
        <w:lastRenderedPageBreak/>
        <w:t>Acknowledgements</w:t>
      </w:r>
    </w:p>
    <w:p w14:paraId="407204D2" w14:textId="0F8D8BCA" w:rsidR="00E5751F" w:rsidRPr="003C6DBD" w:rsidRDefault="00E5751F" w:rsidP="00803267">
      <w:pPr>
        <w:pStyle w:val="Default"/>
        <w:spacing w:line="480" w:lineRule="auto"/>
        <w:rPr>
          <w:color w:val="0D0D0D" w:themeColor="text1" w:themeTint="F2"/>
        </w:rPr>
      </w:pPr>
      <w:r w:rsidRPr="003C6DBD">
        <w:rPr>
          <w:color w:val="0D0D0D" w:themeColor="text1" w:themeTint="F2"/>
        </w:rPr>
        <w:tab/>
        <w:t xml:space="preserve">I would like to thank my advisor, Dr. Carlos </w:t>
      </w:r>
      <w:r w:rsidR="00954051" w:rsidRPr="003C6DBD">
        <w:rPr>
          <w:color w:val="0D0D0D" w:themeColor="text1" w:themeTint="F2"/>
        </w:rPr>
        <w:t xml:space="preserve">Omar </w:t>
      </w:r>
      <w:r w:rsidRPr="003C6DBD">
        <w:rPr>
          <w:color w:val="0D0D0D" w:themeColor="text1" w:themeTint="F2"/>
        </w:rPr>
        <w:t>Trejo-</w:t>
      </w:r>
      <w:proofErr w:type="spellStart"/>
      <w:r w:rsidRPr="003C6DBD">
        <w:rPr>
          <w:color w:val="0D0D0D" w:themeColor="text1" w:themeTint="F2"/>
        </w:rPr>
        <w:t>Pech</w:t>
      </w:r>
      <w:proofErr w:type="spellEnd"/>
      <w:r w:rsidR="00587EC7" w:rsidRPr="003C6DBD">
        <w:rPr>
          <w:color w:val="0D0D0D" w:themeColor="text1" w:themeTint="F2"/>
        </w:rPr>
        <w:t>,</w:t>
      </w:r>
      <w:r w:rsidRPr="003C6DBD">
        <w:rPr>
          <w:color w:val="0D0D0D" w:themeColor="text1" w:themeTint="F2"/>
        </w:rPr>
        <w:t xml:space="preserve"> </w:t>
      </w:r>
      <w:r w:rsidR="00DE1020" w:rsidRPr="003C6DBD">
        <w:rPr>
          <w:color w:val="0D0D0D" w:themeColor="text1" w:themeTint="F2"/>
          <w:lang w:val="en-GB"/>
        </w:rPr>
        <w:t xml:space="preserve">for his constructive guidance, persistence, flexibility, and mentorship during </w:t>
      </w:r>
      <w:r w:rsidRPr="003C6DBD">
        <w:rPr>
          <w:color w:val="0D0D0D" w:themeColor="text1" w:themeTint="F2"/>
        </w:rPr>
        <w:t xml:space="preserve">my master’s </w:t>
      </w:r>
      <w:r w:rsidR="002543E9" w:rsidRPr="003C6DBD">
        <w:rPr>
          <w:color w:val="0D0D0D" w:themeColor="text1" w:themeTint="F2"/>
        </w:rPr>
        <w:t xml:space="preserve">studies. I would also like to thank him for his collaboration and expert advice on my </w:t>
      </w:r>
      <w:r w:rsidR="00DE1020" w:rsidRPr="003C6DBD">
        <w:rPr>
          <w:color w:val="0D0D0D" w:themeColor="text1" w:themeTint="F2"/>
        </w:rPr>
        <w:t xml:space="preserve">thesis </w:t>
      </w:r>
      <w:r w:rsidR="002543E9" w:rsidRPr="003C6DBD">
        <w:rPr>
          <w:color w:val="0D0D0D" w:themeColor="text1" w:themeTint="F2"/>
        </w:rPr>
        <w:t xml:space="preserve">research. </w:t>
      </w:r>
      <w:r w:rsidR="00143878" w:rsidRPr="003C6DBD">
        <w:rPr>
          <w:color w:val="0D0D0D" w:themeColor="text1" w:themeTint="F2"/>
        </w:rPr>
        <w:t>Additionally, I would like to thank my committee members, Dr. James A</w:t>
      </w:r>
      <w:r w:rsidR="00B56038" w:rsidRPr="003C6DBD">
        <w:rPr>
          <w:color w:val="0D0D0D" w:themeColor="text1" w:themeTint="F2"/>
        </w:rPr>
        <w:t>.</w:t>
      </w:r>
      <w:r w:rsidR="00143878" w:rsidRPr="003C6DBD">
        <w:rPr>
          <w:color w:val="0D0D0D" w:themeColor="text1" w:themeTint="F2"/>
        </w:rPr>
        <w:t xml:space="preserve"> Larson, and Dr. T. Edward Yu</w:t>
      </w:r>
      <w:r w:rsidR="009C5BA4" w:rsidRPr="003C6DBD">
        <w:rPr>
          <w:color w:val="0D0D0D" w:themeColor="text1" w:themeTint="F2"/>
        </w:rPr>
        <w:t xml:space="preserve"> for their </w:t>
      </w:r>
      <w:r w:rsidR="00DF58DE" w:rsidRPr="003C6DBD">
        <w:rPr>
          <w:color w:val="0D0D0D" w:themeColor="text1" w:themeTint="F2"/>
        </w:rPr>
        <w:t xml:space="preserve">feedback </w:t>
      </w:r>
      <w:r w:rsidR="009C5BA4" w:rsidRPr="003C6DBD">
        <w:rPr>
          <w:color w:val="0D0D0D" w:themeColor="text1" w:themeTint="F2"/>
        </w:rPr>
        <w:t xml:space="preserve">and suggestions for the thesis research. </w:t>
      </w:r>
      <w:r w:rsidR="00C928CB" w:rsidRPr="003C6DBD">
        <w:rPr>
          <w:color w:val="0D0D0D" w:themeColor="text1" w:themeTint="F2"/>
        </w:rPr>
        <w:t xml:space="preserve">I would also like to thank all the </w:t>
      </w:r>
      <w:r w:rsidR="004A05A4" w:rsidRPr="003C6DBD">
        <w:rPr>
          <w:color w:val="0D0D0D" w:themeColor="text1" w:themeTint="F2"/>
        </w:rPr>
        <w:t xml:space="preserve">faculty and </w:t>
      </w:r>
      <w:r w:rsidR="00DF58DE" w:rsidRPr="003C6DBD">
        <w:rPr>
          <w:color w:val="0D0D0D" w:themeColor="text1" w:themeTint="F2"/>
        </w:rPr>
        <w:t xml:space="preserve">staff </w:t>
      </w:r>
      <w:r w:rsidR="00C928CB" w:rsidRPr="003C6DBD">
        <w:rPr>
          <w:color w:val="0D0D0D" w:themeColor="text1" w:themeTint="F2"/>
        </w:rPr>
        <w:t xml:space="preserve">of </w:t>
      </w:r>
      <w:r w:rsidR="00DF58DE" w:rsidRPr="003C6DBD">
        <w:rPr>
          <w:color w:val="0D0D0D" w:themeColor="text1" w:themeTint="F2"/>
        </w:rPr>
        <w:t xml:space="preserve">the </w:t>
      </w:r>
      <w:r w:rsidR="00C928CB" w:rsidRPr="003C6DBD">
        <w:rPr>
          <w:color w:val="0D0D0D" w:themeColor="text1" w:themeTint="F2"/>
        </w:rPr>
        <w:t xml:space="preserve">Department of Agricultural and Resource Economics, University of Tennessee-Knoxville for their support. </w:t>
      </w:r>
    </w:p>
    <w:p w14:paraId="27D20E86" w14:textId="597A031E" w:rsidR="00656E44" w:rsidRPr="003C6DBD" w:rsidRDefault="00656E44" w:rsidP="00656E44">
      <w:pPr>
        <w:pStyle w:val="Default"/>
        <w:spacing w:line="480" w:lineRule="auto"/>
        <w:ind w:firstLine="720"/>
        <w:rPr>
          <w:color w:val="0D0D0D" w:themeColor="text1" w:themeTint="F2"/>
        </w:rPr>
      </w:pPr>
      <w:r w:rsidRPr="003C6DBD">
        <w:rPr>
          <w:color w:val="0D0D0D" w:themeColor="text1" w:themeTint="F2"/>
        </w:rPr>
        <w:t xml:space="preserve">This research was possible with partial funding from the US Federal Aviation Administration (FAA) Office of Environment and Energy as a part of ASCENT Project 1 under FAA Award Number: 13-C-AJFEUTENN-Amd 17. Any opinions, findings, and conclusions or recommendations expressed in this material are those of the authors and do not necessarily reflect the views of the FAA or other ASCENT sponsor organizations. </w:t>
      </w:r>
      <w:r w:rsidR="00763B5E" w:rsidRPr="003C6DBD">
        <w:rPr>
          <w:color w:val="0D0D0D" w:themeColor="text1" w:themeTint="F2"/>
        </w:rPr>
        <w:t xml:space="preserve">I would like to thank </w:t>
      </w:r>
      <w:r w:rsidR="00DF58DE" w:rsidRPr="003C6DBD">
        <w:rPr>
          <w:color w:val="0D0D0D" w:themeColor="text1" w:themeTint="F2"/>
        </w:rPr>
        <w:t xml:space="preserve">the </w:t>
      </w:r>
      <w:r w:rsidR="00763B5E" w:rsidRPr="003C6DBD">
        <w:rPr>
          <w:color w:val="0D0D0D" w:themeColor="text1" w:themeTint="F2"/>
        </w:rPr>
        <w:t xml:space="preserve">funding organization for their financial support during my master’s studies.  </w:t>
      </w:r>
    </w:p>
    <w:p w14:paraId="00C49C8C" w14:textId="006FCBF7" w:rsidR="009C5BA4" w:rsidRPr="003C6DBD" w:rsidRDefault="00155570" w:rsidP="00803267">
      <w:pPr>
        <w:pStyle w:val="Default"/>
        <w:spacing w:line="480" w:lineRule="auto"/>
        <w:rPr>
          <w:color w:val="0D0D0D" w:themeColor="text1" w:themeTint="F2"/>
        </w:rPr>
      </w:pPr>
      <w:r w:rsidRPr="003C6DBD">
        <w:rPr>
          <w:color w:val="0D0D0D" w:themeColor="text1" w:themeTint="F2"/>
        </w:rPr>
        <w:tab/>
        <w:t xml:space="preserve">Moreover, I would like to thank all my professors from Agriculture and Forestry University, Nepal. The knowledge provided by them helped me build a strong background that helped me perform well during my master’s at the University of Tennessee, Knoxville. </w:t>
      </w:r>
    </w:p>
    <w:p w14:paraId="0B3B1E2C" w14:textId="2DEB66D1" w:rsidR="00803267" w:rsidRPr="003C6DBD" w:rsidRDefault="009C5BA4" w:rsidP="00C928CB">
      <w:pPr>
        <w:pStyle w:val="Default"/>
        <w:spacing w:line="480" w:lineRule="auto"/>
        <w:ind w:firstLine="720"/>
        <w:rPr>
          <w:color w:val="0D0D0D" w:themeColor="text1" w:themeTint="F2"/>
        </w:rPr>
      </w:pPr>
      <w:r w:rsidRPr="003C6DBD">
        <w:rPr>
          <w:color w:val="0D0D0D" w:themeColor="text1" w:themeTint="F2"/>
        </w:rPr>
        <w:t xml:space="preserve">Finally, I would like to thank my fellow classmates in the program for their support during my master’s studies. </w:t>
      </w:r>
    </w:p>
    <w:p w14:paraId="27A803F9" w14:textId="73AD1C6E" w:rsidR="00803267" w:rsidRPr="003C6DBD" w:rsidRDefault="00803267" w:rsidP="00803267">
      <w:pPr>
        <w:rPr>
          <w:rFonts w:ascii="Times New Roman" w:hAnsi="Times New Roman" w:cs="Times New Roman"/>
          <w:color w:val="0D0D0D" w:themeColor="text1" w:themeTint="F2"/>
          <w:sz w:val="24"/>
          <w:szCs w:val="24"/>
        </w:rPr>
      </w:pPr>
    </w:p>
    <w:p w14:paraId="532891E9" w14:textId="10C454C7" w:rsidR="00803267" w:rsidRPr="003C6DBD" w:rsidRDefault="00803267" w:rsidP="00803267">
      <w:pPr>
        <w:rPr>
          <w:rFonts w:ascii="Times New Roman" w:hAnsi="Times New Roman" w:cs="Times New Roman"/>
          <w:color w:val="0D0D0D" w:themeColor="text1" w:themeTint="F2"/>
          <w:sz w:val="24"/>
          <w:szCs w:val="24"/>
        </w:rPr>
      </w:pPr>
    </w:p>
    <w:p w14:paraId="56F51C20" w14:textId="47F14942" w:rsidR="000E48AF" w:rsidRPr="003C6DBD" w:rsidRDefault="000E48AF" w:rsidP="00803267">
      <w:pPr>
        <w:rPr>
          <w:rFonts w:ascii="Times New Roman" w:hAnsi="Times New Roman" w:cs="Times New Roman"/>
          <w:color w:val="0D0D0D" w:themeColor="text1" w:themeTint="F2"/>
          <w:sz w:val="24"/>
          <w:szCs w:val="24"/>
        </w:rPr>
      </w:pPr>
    </w:p>
    <w:p w14:paraId="0E94522E" w14:textId="77777777" w:rsidR="00C55EAB" w:rsidRPr="003C6DBD" w:rsidRDefault="00C55EAB" w:rsidP="00803267">
      <w:pPr>
        <w:rPr>
          <w:rFonts w:ascii="Times New Roman" w:hAnsi="Times New Roman" w:cs="Times New Roman"/>
          <w:color w:val="0D0D0D" w:themeColor="text1" w:themeTint="F2"/>
          <w:sz w:val="24"/>
          <w:szCs w:val="24"/>
        </w:rPr>
      </w:pPr>
    </w:p>
    <w:p w14:paraId="205DA8F0" w14:textId="4426B476" w:rsidR="000E48AF" w:rsidRPr="003C6DBD" w:rsidRDefault="000E48AF" w:rsidP="00803267">
      <w:pPr>
        <w:rPr>
          <w:rFonts w:ascii="Times New Roman" w:hAnsi="Times New Roman" w:cs="Times New Roman"/>
          <w:color w:val="0D0D0D" w:themeColor="text1" w:themeTint="F2"/>
          <w:sz w:val="24"/>
          <w:szCs w:val="24"/>
        </w:rPr>
      </w:pPr>
    </w:p>
    <w:p w14:paraId="5F8E43BA" w14:textId="77777777" w:rsidR="000E48AF" w:rsidRPr="003C6DBD" w:rsidRDefault="000E48AF" w:rsidP="000E48AF">
      <w:pPr>
        <w:jc w:val="center"/>
        <w:rPr>
          <w:rFonts w:ascii="Times New Roman" w:hAnsi="Times New Roman" w:cs="Times New Roman"/>
          <w:color w:val="0D0D0D" w:themeColor="text1" w:themeTint="F2"/>
          <w:sz w:val="24"/>
          <w:szCs w:val="24"/>
        </w:rPr>
      </w:pPr>
      <w:r w:rsidRPr="003C6DBD">
        <w:rPr>
          <w:rFonts w:ascii="Times New Roman" w:hAnsi="Times New Roman" w:cs="Times New Roman"/>
          <w:b/>
          <w:bCs/>
          <w:color w:val="0D0D0D" w:themeColor="text1" w:themeTint="F2"/>
          <w:sz w:val="24"/>
          <w:szCs w:val="24"/>
        </w:rPr>
        <w:lastRenderedPageBreak/>
        <w:t>Abstract</w:t>
      </w:r>
    </w:p>
    <w:p w14:paraId="01116F05" w14:textId="21C0AE84" w:rsidR="0087466A" w:rsidRPr="003C6DBD" w:rsidRDefault="0087466A" w:rsidP="0087466A">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This study analyzed the risk and financial performance of 22 publicly traded biofuel companies from 2018 to 2021. The analysis found that management, financing, biofuel policies, biofuel and feedstock markets, contracting, and general economic conditions were the most prevalent and significant risk factors for these companies. Primary biofuel (PB) companies, which had a higher percentage of biofuel revenues, were found to be more vulnerable to risks related to biofuels, while secondary biofuel (SB) companies were more susceptible to general business risks. Collaborative efforts among stakeholders could help mitigate these risks and support the growth of the biofuel industry.</w:t>
      </w:r>
    </w:p>
    <w:p w14:paraId="14DCC5FF" w14:textId="3F241639" w:rsidR="0087466A" w:rsidRPr="003C6DBD" w:rsidRDefault="0087466A" w:rsidP="0087466A">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The study also compared the financial performance of PB companies to those with smaller biofuel revenues (SB) using financial ratios, trend analysis, and analysis of stock returns. PB companies outperformed SB companies in profitability, liquidity, and efficiency ratios, with most ratios being highly volatile. There was an unexpected increase in profitability ratios for PB companies during 2020-2021, followed by a significant decline. PB companies had negative weighted average stock returns in the first two years of the study period but experienced a sharp reversal during the period of 2020 to 2021, likely due to the COVID-19 pandemic.</w:t>
      </w:r>
    </w:p>
    <w:p w14:paraId="760B9480" w14:textId="74A47D6F" w:rsidR="0087466A" w:rsidRPr="003C6DBD" w:rsidRDefault="0087466A" w:rsidP="0087466A">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However, the study acknowledged potential sample selection bias since only publicly traded biofuel companies were included in the sample, which may not accurately reflect the performance of the entire biofuel industry. Future research could address this limitation by incorporating privately held biofuel firms into the sample.</w:t>
      </w:r>
    </w:p>
    <w:p w14:paraId="0A4B5217" w14:textId="3932B599" w:rsidR="00791AA6" w:rsidRPr="003C6DBD" w:rsidRDefault="000E48AF" w:rsidP="00A14175">
      <w:pPr>
        <w:spacing w:line="480" w:lineRule="auto"/>
        <w:rPr>
          <w:rFonts w:ascii="Times New Roman" w:hAnsi="Times New Roman" w:cs="Times New Roman"/>
          <w:b/>
          <w:bCs/>
          <w:color w:val="0D0D0D" w:themeColor="text1" w:themeTint="F2"/>
          <w:sz w:val="24"/>
          <w:szCs w:val="24"/>
        </w:rPr>
      </w:pPr>
      <w:r w:rsidRPr="003C6DBD">
        <w:rPr>
          <w:rFonts w:ascii="Times New Roman" w:hAnsi="Times New Roman" w:cs="Times New Roman"/>
          <w:b/>
          <w:bCs/>
          <w:color w:val="0D0D0D" w:themeColor="text1" w:themeTint="F2"/>
          <w:sz w:val="24"/>
          <w:szCs w:val="24"/>
        </w:rPr>
        <w:t>Keywords: biofuel companies, risks analysis, prevalent and significant risk</w:t>
      </w:r>
      <w:r w:rsidR="008A249E" w:rsidRPr="003C6DBD">
        <w:rPr>
          <w:rFonts w:ascii="Times New Roman" w:hAnsi="Times New Roman" w:cs="Times New Roman"/>
          <w:b/>
          <w:bCs/>
          <w:color w:val="0D0D0D" w:themeColor="text1" w:themeTint="F2"/>
          <w:sz w:val="24"/>
          <w:szCs w:val="24"/>
        </w:rPr>
        <w:t>s</w:t>
      </w:r>
      <w:r w:rsidRPr="003C6DBD">
        <w:rPr>
          <w:rFonts w:ascii="Times New Roman" w:hAnsi="Times New Roman" w:cs="Times New Roman"/>
          <w:b/>
          <w:bCs/>
          <w:color w:val="0D0D0D" w:themeColor="text1" w:themeTint="F2"/>
          <w:sz w:val="24"/>
          <w:szCs w:val="24"/>
        </w:rPr>
        <w:t xml:space="preserve">, financial </w:t>
      </w:r>
      <w:r w:rsidR="003C726E" w:rsidRPr="003C6DBD">
        <w:rPr>
          <w:rFonts w:ascii="Times New Roman" w:hAnsi="Times New Roman" w:cs="Times New Roman"/>
          <w:b/>
          <w:bCs/>
          <w:color w:val="0D0D0D" w:themeColor="text1" w:themeTint="F2"/>
          <w:sz w:val="24"/>
          <w:szCs w:val="24"/>
        </w:rPr>
        <w:t>ratios</w:t>
      </w:r>
      <w:r w:rsidRPr="003C6DBD">
        <w:rPr>
          <w:rFonts w:ascii="Times New Roman" w:hAnsi="Times New Roman" w:cs="Times New Roman"/>
          <w:b/>
          <w:bCs/>
          <w:color w:val="0D0D0D" w:themeColor="text1" w:themeTint="F2"/>
          <w:sz w:val="24"/>
          <w:szCs w:val="24"/>
        </w:rPr>
        <w:t>,</w:t>
      </w:r>
      <w:r w:rsidR="00791AA6" w:rsidRPr="003C6DBD">
        <w:rPr>
          <w:rFonts w:ascii="Times New Roman" w:hAnsi="Times New Roman" w:cs="Times New Roman"/>
          <w:b/>
          <w:bCs/>
          <w:color w:val="0D0D0D" w:themeColor="text1" w:themeTint="F2"/>
          <w:sz w:val="24"/>
          <w:szCs w:val="24"/>
        </w:rPr>
        <w:t xml:space="preserve"> </w:t>
      </w:r>
      <w:r w:rsidRPr="003C6DBD">
        <w:rPr>
          <w:rFonts w:ascii="Times New Roman" w:hAnsi="Times New Roman" w:cs="Times New Roman"/>
          <w:b/>
          <w:bCs/>
          <w:color w:val="0D0D0D" w:themeColor="text1" w:themeTint="F2"/>
          <w:sz w:val="24"/>
          <w:szCs w:val="24"/>
        </w:rPr>
        <w:t>trend analysi</w:t>
      </w:r>
      <w:r w:rsidR="00955A07" w:rsidRPr="003C6DBD">
        <w:rPr>
          <w:rFonts w:ascii="Times New Roman" w:hAnsi="Times New Roman" w:cs="Times New Roman"/>
          <w:b/>
          <w:bCs/>
          <w:color w:val="0D0D0D" w:themeColor="text1" w:themeTint="F2"/>
          <w:sz w:val="24"/>
          <w:szCs w:val="24"/>
        </w:rPr>
        <w:t>s</w:t>
      </w:r>
    </w:p>
    <w:sdt>
      <w:sdtPr>
        <w:rPr>
          <w:rFonts w:ascii="Times New Roman" w:eastAsiaTheme="minorHAnsi" w:hAnsi="Times New Roman" w:cs="Times New Roman"/>
          <w:color w:val="0D0D0D" w:themeColor="text1" w:themeTint="F2"/>
          <w:sz w:val="24"/>
          <w:szCs w:val="24"/>
          <w:lang w:bidi="ne-NP"/>
        </w:rPr>
        <w:id w:val="2055347673"/>
        <w:docPartObj>
          <w:docPartGallery w:val="Table of Contents"/>
          <w:docPartUnique/>
        </w:docPartObj>
      </w:sdtPr>
      <w:sdtEndPr>
        <w:rPr>
          <w:b/>
          <w:bCs/>
          <w:noProof/>
        </w:rPr>
      </w:sdtEndPr>
      <w:sdtContent>
        <w:p w14:paraId="389C4F83" w14:textId="3911380D" w:rsidR="00E87D93" w:rsidRPr="003C6DBD" w:rsidRDefault="00B06369" w:rsidP="00D73DD9">
          <w:pPr>
            <w:pStyle w:val="TOCHeading"/>
            <w:spacing w:line="480" w:lineRule="auto"/>
            <w:jc w:val="center"/>
            <w:rPr>
              <w:rFonts w:ascii="Times New Roman" w:hAnsi="Times New Roman" w:cs="Times New Roman"/>
              <w:b/>
              <w:bCs/>
              <w:color w:val="0D0D0D" w:themeColor="text1" w:themeTint="F2"/>
              <w:sz w:val="24"/>
              <w:szCs w:val="24"/>
            </w:rPr>
          </w:pPr>
          <w:r w:rsidRPr="003C6DBD">
            <w:rPr>
              <w:rFonts w:ascii="Times New Roman" w:eastAsiaTheme="minorHAnsi" w:hAnsi="Times New Roman" w:cs="Times New Roman"/>
              <w:b/>
              <w:bCs/>
              <w:color w:val="0D0D0D" w:themeColor="text1" w:themeTint="F2"/>
              <w:sz w:val="24"/>
              <w:szCs w:val="24"/>
              <w:lang w:bidi="ne-NP"/>
            </w:rPr>
            <w:t xml:space="preserve">Table of </w:t>
          </w:r>
          <w:r w:rsidR="003F6F35" w:rsidRPr="003C6DBD">
            <w:rPr>
              <w:rFonts w:ascii="Times New Roman" w:hAnsi="Times New Roman" w:cs="Times New Roman"/>
              <w:b/>
              <w:bCs/>
              <w:color w:val="0D0D0D" w:themeColor="text1" w:themeTint="F2"/>
              <w:sz w:val="24"/>
              <w:szCs w:val="24"/>
            </w:rPr>
            <w:t>Contents</w:t>
          </w:r>
        </w:p>
        <w:p w14:paraId="2EA6DA11" w14:textId="3F598B48" w:rsidR="00D73DD9" w:rsidRPr="003C6DBD" w:rsidRDefault="003F6F35" w:rsidP="00D73DD9">
          <w:pPr>
            <w:pStyle w:val="TOC1"/>
            <w:spacing w:line="480" w:lineRule="auto"/>
            <w:rPr>
              <w:rFonts w:ascii="Times New Roman" w:eastAsiaTheme="minorEastAsia" w:hAnsi="Times New Roman" w:cs="Times New Roman"/>
              <w:noProof/>
              <w:color w:val="0D0D0D" w:themeColor="text1" w:themeTint="F2"/>
              <w:sz w:val="24"/>
              <w:szCs w:val="24"/>
            </w:rPr>
          </w:pP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TOC \o "1-3" \h \z \u </w:instrText>
          </w:r>
          <w:r w:rsidRPr="003C6DBD">
            <w:rPr>
              <w:rFonts w:ascii="Times New Roman" w:hAnsi="Times New Roman" w:cs="Times New Roman"/>
              <w:color w:val="0D0D0D" w:themeColor="text1" w:themeTint="F2"/>
              <w:sz w:val="24"/>
              <w:szCs w:val="24"/>
            </w:rPr>
            <w:fldChar w:fldCharType="separate"/>
          </w:r>
          <w:hyperlink w:anchor="_Toc132761824" w:history="1">
            <w:r w:rsidR="00D73DD9" w:rsidRPr="003C6DBD">
              <w:rPr>
                <w:rStyle w:val="Hyperlink"/>
                <w:rFonts w:ascii="Times New Roman" w:hAnsi="Times New Roman" w:cs="Times New Roman"/>
                <w:noProof/>
                <w:color w:val="0D0D0D" w:themeColor="text1" w:themeTint="F2"/>
                <w:sz w:val="24"/>
                <w:szCs w:val="24"/>
              </w:rPr>
              <w:t>CHAPTER I</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_Toc132761824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1</w:t>
            </w:r>
            <w:r w:rsidR="00D73DD9" w:rsidRPr="003C6DBD">
              <w:rPr>
                <w:rFonts w:ascii="Times New Roman" w:hAnsi="Times New Roman" w:cs="Times New Roman"/>
                <w:noProof/>
                <w:webHidden/>
                <w:color w:val="0D0D0D" w:themeColor="text1" w:themeTint="F2"/>
                <w:sz w:val="24"/>
                <w:szCs w:val="24"/>
              </w:rPr>
              <w:fldChar w:fldCharType="end"/>
            </w:r>
          </w:hyperlink>
        </w:p>
        <w:p w14:paraId="52087A7E" w14:textId="117642F4" w:rsidR="00D73DD9" w:rsidRPr="003C6DBD" w:rsidRDefault="00000000" w:rsidP="00D73DD9">
          <w:pPr>
            <w:pStyle w:val="TOC2"/>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761825" w:history="1">
            <w:r w:rsidR="00D73DD9" w:rsidRPr="003C6DBD">
              <w:rPr>
                <w:rStyle w:val="Hyperlink"/>
                <w:rFonts w:ascii="Times New Roman" w:hAnsi="Times New Roman" w:cs="Times New Roman"/>
                <w:noProof/>
                <w:color w:val="0D0D0D" w:themeColor="text1" w:themeTint="F2"/>
                <w:sz w:val="24"/>
                <w:szCs w:val="24"/>
              </w:rPr>
              <w:t>INTRODUCTION</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_Toc132761825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1</w:t>
            </w:r>
            <w:r w:rsidR="00D73DD9" w:rsidRPr="003C6DBD">
              <w:rPr>
                <w:rFonts w:ascii="Times New Roman" w:hAnsi="Times New Roman" w:cs="Times New Roman"/>
                <w:noProof/>
                <w:webHidden/>
                <w:color w:val="0D0D0D" w:themeColor="text1" w:themeTint="F2"/>
                <w:sz w:val="24"/>
                <w:szCs w:val="24"/>
              </w:rPr>
              <w:fldChar w:fldCharType="end"/>
            </w:r>
          </w:hyperlink>
        </w:p>
        <w:p w14:paraId="2A501615" w14:textId="2AEFA80C" w:rsidR="00D73DD9" w:rsidRPr="003C6DBD" w:rsidRDefault="00000000" w:rsidP="00D73DD9">
          <w:pPr>
            <w:pStyle w:val="TOC3"/>
            <w:spacing w:line="480" w:lineRule="auto"/>
            <w:rPr>
              <w:rFonts w:ascii="Times New Roman" w:eastAsiaTheme="minorEastAsia" w:hAnsi="Times New Roman" w:cs="Times New Roman"/>
              <w:noProof/>
              <w:color w:val="0D0D0D" w:themeColor="text1" w:themeTint="F2"/>
              <w:sz w:val="24"/>
              <w:szCs w:val="24"/>
            </w:rPr>
          </w:pPr>
          <w:hyperlink w:anchor="_Toc132761826" w:history="1">
            <w:r w:rsidR="00D73DD9" w:rsidRPr="003C6DBD">
              <w:rPr>
                <w:rStyle w:val="Hyperlink"/>
                <w:rFonts w:ascii="Times New Roman" w:hAnsi="Times New Roman" w:cs="Times New Roman"/>
                <w:noProof/>
                <w:color w:val="0D0D0D" w:themeColor="text1" w:themeTint="F2"/>
                <w:sz w:val="24"/>
                <w:szCs w:val="24"/>
              </w:rPr>
              <w:t>1.1 Background</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_Toc132761826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1</w:t>
            </w:r>
            <w:r w:rsidR="00D73DD9" w:rsidRPr="003C6DBD">
              <w:rPr>
                <w:rFonts w:ascii="Times New Roman" w:hAnsi="Times New Roman" w:cs="Times New Roman"/>
                <w:noProof/>
                <w:webHidden/>
                <w:color w:val="0D0D0D" w:themeColor="text1" w:themeTint="F2"/>
                <w:sz w:val="24"/>
                <w:szCs w:val="24"/>
              </w:rPr>
              <w:fldChar w:fldCharType="end"/>
            </w:r>
          </w:hyperlink>
        </w:p>
        <w:p w14:paraId="5D6BE317" w14:textId="72750B13" w:rsidR="00D73DD9" w:rsidRPr="003C6DBD" w:rsidRDefault="00000000" w:rsidP="00D73DD9">
          <w:pPr>
            <w:pStyle w:val="TOC3"/>
            <w:spacing w:line="480" w:lineRule="auto"/>
            <w:rPr>
              <w:rFonts w:ascii="Times New Roman" w:eastAsiaTheme="minorEastAsia" w:hAnsi="Times New Roman" w:cs="Times New Roman"/>
              <w:noProof/>
              <w:color w:val="0D0D0D" w:themeColor="text1" w:themeTint="F2"/>
              <w:sz w:val="24"/>
              <w:szCs w:val="24"/>
            </w:rPr>
          </w:pPr>
          <w:hyperlink w:anchor="_Toc132761827" w:history="1">
            <w:r w:rsidR="00D73DD9" w:rsidRPr="003C6DBD">
              <w:rPr>
                <w:rStyle w:val="Hyperlink"/>
                <w:rFonts w:ascii="Times New Roman" w:hAnsi="Times New Roman" w:cs="Times New Roman"/>
                <w:noProof/>
                <w:color w:val="0D0D0D" w:themeColor="text1" w:themeTint="F2"/>
                <w:sz w:val="24"/>
                <w:szCs w:val="24"/>
              </w:rPr>
              <w:t>1.2 Research Problem</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_Toc132761827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3</w:t>
            </w:r>
            <w:r w:rsidR="00D73DD9" w:rsidRPr="003C6DBD">
              <w:rPr>
                <w:rFonts w:ascii="Times New Roman" w:hAnsi="Times New Roman" w:cs="Times New Roman"/>
                <w:noProof/>
                <w:webHidden/>
                <w:color w:val="0D0D0D" w:themeColor="text1" w:themeTint="F2"/>
                <w:sz w:val="24"/>
                <w:szCs w:val="24"/>
              </w:rPr>
              <w:fldChar w:fldCharType="end"/>
            </w:r>
          </w:hyperlink>
        </w:p>
        <w:p w14:paraId="0EF3E3CB" w14:textId="413D9B72" w:rsidR="00D73DD9" w:rsidRPr="003C6DBD" w:rsidRDefault="00000000" w:rsidP="00D73DD9">
          <w:pPr>
            <w:pStyle w:val="TOC3"/>
            <w:spacing w:line="480" w:lineRule="auto"/>
            <w:rPr>
              <w:rFonts w:ascii="Times New Roman" w:eastAsiaTheme="minorEastAsia" w:hAnsi="Times New Roman" w:cs="Times New Roman"/>
              <w:noProof/>
              <w:color w:val="0D0D0D" w:themeColor="text1" w:themeTint="F2"/>
              <w:sz w:val="24"/>
              <w:szCs w:val="24"/>
            </w:rPr>
          </w:pPr>
          <w:hyperlink w:anchor="_Toc132761828" w:history="1">
            <w:r w:rsidR="00D73DD9" w:rsidRPr="003C6DBD">
              <w:rPr>
                <w:rStyle w:val="Hyperlink"/>
                <w:rFonts w:ascii="Times New Roman" w:hAnsi="Times New Roman" w:cs="Times New Roman"/>
                <w:noProof/>
                <w:color w:val="0D0D0D" w:themeColor="text1" w:themeTint="F2"/>
                <w:sz w:val="24"/>
                <w:szCs w:val="24"/>
              </w:rPr>
              <w:t>1.3 Significance of the Research</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_Toc132761828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5</w:t>
            </w:r>
            <w:r w:rsidR="00D73DD9" w:rsidRPr="003C6DBD">
              <w:rPr>
                <w:rFonts w:ascii="Times New Roman" w:hAnsi="Times New Roman" w:cs="Times New Roman"/>
                <w:noProof/>
                <w:webHidden/>
                <w:color w:val="0D0D0D" w:themeColor="text1" w:themeTint="F2"/>
                <w:sz w:val="24"/>
                <w:szCs w:val="24"/>
              </w:rPr>
              <w:fldChar w:fldCharType="end"/>
            </w:r>
          </w:hyperlink>
        </w:p>
        <w:p w14:paraId="3D768E94" w14:textId="5E1AA205" w:rsidR="00D73DD9" w:rsidRPr="003C6DBD" w:rsidRDefault="00000000" w:rsidP="00D73DD9">
          <w:pPr>
            <w:pStyle w:val="TOC3"/>
            <w:spacing w:line="480" w:lineRule="auto"/>
            <w:rPr>
              <w:rFonts w:ascii="Times New Roman" w:eastAsiaTheme="minorEastAsia" w:hAnsi="Times New Roman" w:cs="Times New Roman"/>
              <w:noProof/>
              <w:color w:val="0D0D0D" w:themeColor="text1" w:themeTint="F2"/>
              <w:sz w:val="24"/>
              <w:szCs w:val="24"/>
            </w:rPr>
          </w:pPr>
          <w:hyperlink w:anchor="_Toc132761829" w:history="1">
            <w:r w:rsidR="00D73DD9" w:rsidRPr="003C6DBD">
              <w:rPr>
                <w:rStyle w:val="Hyperlink"/>
                <w:rFonts w:ascii="Times New Roman" w:hAnsi="Times New Roman" w:cs="Times New Roman"/>
                <w:noProof/>
                <w:color w:val="0D0D0D" w:themeColor="text1" w:themeTint="F2"/>
                <w:sz w:val="24"/>
                <w:szCs w:val="24"/>
              </w:rPr>
              <w:t>1.4 Objectives of the Research</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_Toc132761829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6</w:t>
            </w:r>
            <w:r w:rsidR="00D73DD9" w:rsidRPr="003C6DBD">
              <w:rPr>
                <w:rFonts w:ascii="Times New Roman" w:hAnsi="Times New Roman" w:cs="Times New Roman"/>
                <w:noProof/>
                <w:webHidden/>
                <w:color w:val="0D0D0D" w:themeColor="text1" w:themeTint="F2"/>
                <w:sz w:val="24"/>
                <w:szCs w:val="24"/>
              </w:rPr>
              <w:fldChar w:fldCharType="end"/>
            </w:r>
          </w:hyperlink>
        </w:p>
        <w:p w14:paraId="0848A793" w14:textId="6C048EF3" w:rsidR="00D73DD9" w:rsidRPr="003C6DBD" w:rsidRDefault="00000000" w:rsidP="00D73DD9">
          <w:pPr>
            <w:pStyle w:val="TOC1"/>
            <w:spacing w:line="480" w:lineRule="auto"/>
            <w:rPr>
              <w:rFonts w:ascii="Times New Roman" w:eastAsiaTheme="minorEastAsia" w:hAnsi="Times New Roman" w:cs="Times New Roman"/>
              <w:noProof/>
              <w:color w:val="0D0D0D" w:themeColor="text1" w:themeTint="F2"/>
              <w:sz w:val="24"/>
              <w:szCs w:val="24"/>
            </w:rPr>
          </w:pPr>
          <w:hyperlink w:anchor="_Toc132761830" w:history="1">
            <w:r w:rsidR="00D73DD9" w:rsidRPr="003C6DBD">
              <w:rPr>
                <w:rStyle w:val="Hyperlink"/>
                <w:rFonts w:ascii="Times New Roman" w:hAnsi="Times New Roman" w:cs="Times New Roman"/>
                <w:noProof/>
                <w:color w:val="0D0D0D" w:themeColor="text1" w:themeTint="F2"/>
                <w:sz w:val="24"/>
                <w:szCs w:val="24"/>
              </w:rPr>
              <w:t>CHAPTER II</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_Toc132761830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7</w:t>
            </w:r>
            <w:r w:rsidR="00D73DD9" w:rsidRPr="003C6DBD">
              <w:rPr>
                <w:rFonts w:ascii="Times New Roman" w:hAnsi="Times New Roman" w:cs="Times New Roman"/>
                <w:noProof/>
                <w:webHidden/>
                <w:color w:val="0D0D0D" w:themeColor="text1" w:themeTint="F2"/>
                <w:sz w:val="24"/>
                <w:szCs w:val="24"/>
              </w:rPr>
              <w:fldChar w:fldCharType="end"/>
            </w:r>
          </w:hyperlink>
        </w:p>
        <w:p w14:paraId="665163C7" w14:textId="63990406" w:rsidR="00D73DD9" w:rsidRPr="003C6DBD" w:rsidRDefault="00000000" w:rsidP="00D73DD9">
          <w:pPr>
            <w:pStyle w:val="TOC2"/>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761831" w:history="1">
            <w:r w:rsidR="00D73DD9" w:rsidRPr="003C6DBD">
              <w:rPr>
                <w:rStyle w:val="Hyperlink"/>
                <w:rFonts w:ascii="Times New Roman" w:hAnsi="Times New Roman" w:cs="Times New Roman"/>
                <w:noProof/>
                <w:color w:val="0D0D0D" w:themeColor="text1" w:themeTint="F2"/>
                <w:sz w:val="24"/>
                <w:szCs w:val="24"/>
              </w:rPr>
              <w:t>LITERATURE REVIEW</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_Toc132761831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7</w:t>
            </w:r>
            <w:r w:rsidR="00D73DD9" w:rsidRPr="003C6DBD">
              <w:rPr>
                <w:rFonts w:ascii="Times New Roman" w:hAnsi="Times New Roman" w:cs="Times New Roman"/>
                <w:noProof/>
                <w:webHidden/>
                <w:color w:val="0D0D0D" w:themeColor="text1" w:themeTint="F2"/>
                <w:sz w:val="24"/>
                <w:szCs w:val="24"/>
              </w:rPr>
              <w:fldChar w:fldCharType="end"/>
            </w:r>
          </w:hyperlink>
        </w:p>
        <w:p w14:paraId="5B6DBE08" w14:textId="283DB88A" w:rsidR="00D73DD9" w:rsidRPr="003C6DBD" w:rsidRDefault="00000000" w:rsidP="00D73DD9">
          <w:pPr>
            <w:pStyle w:val="TOC3"/>
            <w:spacing w:line="480" w:lineRule="auto"/>
            <w:rPr>
              <w:rFonts w:ascii="Times New Roman" w:eastAsiaTheme="minorEastAsia" w:hAnsi="Times New Roman" w:cs="Times New Roman"/>
              <w:noProof/>
              <w:color w:val="0D0D0D" w:themeColor="text1" w:themeTint="F2"/>
              <w:sz w:val="24"/>
              <w:szCs w:val="24"/>
            </w:rPr>
          </w:pPr>
          <w:hyperlink w:anchor="_Toc132761832" w:history="1">
            <w:r w:rsidR="00D73DD9" w:rsidRPr="003C6DBD">
              <w:rPr>
                <w:rStyle w:val="Hyperlink"/>
                <w:rFonts w:ascii="Times New Roman" w:hAnsi="Times New Roman" w:cs="Times New Roman"/>
                <w:noProof/>
                <w:color w:val="0D0D0D" w:themeColor="text1" w:themeTint="F2"/>
                <w:sz w:val="24"/>
                <w:szCs w:val="24"/>
              </w:rPr>
              <w:t>2.1 Literature Review for Risk Analysis</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_Toc132761832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7</w:t>
            </w:r>
            <w:r w:rsidR="00D73DD9" w:rsidRPr="003C6DBD">
              <w:rPr>
                <w:rFonts w:ascii="Times New Roman" w:hAnsi="Times New Roman" w:cs="Times New Roman"/>
                <w:noProof/>
                <w:webHidden/>
                <w:color w:val="0D0D0D" w:themeColor="text1" w:themeTint="F2"/>
                <w:sz w:val="24"/>
                <w:szCs w:val="24"/>
              </w:rPr>
              <w:fldChar w:fldCharType="end"/>
            </w:r>
          </w:hyperlink>
        </w:p>
        <w:p w14:paraId="1C201299" w14:textId="69A1FBAA" w:rsidR="00D73DD9" w:rsidRPr="003C6DBD" w:rsidRDefault="00000000" w:rsidP="00D73DD9">
          <w:pPr>
            <w:pStyle w:val="TOC3"/>
            <w:spacing w:line="480" w:lineRule="auto"/>
            <w:rPr>
              <w:rFonts w:ascii="Times New Roman" w:eastAsiaTheme="minorEastAsia" w:hAnsi="Times New Roman" w:cs="Times New Roman"/>
              <w:noProof/>
              <w:color w:val="0D0D0D" w:themeColor="text1" w:themeTint="F2"/>
              <w:sz w:val="24"/>
              <w:szCs w:val="24"/>
            </w:rPr>
          </w:pPr>
          <w:hyperlink w:anchor="_Toc132761833" w:history="1">
            <w:r w:rsidR="00D73DD9" w:rsidRPr="003C6DBD">
              <w:rPr>
                <w:rStyle w:val="Hyperlink"/>
                <w:rFonts w:ascii="Times New Roman" w:hAnsi="Times New Roman" w:cs="Times New Roman"/>
                <w:noProof/>
                <w:color w:val="0D0D0D" w:themeColor="text1" w:themeTint="F2"/>
                <w:sz w:val="24"/>
                <w:szCs w:val="24"/>
              </w:rPr>
              <w:t>2.2 Literature Review for Financial Analysis</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_Toc132761833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15</w:t>
            </w:r>
            <w:r w:rsidR="00D73DD9" w:rsidRPr="003C6DBD">
              <w:rPr>
                <w:rFonts w:ascii="Times New Roman" w:hAnsi="Times New Roman" w:cs="Times New Roman"/>
                <w:noProof/>
                <w:webHidden/>
                <w:color w:val="0D0D0D" w:themeColor="text1" w:themeTint="F2"/>
                <w:sz w:val="24"/>
                <w:szCs w:val="24"/>
              </w:rPr>
              <w:fldChar w:fldCharType="end"/>
            </w:r>
          </w:hyperlink>
        </w:p>
        <w:p w14:paraId="15763B52" w14:textId="2EB36821" w:rsidR="00D73DD9" w:rsidRPr="003C6DBD" w:rsidRDefault="00000000" w:rsidP="00D73DD9">
          <w:pPr>
            <w:pStyle w:val="TOC1"/>
            <w:spacing w:line="480" w:lineRule="auto"/>
            <w:rPr>
              <w:rFonts w:ascii="Times New Roman" w:eastAsiaTheme="minorEastAsia" w:hAnsi="Times New Roman" w:cs="Times New Roman"/>
              <w:noProof/>
              <w:color w:val="0D0D0D" w:themeColor="text1" w:themeTint="F2"/>
              <w:sz w:val="24"/>
              <w:szCs w:val="24"/>
            </w:rPr>
          </w:pPr>
          <w:hyperlink w:anchor="_Toc132761834" w:history="1">
            <w:r w:rsidR="00D73DD9" w:rsidRPr="003C6DBD">
              <w:rPr>
                <w:rStyle w:val="Hyperlink"/>
                <w:rFonts w:ascii="Times New Roman" w:hAnsi="Times New Roman" w:cs="Times New Roman"/>
                <w:noProof/>
                <w:color w:val="0D0D0D" w:themeColor="text1" w:themeTint="F2"/>
                <w:sz w:val="24"/>
                <w:szCs w:val="24"/>
              </w:rPr>
              <w:t>CHAPTER III</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_Toc132761834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20</w:t>
            </w:r>
            <w:r w:rsidR="00D73DD9" w:rsidRPr="003C6DBD">
              <w:rPr>
                <w:rFonts w:ascii="Times New Roman" w:hAnsi="Times New Roman" w:cs="Times New Roman"/>
                <w:noProof/>
                <w:webHidden/>
                <w:color w:val="0D0D0D" w:themeColor="text1" w:themeTint="F2"/>
                <w:sz w:val="24"/>
                <w:szCs w:val="24"/>
              </w:rPr>
              <w:fldChar w:fldCharType="end"/>
            </w:r>
          </w:hyperlink>
        </w:p>
        <w:p w14:paraId="73CE740E" w14:textId="3FF8D2F6" w:rsidR="00D73DD9" w:rsidRPr="003C6DBD" w:rsidRDefault="00000000" w:rsidP="00D73DD9">
          <w:pPr>
            <w:pStyle w:val="TOC2"/>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761835" w:history="1">
            <w:r w:rsidR="00D73DD9" w:rsidRPr="003C6DBD">
              <w:rPr>
                <w:rStyle w:val="Hyperlink"/>
                <w:rFonts w:ascii="Times New Roman" w:hAnsi="Times New Roman" w:cs="Times New Roman"/>
                <w:noProof/>
                <w:color w:val="0D0D0D" w:themeColor="text1" w:themeTint="F2"/>
                <w:sz w:val="24"/>
                <w:szCs w:val="24"/>
              </w:rPr>
              <w:t>ANALYTICAL FRAMEWORK</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_Toc132761835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20</w:t>
            </w:r>
            <w:r w:rsidR="00D73DD9" w:rsidRPr="003C6DBD">
              <w:rPr>
                <w:rFonts w:ascii="Times New Roman" w:hAnsi="Times New Roman" w:cs="Times New Roman"/>
                <w:noProof/>
                <w:webHidden/>
                <w:color w:val="0D0D0D" w:themeColor="text1" w:themeTint="F2"/>
                <w:sz w:val="24"/>
                <w:szCs w:val="24"/>
              </w:rPr>
              <w:fldChar w:fldCharType="end"/>
            </w:r>
          </w:hyperlink>
        </w:p>
        <w:p w14:paraId="524730ED" w14:textId="297D2F55" w:rsidR="00D73DD9" w:rsidRPr="003C6DBD" w:rsidRDefault="00000000" w:rsidP="00D73DD9">
          <w:pPr>
            <w:pStyle w:val="TOC3"/>
            <w:spacing w:line="480" w:lineRule="auto"/>
            <w:rPr>
              <w:rFonts w:ascii="Times New Roman" w:eastAsiaTheme="minorEastAsia" w:hAnsi="Times New Roman" w:cs="Times New Roman"/>
              <w:noProof/>
              <w:color w:val="0D0D0D" w:themeColor="text1" w:themeTint="F2"/>
              <w:sz w:val="24"/>
              <w:szCs w:val="24"/>
            </w:rPr>
          </w:pPr>
          <w:hyperlink w:anchor="_Toc132761836" w:history="1">
            <w:r w:rsidR="00D73DD9" w:rsidRPr="003C6DBD">
              <w:rPr>
                <w:rStyle w:val="Hyperlink"/>
                <w:rFonts w:ascii="Times New Roman" w:hAnsi="Times New Roman" w:cs="Times New Roman"/>
                <w:noProof/>
                <w:color w:val="0D0D0D" w:themeColor="text1" w:themeTint="F2"/>
                <w:sz w:val="24"/>
                <w:szCs w:val="24"/>
              </w:rPr>
              <w:t>3.1 Analytical Framework for Risk Analysis</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_Toc132761836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20</w:t>
            </w:r>
            <w:r w:rsidR="00D73DD9" w:rsidRPr="003C6DBD">
              <w:rPr>
                <w:rFonts w:ascii="Times New Roman" w:hAnsi="Times New Roman" w:cs="Times New Roman"/>
                <w:noProof/>
                <w:webHidden/>
                <w:color w:val="0D0D0D" w:themeColor="text1" w:themeTint="F2"/>
                <w:sz w:val="24"/>
                <w:szCs w:val="24"/>
              </w:rPr>
              <w:fldChar w:fldCharType="end"/>
            </w:r>
          </w:hyperlink>
        </w:p>
        <w:p w14:paraId="102CC70C" w14:textId="159338BB" w:rsidR="00D73DD9" w:rsidRPr="003C6DBD" w:rsidRDefault="00000000" w:rsidP="00D73DD9">
          <w:pPr>
            <w:pStyle w:val="TOC3"/>
            <w:spacing w:line="480" w:lineRule="auto"/>
            <w:rPr>
              <w:rFonts w:ascii="Times New Roman" w:eastAsiaTheme="minorEastAsia" w:hAnsi="Times New Roman" w:cs="Times New Roman"/>
              <w:noProof/>
              <w:color w:val="0D0D0D" w:themeColor="text1" w:themeTint="F2"/>
              <w:sz w:val="24"/>
              <w:szCs w:val="24"/>
            </w:rPr>
          </w:pPr>
          <w:hyperlink w:anchor="_Toc132761837" w:history="1">
            <w:r w:rsidR="00D73DD9" w:rsidRPr="003C6DBD">
              <w:rPr>
                <w:rStyle w:val="Hyperlink"/>
                <w:rFonts w:ascii="Times New Roman" w:hAnsi="Times New Roman" w:cs="Times New Roman"/>
                <w:noProof/>
                <w:color w:val="0D0D0D" w:themeColor="text1" w:themeTint="F2"/>
                <w:sz w:val="24"/>
                <w:szCs w:val="24"/>
              </w:rPr>
              <w:t>3.2 Analytical Framework for Financial Analysis</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_Toc132761837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23</w:t>
            </w:r>
            <w:r w:rsidR="00D73DD9" w:rsidRPr="003C6DBD">
              <w:rPr>
                <w:rFonts w:ascii="Times New Roman" w:hAnsi="Times New Roman" w:cs="Times New Roman"/>
                <w:noProof/>
                <w:webHidden/>
                <w:color w:val="0D0D0D" w:themeColor="text1" w:themeTint="F2"/>
                <w:sz w:val="24"/>
                <w:szCs w:val="24"/>
              </w:rPr>
              <w:fldChar w:fldCharType="end"/>
            </w:r>
          </w:hyperlink>
        </w:p>
        <w:p w14:paraId="20DCCDC2" w14:textId="350E08F5" w:rsidR="00D73DD9" w:rsidRPr="003C6DBD" w:rsidRDefault="00000000" w:rsidP="00D73DD9">
          <w:pPr>
            <w:pStyle w:val="TOC1"/>
            <w:spacing w:line="480" w:lineRule="auto"/>
            <w:rPr>
              <w:rFonts w:ascii="Times New Roman" w:eastAsiaTheme="minorEastAsia" w:hAnsi="Times New Roman" w:cs="Times New Roman"/>
              <w:noProof/>
              <w:color w:val="0D0D0D" w:themeColor="text1" w:themeTint="F2"/>
              <w:sz w:val="24"/>
              <w:szCs w:val="24"/>
            </w:rPr>
          </w:pPr>
          <w:hyperlink w:anchor="_Toc132761838" w:history="1">
            <w:r w:rsidR="00D73DD9" w:rsidRPr="003C6DBD">
              <w:rPr>
                <w:rStyle w:val="Hyperlink"/>
                <w:rFonts w:ascii="Times New Roman" w:hAnsi="Times New Roman" w:cs="Times New Roman"/>
                <w:noProof/>
                <w:color w:val="0D0D0D" w:themeColor="text1" w:themeTint="F2"/>
                <w:sz w:val="24"/>
                <w:szCs w:val="24"/>
              </w:rPr>
              <w:t>CHAPTER IV</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_Toc132761838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25</w:t>
            </w:r>
            <w:r w:rsidR="00D73DD9" w:rsidRPr="003C6DBD">
              <w:rPr>
                <w:rFonts w:ascii="Times New Roman" w:hAnsi="Times New Roman" w:cs="Times New Roman"/>
                <w:noProof/>
                <w:webHidden/>
                <w:color w:val="0D0D0D" w:themeColor="text1" w:themeTint="F2"/>
                <w:sz w:val="24"/>
                <w:szCs w:val="24"/>
              </w:rPr>
              <w:fldChar w:fldCharType="end"/>
            </w:r>
          </w:hyperlink>
        </w:p>
        <w:p w14:paraId="51CE605F" w14:textId="4C6EBBBA" w:rsidR="00D73DD9" w:rsidRPr="003C6DBD" w:rsidRDefault="00000000" w:rsidP="00D73DD9">
          <w:pPr>
            <w:pStyle w:val="TOC2"/>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761839" w:history="1">
            <w:r w:rsidR="00D73DD9" w:rsidRPr="003C6DBD">
              <w:rPr>
                <w:rStyle w:val="Hyperlink"/>
                <w:rFonts w:ascii="Times New Roman" w:hAnsi="Times New Roman" w:cs="Times New Roman"/>
                <w:noProof/>
                <w:color w:val="0D0D0D" w:themeColor="text1" w:themeTint="F2"/>
                <w:sz w:val="24"/>
                <w:szCs w:val="24"/>
              </w:rPr>
              <w:t>MATERIALS AND METHODS</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_Toc132761839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25</w:t>
            </w:r>
            <w:r w:rsidR="00D73DD9" w:rsidRPr="003C6DBD">
              <w:rPr>
                <w:rFonts w:ascii="Times New Roman" w:hAnsi="Times New Roman" w:cs="Times New Roman"/>
                <w:noProof/>
                <w:webHidden/>
                <w:color w:val="0D0D0D" w:themeColor="text1" w:themeTint="F2"/>
                <w:sz w:val="24"/>
                <w:szCs w:val="24"/>
              </w:rPr>
              <w:fldChar w:fldCharType="end"/>
            </w:r>
          </w:hyperlink>
        </w:p>
        <w:p w14:paraId="7553EEA1" w14:textId="5D102791" w:rsidR="00D73DD9" w:rsidRPr="003C6DBD" w:rsidRDefault="00000000" w:rsidP="00D73DD9">
          <w:pPr>
            <w:pStyle w:val="TOC3"/>
            <w:spacing w:line="480" w:lineRule="auto"/>
            <w:rPr>
              <w:rFonts w:ascii="Times New Roman" w:eastAsiaTheme="minorEastAsia" w:hAnsi="Times New Roman" w:cs="Times New Roman"/>
              <w:noProof/>
              <w:color w:val="0D0D0D" w:themeColor="text1" w:themeTint="F2"/>
              <w:sz w:val="24"/>
              <w:szCs w:val="24"/>
            </w:rPr>
          </w:pPr>
          <w:hyperlink w:anchor="_Toc132761840" w:history="1">
            <w:r w:rsidR="00D73DD9" w:rsidRPr="003C6DBD">
              <w:rPr>
                <w:rStyle w:val="Hyperlink"/>
                <w:rFonts w:ascii="Times New Roman" w:hAnsi="Times New Roman" w:cs="Times New Roman"/>
                <w:noProof/>
                <w:color w:val="0D0D0D" w:themeColor="text1" w:themeTint="F2"/>
                <w:sz w:val="24"/>
                <w:szCs w:val="24"/>
              </w:rPr>
              <w:t>4.1 Sample Selection</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_Toc132761840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25</w:t>
            </w:r>
            <w:r w:rsidR="00D73DD9" w:rsidRPr="003C6DBD">
              <w:rPr>
                <w:rFonts w:ascii="Times New Roman" w:hAnsi="Times New Roman" w:cs="Times New Roman"/>
                <w:noProof/>
                <w:webHidden/>
                <w:color w:val="0D0D0D" w:themeColor="text1" w:themeTint="F2"/>
                <w:sz w:val="24"/>
                <w:szCs w:val="24"/>
              </w:rPr>
              <w:fldChar w:fldCharType="end"/>
            </w:r>
          </w:hyperlink>
        </w:p>
        <w:p w14:paraId="2FF699B0" w14:textId="61942153" w:rsidR="00D73DD9" w:rsidRPr="003C6DBD" w:rsidRDefault="00000000" w:rsidP="00D73DD9">
          <w:pPr>
            <w:pStyle w:val="TOC3"/>
            <w:spacing w:line="480" w:lineRule="auto"/>
            <w:rPr>
              <w:rFonts w:ascii="Times New Roman" w:eastAsiaTheme="minorEastAsia" w:hAnsi="Times New Roman" w:cs="Times New Roman"/>
              <w:noProof/>
              <w:color w:val="0D0D0D" w:themeColor="text1" w:themeTint="F2"/>
              <w:sz w:val="24"/>
              <w:szCs w:val="24"/>
            </w:rPr>
          </w:pPr>
          <w:hyperlink w:anchor="_Toc132761841" w:history="1">
            <w:r w:rsidR="00D73DD9" w:rsidRPr="003C6DBD">
              <w:rPr>
                <w:rStyle w:val="Hyperlink"/>
                <w:rFonts w:ascii="Times New Roman" w:hAnsi="Times New Roman" w:cs="Times New Roman"/>
                <w:noProof/>
                <w:color w:val="0D0D0D" w:themeColor="text1" w:themeTint="F2"/>
                <w:sz w:val="24"/>
                <w:szCs w:val="24"/>
              </w:rPr>
              <w:t>4.2 Risk Analysis</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_Toc132761841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28</w:t>
            </w:r>
            <w:r w:rsidR="00D73DD9" w:rsidRPr="003C6DBD">
              <w:rPr>
                <w:rFonts w:ascii="Times New Roman" w:hAnsi="Times New Roman" w:cs="Times New Roman"/>
                <w:noProof/>
                <w:webHidden/>
                <w:color w:val="0D0D0D" w:themeColor="text1" w:themeTint="F2"/>
                <w:sz w:val="24"/>
                <w:szCs w:val="24"/>
              </w:rPr>
              <w:fldChar w:fldCharType="end"/>
            </w:r>
          </w:hyperlink>
        </w:p>
        <w:p w14:paraId="2272D0E0" w14:textId="7163FE69" w:rsidR="00D73DD9" w:rsidRPr="003C6DBD" w:rsidRDefault="00000000" w:rsidP="00D73DD9">
          <w:pPr>
            <w:pStyle w:val="TOC3"/>
            <w:spacing w:line="480" w:lineRule="auto"/>
            <w:rPr>
              <w:rFonts w:ascii="Times New Roman" w:eastAsiaTheme="minorEastAsia" w:hAnsi="Times New Roman" w:cs="Times New Roman"/>
              <w:noProof/>
              <w:color w:val="0D0D0D" w:themeColor="text1" w:themeTint="F2"/>
              <w:sz w:val="24"/>
              <w:szCs w:val="24"/>
            </w:rPr>
          </w:pPr>
          <w:hyperlink w:anchor="_Toc132761842" w:history="1">
            <w:r w:rsidR="00D73DD9" w:rsidRPr="003C6DBD">
              <w:rPr>
                <w:rStyle w:val="Hyperlink"/>
                <w:rFonts w:ascii="Times New Roman" w:hAnsi="Times New Roman" w:cs="Times New Roman"/>
                <w:noProof/>
                <w:color w:val="0D0D0D" w:themeColor="text1" w:themeTint="F2"/>
                <w:sz w:val="24"/>
                <w:szCs w:val="24"/>
              </w:rPr>
              <w:t>4.3 Financial Analysis</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_Toc132761842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31</w:t>
            </w:r>
            <w:r w:rsidR="00D73DD9" w:rsidRPr="003C6DBD">
              <w:rPr>
                <w:rFonts w:ascii="Times New Roman" w:hAnsi="Times New Roman" w:cs="Times New Roman"/>
                <w:noProof/>
                <w:webHidden/>
                <w:color w:val="0D0D0D" w:themeColor="text1" w:themeTint="F2"/>
                <w:sz w:val="24"/>
                <w:szCs w:val="24"/>
              </w:rPr>
              <w:fldChar w:fldCharType="end"/>
            </w:r>
          </w:hyperlink>
        </w:p>
        <w:p w14:paraId="29C3F658" w14:textId="019335FD" w:rsidR="00D73DD9" w:rsidRPr="003C6DBD" w:rsidRDefault="00000000" w:rsidP="00D73DD9">
          <w:pPr>
            <w:pStyle w:val="TOC1"/>
            <w:spacing w:line="480" w:lineRule="auto"/>
            <w:rPr>
              <w:rFonts w:ascii="Times New Roman" w:eastAsiaTheme="minorEastAsia" w:hAnsi="Times New Roman" w:cs="Times New Roman"/>
              <w:noProof/>
              <w:color w:val="0D0D0D" w:themeColor="text1" w:themeTint="F2"/>
              <w:sz w:val="24"/>
              <w:szCs w:val="24"/>
            </w:rPr>
          </w:pPr>
          <w:hyperlink w:anchor="_Toc132761843" w:history="1">
            <w:r w:rsidR="00D73DD9" w:rsidRPr="003C6DBD">
              <w:rPr>
                <w:rStyle w:val="Hyperlink"/>
                <w:rFonts w:ascii="Times New Roman" w:hAnsi="Times New Roman" w:cs="Times New Roman"/>
                <w:noProof/>
                <w:color w:val="0D0D0D" w:themeColor="text1" w:themeTint="F2"/>
                <w:sz w:val="24"/>
                <w:szCs w:val="24"/>
              </w:rPr>
              <w:t>CHAPTER V</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_Toc132761843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36</w:t>
            </w:r>
            <w:r w:rsidR="00D73DD9" w:rsidRPr="003C6DBD">
              <w:rPr>
                <w:rFonts w:ascii="Times New Roman" w:hAnsi="Times New Roman" w:cs="Times New Roman"/>
                <w:noProof/>
                <w:webHidden/>
                <w:color w:val="0D0D0D" w:themeColor="text1" w:themeTint="F2"/>
                <w:sz w:val="24"/>
                <w:szCs w:val="24"/>
              </w:rPr>
              <w:fldChar w:fldCharType="end"/>
            </w:r>
          </w:hyperlink>
        </w:p>
        <w:p w14:paraId="5DCE670F" w14:textId="26F10347" w:rsidR="00D73DD9" w:rsidRPr="003C6DBD" w:rsidRDefault="00000000" w:rsidP="00D73DD9">
          <w:pPr>
            <w:pStyle w:val="TOC2"/>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761844" w:history="1">
            <w:r w:rsidR="00D73DD9" w:rsidRPr="003C6DBD">
              <w:rPr>
                <w:rStyle w:val="Hyperlink"/>
                <w:rFonts w:ascii="Times New Roman" w:hAnsi="Times New Roman" w:cs="Times New Roman"/>
                <w:noProof/>
                <w:color w:val="0D0D0D" w:themeColor="text1" w:themeTint="F2"/>
                <w:sz w:val="24"/>
                <w:szCs w:val="24"/>
              </w:rPr>
              <w:t>RESULTS</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_Toc132761844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36</w:t>
            </w:r>
            <w:r w:rsidR="00D73DD9" w:rsidRPr="003C6DBD">
              <w:rPr>
                <w:rFonts w:ascii="Times New Roman" w:hAnsi="Times New Roman" w:cs="Times New Roman"/>
                <w:noProof/>
                <w:webHidden/>
                <w:color w:val="0D0D0D" w:themeColor="text1" w:themeTint="F2"/>
                <w:sz w:val="24"/>
                <w:szCs w:val="24"/>
              </w:rPr>
              <w:fldChar w:fldCharType="end"/>
            </w:r>
          </w:hyperlink>
        </w:p>
        <w:p w14:paraId="5254832A" w14:textId="029402F9" w:rsidR="00D73DD9" w:rsidRPr="003C6DBD" w:rsidRDefault="00000000" w:rsidP="00D73DD9">
          <w:pPr>
            <w:pStyle w:val="TOC3"/>
            <w:spacing w:line="480" w:lineRule="auto"/>
            <w:rPr>
              <w:rFonts w:ascii="Times New Roman" w:eastAsiaTheme="minorEastAsia" w:hAnsi="Times New Roman" w:cs="Times New Roman"/>
              <w:noProof/>
              <w:color w:val="0D0D0D" w:themeColor="text1" w:themeTint="F2"/>
              <w:sz w:val="24"/>
              <w:szCs w:val="24"/>
            </w:rPr>
          </w:pPr>
          <w:hyperlink w:anchor="_Toc132761845" w:history="1">
            <w:r w:rsidR="00D73DD9" w:rsidRPr="003C6DBD">
              <w:rPr>
                <w:rStyle w:val="Hyperlink"/>
                <w:rFonts w:ascii="Times New Roman" w:hAnsi="Times New Roman" w:cs="Times New Roman"/>
                <w:noProof/>
                <w:color w:val="0D0D0D" w:themeColor="text1" w:themeTint="F2"/>
                <w:sz w:val="24"/>
                <w:szCs w:val="24"/>
              </w:rPr>
              <w:t>5.1 Risk Analysis</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_Toc132761845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36</w:t>
            </w:r>
            <w:r w:rsidR="00D73DD9" w:rsidRPr="003C6DBD">
              <w:rPr>
                <w:rFonts w:ascii="Times New Roman" w:hAnsi="Times New Roman" w:cs="Times New Roman"/>
                <w:noProof/>
                <w:webHidden/>
                <w:color w:val="0D0D0D" w:themeColor="text1" w:themeTint="F2"/>
                <w:sz w:val="24"/>
                <w:szCs w:val="24"/>
              </w:rPr>
              <w:fldChar w:fldCharType="end"/>
            </w:r>
          </w:hyperlink>
        </w:p>
        <w:p w14:paraId="0F38BE7F" w14:textId="473F53E9" w:rsidR="00D73DD9" w:rsidRPr="003C6DBD" w:rsidRDefault="00000000" w:rsidP="00D73DD9">
          <w:pPr>
            <w:pStyle w:val="TOC3"/>
            <w:spacing w:line="480" w:lineRule="auto"/>
            <w:rPr>
              <w:rFonts w:ascii="Times New Roman" w:eastAsiaTheme="minorEastAsia" w:hAnsi="Times New Roman" w:cs="Times New Roman"/>
              <w:noProof/>
              <w:color w:val="0D0D0D" w:themeColor="text1" w:themeTint="F2"/>
              <w:sz w:val="24"/>
              <w:szCs w:val="24"/>
            </w:rPr>
          </w:pPr>
          <w:hyperlink w:anchor="_Toc132761846" w:history="1">
            <w:r w:rsidR="00D73DD9" w:rsidRPr="003C6DBD">
              <w:rPr>
                <w:rStyle w:val="Hyperlink"/>
                <w:rFonts w:ascii="Times New Roman" w:hAnsi="Times New Roman" w:cs="Times New Roman"/>
                <w:noProof/>
                <w:color w:val="0D0D0D" w:themeColor="text1" w:themeTint="F2"/>
                <w:sz w:val="24"/>
                <w:szCs w:val="24"/>
              </w:rPr>
              <w:t>5.2 Risk Analysis of Two Portfolios</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_Toc132761846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41</w:t>
            </w:r>
            <w:r w:rsidR="00D73DD9" w:rsidRPr="003C6DBD">
              <w:rPr>
                <w:rFonts w:ascii="Times New Roman" w:hAnsi="Times New Roman" w:cs="Times New Roman"/>
                <w:noProof/>
                <w:webHidden/>
                <w:color w:val="0D0D0D" w:themeColor="text1" w:themeTint="F2"/>
                <w:sz w:val="24"/>
                <w:szCs w:val="24"/>
              </w:rPr>
              <w:fldChar w:fldCharType="end"/>
            </w:r>
          </w:hyperlink>
        </w:p>
        <w:p w14:paraId="0EF0D89E" w14:textId="7B0075CB" w:rsidR="00D73DD9" w:rsidRPr="003C6DBD" w:rsidRDefault="00000000" w:rsidP="00D73DD9">
          <w:pPr>
            <w:pStyle w:val="TOC3"/>
            <w:spacing w:line="480" w:lineRule="auto"/>
            <w:rPr>
              <w:rFonts w:ascii="Times New Roman" w:eastAsiaTheme="minorEastAsia" w:hAnsi="Times New Roman" w:cs="Times New Roman"/>
              <w:noProof/>
              <w:color w:val="0D0D0D" w:themeColor="text1" w:themeTint="F2"/>
              <w:sz w:val="24"/>
              <w:szCs w:val="24"/>
            </w:rPr>
          </w:pPr>
          <w:hyperlink w:anchor="_Toc132761847" w:history="1">
            <w:r w:rsidR="00D73DD9" w:rsidRPr="003C6DBD">
              <w:rPr>
                <w:rStyle w:val="Hyperlink"/>
                <w:rFonts w:ascii="Times New Roman" w:hAnsi="Times New Roman" w:cs="Times New Roman"/>
                <w:noProof/>
                <w:color w:val="0D0D0D" w:themeColor="text1" w:themeTint="F2"/>
                <w:sz w:val="24"/>
                <w:szCs w:val="24"/>
              </w:rPr>
              <w:t>5.3 Financial Analysis</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_Toc132761847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44</w:t>
            </w:r>
            <w:r w:rsidR="00D73DD9" w:rsidRPr="003C6DBD">
              <w:rPr>
                <w:rFonts w:ascii="Times New Roman" w:hAnsi="Times New Roman" w:cs="Times New Roman"/>
                <w:noProof/>
                <w:webHidden/>
                <w:color w:val="0D0D0D" w:themeColor="text1" w:themeTint="F2"/>
                <w:sz w:val="24"/>
                <w:szCs w:val="24"/>
              </w:rPr>
              <w:fldChar w:fldCharType="end"/>
            </w:r>
          </w:hyperlink>
        </w:p>
        <w:p w14:paraId="48B2EE01" w14:textId="4B31264F" w:rsidR="00D73DD9" w:rsidRPr="003C6DBD" w:rsidRDefault="00000000" w:rsidP="00D73DD9">
          <w:pPr>
            <w:pStyle w:val="TOC1"/>
            <w:spacing w:line="480" w:lineRule="auto"/>
            <w:rPr>
              <w:rFonts w:ascii="Times New Roman" w:eastAsiaTheme="minorEastAsia" w:hAnsi="Times New Roman" w:cs="Times New Roman"/>
              <w:noProof/>
              <w:color w:val="0D0D0D" w:themeColor="text1" w:themeTint="F2"/>
              <w:sz w:val="24"/>
              <w:szCs w:val="24"/>
            </w:rPr>
          </w:pPr>
          <w:hyperlink w:anchor="_Toc132761848" w:history="1">
            <w:r w:rsidR="00D73DD9" w:rsidRPr="003C6DBD">
              <w:rPr>
                <w:rStyle w:val="Hyperlink"/>
                <w:rFonts w:ascii="Times New Roman" w:hAnsi="Times New Roman" w:cs="Times New Roman"/>
                <w:noProof/>
                <w:color w:val="0D0D0D" w:themeColor="text1" w:themeTint="F2"/>
                <w:sz w:val="24"/>
                <w:szCs w:val="24"/>
              </w:rPr>
              <w:t>CHAPTER VI</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_Toc132761848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51</w:t>
            </w:r>
            <w:r w:rsidR="00D73DD9" w:rsidRPr="003C6DBD">
              <w:rPr>
                <w:rFonts w:ascii="Times New Roman" w:hAnsi="Times New Roman" w:cs="Times New Roman"/>
                <w:noProof/>
                <w:webHidden/>
                <w:color w:val="0D0D0D" w:themeColor="text1" w:themeTint="F2"/>
                <w:sz w:val="24"/>
                <w:szCs w:val="24"/>
              </w:rPr>
              <w:fldChar w:fldCharType="end"/>
            </w:r>
          </w:hyperlink>
        </w:p>
        <w:p w14:paraId="13617694" w14:textId="2C2CA592" w:rsidR="00D73DD9" w:rsidRPr="003C6DBD" w:rsidRDefault="00000000" w:rsidP="00D73DD9">
          <w:pPr>
            <w:pStyle w:val="TOC2"/>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761849" w:history="1">
            <w:r w:rsidR="00D73DD9" w:rsidRPr="003C6DBD">
              <w:rPr>
                <w:rStyle w:val="Hyperlink"/>
                <w:rFonts w:ascii="Times New Roman" w:hAnsi="Times New Roman" w:cs="Times New Roman"/>
                <w:noProof/>
                <w:color w:val="0D0D0D" w:themeColor="text1" w:themeTint="F2"/>
                <w:sz w:val="24"/>
                <w:szCs w:val="24"/>
              </w:rPr>
              <w:t>DISCUSSION</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_Toc132761849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51</w:t>
            </w:r>
            <w:r w:rsidR="00D73DD9" w:rsidRPr="003C6DBD">
              <w:rPr>
                <w:rFonts w:ascii="Times New Roman" w:hAnsi="Times New Roman" w:cs="Times New Roman"/>
                <w:noProof/>
                <w:webHidden/>
                <w:color w:val="0D0D0D" w:themeColor="text1" w:themeTint="F2"/>
                <w:sz w:val="24"/>
                <w:szCs w:val="24"/>
              </w:rPr>
              <w:fldChar w:fldCharType="end"/>
            </w:r>
          </w:hyperlink>
        </w:p>
        <w:p w14:paraId="1D0ED9EB" w14:textId="484B490A" w:rsidR="00D73DD9" w:rsidRPr="003C6DBD" w:rsidRDefault="00000000" w:rsidP="00D73DD9">
          <w:pPr>
            <w:pStyle w:val="TOC3"/>
            <w:spacing w:line="480" w:lineRule="auto"/>
            <w:rPr>
              <w:rFonts w:ascii="Times New Roman" w:eastAsiaTheme="minorEastAsia" w:hAnsi="Times New Roman" w:cs="Times New Roman"/>
              <w:noProof/>
              <w:color w:val="0D0D0D" w:themeColor="text1" w:themeTint="F2"/>
              <w:sz w:val="24"/>
              <w:szCs w:val="24"/>
            </w:rPr>
          </w:pPr>
          <w:hyperlink w:anchor="_Toc132761850" w:history="1">
            <w:r w:rsidR="00D73DD9" w:rsidRPr="003C6DBD">
              <w:rPr>
                <w:rStyle w:val="Hyperlink"/>
                <w:rFonts w:ascii="Times New Roman" w:hAnsi="Times New Roman" w:cs="Times New Roman"/>
                <w:noProof/>
                <w:color w:val="0D0D0D" w:themeColor="text1" w:themeTint="F2"/>
                <w:sz w:val="24"/>
                <w:szCs w:val="24"/>
              </w:rPr>
              <w:t>6.1 Discussion for Risk Analysis</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_Toc132761850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51</w:t>
            </w:r>
            <w:r w:rsidR="00D73DD9" w:rsidRPr="003C6DBD">
              <w:rPr>
                <w:rFonts w:ascii="Times New Roman" w:hAnsi="Times New Roman" w:cs="Times New Roman"/>
                <w:noProof/>
                <w:webHidden/>
                <w:color w:val="0D0D0D" w:themeColor="text1" w:themeTint="F2"/>
                <w:sz w:val="24"/>
                <w:szCs w:val="24"/>
              </w:rPr>
              <w:fldChar w:fldCharType="end"/>
            </w:r>
          </w:hyperlink>
        </w:p>
        <w:p w14:paraId="5DCAD127" w14:textId="6D20AB64" w:rsidR="00D73DD9" w:rsidRPr="003C6DBD" w:rsidRDefault="00000000" w:rsidP="00D73DD9">
          <w:pPr>
            <w:pStyle w:val="TOC3"/>
            <w:spacing w:line="480" w:lineRule="auto"/>
            <w:rPr>
              <w:rFonts w:ascii="Times New Roman" w:eastAsiaTheme="minorEastAsia" w:hAnsi="Times New Roman" w:cs="Times New Roman"/>
              <w:noProof/>
              <w:color w:val="0D0D0D" w:themeColor="text1" w:themeTint="F2"/>
              <w:sz w:val="24"/>
              <w:szCs w:val="24"/>
            </w:rPr>
          </w:pPr>
          <w:hyperlink w:anchor="_Toc132761851" w:history="1">
            <w:r w:rsidR="00D73DD9" w:rsidRPr="003C6DBD">
              <w:rPr>
                <w:rStyle w:val="Hyperlink"/>
                <w:rFonts w:ascii="Times New Roman" w:hAnsi="Times New Roman" w:cs="Times New Roman"/>
                <w:noProof/>
                <w:color w:val="0D0D0D" w:themeColor="text1" w:themeTint="F2"/>
                <w:sz w:val="24"/>
                <w:szCs w:val="24"/>
              </w:rPr>
              <w:t>6.2 Discussion for Financial Analysis</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_Toc132761851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55</w:t>
            </w:r>
            <w:r w:rsidR="00D73DD9" w:rsidRPr="003C6DBD">
              <w:rPr>
                <w:rFonts w:ascii="Times New Roman" w:hAnsi="Times New Roman" w:cs="Times New Roman"/>
                <w:noProof/>
                <w:webHidden/>
                <w:color w:val="0D0D0D" w:themeColor="text1" w:themeTint="F2"/>
                <w:sz w:val="24"/>
                <w:szCs w:val="24"/>
              </w:rPr>
              <w:fldChar w:fldCharType="end"/>
            </w:r>
          </w:hyperlink>
        </w:p>
        <w:p w14:paraId="48C6BBA1" w14:textId="5F3B31A8" w:rsidR="00D73DD9" w:rsidRPr="003C6DBD" w:rsidRDefault="00000000" w:rsidP="00D73DD9">
          <w:pPr>
            <w:pStyle w:val="TOC1"/>
            <w:spacing w:line="480" w:lineRule="auto"/>
            <w:rPr>
              <w:rFonts w:ascii="Times New Roman" w:eastAsiaTheme="minorEastAsia" w:hAnsi="Times New Roman" w:cs="Times New Roman"/>
              <w:noProof/>
              <w:color w:val="0D0D0D" w:themeColor="text1" w:themeTint="F2"/>
              <w:sz w:val="24"/>
              <w:szCs w:val="24"/>
            </w:rPr>
          </w:pPr>
          <w:hyperlink w:anchor="_Toc132761852" w:history="1">
            <w:r w:rsidR="00D73DD9" w:rsidRPr="003C6DBD">
              <w:rPr>
                <w:rStyle w:val="Hyperlink"/>
                <w:rFonts w:ascii="Times New Roman" w:hAnsi="Times New Roman" w:cs="Times New Roman"/>
                <w:noProof/>
                <w:color w:val="0D0D0D" w:themeColor="text1" w:themeTint="F2"/>
                <w:sz w:val="24"/>
                <w:szCs w:val="24"/>
              </w:rPr>
              <w:t>CHAPTER VII</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_Toc132761852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58</w:t>
            </w:r>
            <w:r w:rsidR="00D73DD9" w:rsidRPr="003C6DBD">
              <w:rPr>
                <w:rFonts w:ascii="Times New Roman" w:hAnsi="Times New Roman" w:cs="Times New Roman"/>
                <w:noProof/>
                <w:webHidden/>
                <w:color w:val="0D0D0D" w:themeColor="text1" w:themeTint="F2"/>
                <w:sz w:val="24"/>
                <w:szCs w:val="24"/>
              </w:rPr>
              <w:fldChar w:fldCharType="end"/>
            </w:r>
          </w:hyperlink>
        </w:p>
        <w:p w14:paraId="0B18F000" w14:textId="50088DC6" w:rsidR="00D73DD9" w:rsidRPr="003C6DBD" w:rsidRDefault="00000000" w:rsidP="00D73DD9">
          <w:pPr>
            <w:pStyle w:val="TOC2"/>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761853" w:history="1">
            <w:r w:rsidR="00D73DD9" w:rsidRPr="003C6DBD">
              <w:rPr>
                <w:rStyle w:val="Hyperlink"/>
                <w:rFonts w:ascii="Times New Roman" w:hAnsi="Times New Roman" w:cs="Times New Roman"/>
                <w:noProof/>
                <w:color w:val="0D0D0D" w:themeColor="text1" w:themeTint="F2"/>
                <w:sz w:val="24"/>
                <w:szCs w:val="24"/>
              </w:rPr>
              <w:t>CONCLUSION AND POLICY RECOMMENDATION</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_Toc132761853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58</w:t>
            </w:r>
            <w:r w:rsidR="00D73DD9" w:rsidRPr="003C6DBD">
              <w:rPr>
                <w:rFonts w:ascii="Times New Roman" w:hAnsi="Times New Roman" w:cs="Times New Roman"/>
                <w:noProof/>
                <w:webHidden/>
                <w:color w:val="0D0D0D" w:themeColor="text1" w:themeTint="F2"/>
                <w:sz w:val="24"/>
                <w:szCs w:val="24"/>
              </w:rPr>
              <w:fldChar w:fldCharType="end"/>
            </w:r>
          </w:hyperlink>
        </w:p>
        <w:p w14:paraId="56BBE1AD" w14:textId="7F5A2CE4" w:rsidR="00D73DD9" w:rsidRPr="003C6DBD" w:rsidRDefault="00000000" w:rsidP="00D73DD9">
          <w:pPr>
            <w:pStyle w:val="TOC1"/>
            <w:spacing w:line="480" w:lineRule="auto"/>
            <w:rPr>
              <w:rFonts w:ascii="Times New Roman" w:eastAsiaTheme="minorEastAsia" w:hAnsi="Times New Roman" w:cs="Times New Roman"/>
              <w:noProof/>
              <w:color w:val="0D0D0D" w:themeColor="text1" w:themeTint="F2"/>
              <w:sz w:val="24"/>
              <w:szCs w:val="24"/>
            </w:rPr>
          </w:pPr>
          <w:hyperlink w:anchor="_Toc132761854" w:history="1">
            <w:r w:rsidR="00D73DD9" w:rsidRPr="003C6DBD">
              <w:rPr>
                <w:rStyle w:val="Hyperlink"/>
                <w:rFonts w:ascii="Times New Roman" w:hAnsi="Times New Roman" w:cs="Times New Roman"/>
                <w:noProof/>
                <w:color w:val="0D0D0D" w:themeColor="text1" w:themeTint="F2"/>
                <w:sz w:val="24"/>
                <w:szCs w:val="24"/>
              </w:rPr>
              <w:t>BIBL</w:t>
            </w:r>
            <w:r w:rsidR="000374C2" w:rsidRPr="003C6DBD">
              <w:rPr>
                <w:rStyle w:val="Hyperlink"/>
                <w:rFonts w:ascii="Times New Roman" w:hAnsi="Times New Roman" w:cs="Times New Roman"/>
                <w:noProof/>
                <w:color w:val="0D0D0D" w:themeColor="text1" w:themeTint="F2"/>
                <w:sz w:val="24"/>
                <w:szCs w:val="24"/>
              </w:rPr>
              <w:t>I</w:t>
            </w:r>
            <w:r w:rsidR="00D73DD9" w:rsidRPr="003C6DBD">
              <w:rPr>
                <w:rStyle w:val="Hyperlink"/>
                <w:rFonts w:ascii="Times New Roman" w:hAnsi="Times New Roman" w:cs="Times New Roman"/>
                <w:noProof/>
                <w:color w:val="0D0D0D" w:themeColor="text1" w:themeTint="F2"/>
                <w:sz w:val="24"/>
                <w:szCs w:val="24"/>
              </w:rPr>
              <w:t>OGRAPHY</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_Toc132761854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61</w:t>
            </w:r>
            <w:r w:rsidR="00D73DD9" w:rsidRPr="003C6DBD">
              <w:rPr>
                <w:rFonts w:ascii="Times New Roman" w:hAnsi="Times New Roman" w:cs="Times New Roman"/>
                <w:noProof/>
                <w:webHidden/>
                <w:color w:val="0D0D0D" w:themeColor="text1" w:themeTint="F2"/>
                <w:sz w:val="24"/>
                <w:szCs w:val="24"/>
              </w:rPr>
              <w:fldChar w:fldCharType="end"/>
            </w:r>
          </w:hyperlink>
        </w:p>
        <w:p w14:paraId="00CD941A" w14:textId="45C0B8DE" w:rsidR="00D73DD9" w:rsidRPr="003C6DBD" w:rsidRDefault="00000000" w:rsidP="00D73DD9">
          <w:pPr>
            <w:pStyle w:val="TOC1"/>
            <w:spacing w:line="480" w:lineRule="auto"/>
            <w:rPr>
              <w:rFonts w:ascii="Times New Roman" w:eastAsiaTheme="minorEastAsia" w:hAnsi="Times New Roman" w:cs="Times New Roman"/>
              <w:noProof/>
              <w:color w:val="0D0D0D" w:themeColor="text1" w:themeTint="F2"/>
              <w:sz w:val="24"/>
              <w:szCs w:val="24"/>
            </w:rPr>
          </w:pPr>
          <w:hyperlink w:anchor="_Toc132761855" w:history="1">
            <w:r w:rsidR="00D73DD9" w:rsidRPr="003C6DBD">
              <w:rPr>
                <w:rStyle w:val="Hyperlink"/>
                <w:rFonts w:ascii="Times New Roman" w:hAnsi="Times New Roman" w:cs="Times New Roman"/>
                <w:noProof/>
                <w:color w:val="0D0D0D" w:themeColor="text1" w:themeTint="F2"/>
                <w:sz w:val="24"/>
                <w:szCs w:val="24"/>
              </w:rPr>
              <w:t>APPENDIX</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_Toc132761855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71</w:t>
            </w:r>
            <w:r w:rsidR="00D73DD9" w:rsidRPr="003C6DBD">
              <w:rPr>
                <w:rFonts w:ascii="Times New Roman" w:hAnsi="Times New Roman" w:cs="Times New Roman"/>
                <w:noProof/>
                <w:webHidden/>
                <w:color w:val="0D0D0D" w:themeColor="text1" w:themeTint="F2"/>
                <w:sz w:val="24"/>
                <w:szCs w:val="24"/>
              </w:rPr>
              <w:fldChar w:fldCharType="end"/>
            </w:r>
          </w:hyperlink>
        </w:p>
        <w:p w14:paraId="69B74C49" w14:textId="5B32F344" w:rsidR="00D73DD9" w:rsidRPr="003C6DBD" w:rsidRDefault="00000000" w:rsidP="00D73DD9">
          <w:pPr>
            <w:pStyle w:val="TOC1"/>
            <w:spacing w:line="480" w:lineRule="auto"/>
            <w:rPr>
              <w:rFonts w:ascii="Times New Roman" w:eastAsiaTheme="minorEastAsia" w:hAnsi="Times New Roman" w:cs="Times New Roman"/>
              <w:noProof/>
              <w:color w:val="0D0D0D" w:themeColor="text1" w:themeTint="F2"/>
              <w:sz w:val="24"/>
              <w:szCs w:val="24"/>
            </w:rPr>
          </w:pPr>
          <w:hyperlink w:anchor="_Toc132761856" w:history="1">
            <w:r w:rsidR="00D73DD9" w:rsidRPr="003C6DBD">
              <w:rPr>
                <w:rStyle w:val="Hyperlink"/>
                <w:rFonts w:ascii="Times New Roman" w:hAnsi="Times New Roman" w:cs="Times New Roman"/>
                <w:noProof/>
                <w:color w:val="0D0D0D" w:themeColor="text1" w:themeTint="F2"/>
                <w:sz w:val="24"/>
                <w:szCs w:val="24"/>
              </w:rPr>
              <w:t>VITA</w:t>
            </w:r>
            <w:r w:rsidR="00D73DD9" w:rsidRPr="003C6DBD">
              <w:rPr>
                <w:rFonts w:ascii="Times New Roman" w:hAnsi="Times New Roman" w:cs="Times New Roman"/>
                <w:noProof/>
                <w:webHidden/>
                <w:color w:val="0D0D0D" w:themeColor="text1" w:themeTint="F2"/>
                <w:sz w:val="24"/>
                <w:szCs w:val="24"/>
              </w:rPr>
              <w:tab/>
            </w:r>
            <w:r w:rsidR="00D73DD9" w:rsidRPr="003C6DBD">
              <w:rPr>
                <w:rFonts w:ascii="Times New Roman" w:hAnsi="Times New Roman" w:cs="Times New Roman"/>
                <w:noProof/>
                <w:webHidden/>
                <w:color w:val="0D0D0D" w:themeColor="text1" w:themeTint="F2"/>
                <w:sz w:val="24"/>
                <w:szCs w:val="24"/>
              </w:rPr>
              <w:fldChar w:fldCharType="begin"/>
            </w:r>
            <w:r w:rsidR="00D73DD9" w:rsidRPr="003C6DBD">
              <w:rPr>
                <w:rFonts w:ascii="Times New Roman" w:hAnsi="Times New Roman" w:cs="Times New Roman"/>
                <w:noProof/>
                <w:webHidden/>
                <w:color w:val="0D0D0D" w:themeColor="text1" w:themeTint="F2"/>
                <w:sz w:val="24"/>
                <w:szCs w:val="24"/>
              </w:rPr>
              <w:instrText xml:space="preserve"> PAGEREF _Toc132761856 \h </w:instrText>
            </w:r>
            <w:r w:rsidR="00D73DD9" w:rsidRPr="003C6DBD">
              <w:rPr>
                <w:rFonts w:ascii="Times New Roman" w:hAnsi="Times New Roman" w:cs="Times New Roman"/>
                <w:noProof/>
                <w:webHidden/>
                <w:color w:val="0D0D0D" w:themeColor="text1" w:themeTint="F2"/>
                <w:sz w:val="24"/>
                <w:szCs w:val="24"/>
              </w:rPr>
            </w:r>
            <w:r w:rsidR="00D73DD9"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127</w:t>
            </w:r>
            <w:r w:rsidR="00D73DD9" w:rsidRPr="003C6DBD">
              <w:rPr>
                <w:rFonts w:ascii="Times New Roman" w:hAnsi="Times New Roman" w:cs="Times New Roman"/>
                <w:noProof/>
                <w:webHidden/>
                <w:color w:val="0D0D0D" w:themeColor="text1" w:themeTint="F2"/>
                <w:sz w:val="24"/>
                <w:szCs w:val="24"/>
              </w:rPr>
              <w:fldChar w:fldCharType="end"/>
            </w:r>
          </w:hyperlink>
        </w:p>
        <w:p w14:paraId="340D1D61" w14:textId="37F6781E" w:rsidR="0068142C" w:rsidRPr="003C6DBD" w:rsidRDefault="003F6F35" w:rsidP="00D73DD9">
          <w:pPr>
            <w:spacing w:line="480" w:lineRule="auto"/>
            <w:rPr>
              <w:rFonts w:ascii="Times New Roman" w:hAnsi="Times New Roman" w:cs="Times New Roman"/>
              <w:b/>
              <w:bCs/>
              <w:noProof/>
              <w:color w:val="0D0D0D" w:themeColor="text1" w:themeTint="F2"/>
              <w:sz w:val="24"/>
              <w:szCs w:val="24"/>
            </w:rPr>
          </w:pPr>
          <w:r w:rsidRPr="003C6DBD">
            <w:rPr>
              <w:rFonts w:ascii="Times New Roman" w:hAnsi="Times New Roman" w:cs="Times New Roman"/>
              <w:b/>
              <w:bCs/>
              <w:noProof/>
              <w:color w:val="0D0D0D" w:themeColor="text1" w:themeTint="F2"/>
              <w:sz w:val="24"/>
              <w:szCs w:val="24"/>
            </w:rPr>
            <w:fldChar w:fldCharType="end"/>
          </w:r>
        </w:p>
        <w:p w14:paraId="33193C12" w14:textId="77777777" w:rsidR="0068142C" w:rsidRPr="003C6DBD" w:rsidRDefault="0068142C" w:rsidP="0068142C">
          <w:pPr>
            <w:spacing w:line="480" w:lineRule="auto"/>
            <w:rPr>
              <w:rFonts w:ascii="Times New Roman" w:hAnsi="Times New Roman" w:cs="Times New Roman"/>
              <w:b/>
              <w:bCs/>
              <w:noProof/>
              <w:color w:val="0D0D0D" w:themeColor="text1" w:themeTint="F2"/>
              <w:sz w:val="24"/>
              <w:szCs w:val="24"/>
            </w:rPr>
          </w:pPr>
        </w:p>
        <w:p w14:paraId="2CB1A617" w14:textId="762CE34F" w:rsidR="009C5FF7" w:rsidRPr="003C6DBD" w:rsidRDefault="00000000" w:rsidP="0068142C">
          <w:pPr>
            <w:spacing w:line="480" w:lineRule="auto"/>
            <w:rPr>
              <w:rFonts w:ascii="Times New Roman" w:hAnsi="Times New Roman" w:cs="Times New Roman"/>
              <w:color w:val="0D0D0D" w:themeColor="text1" w:themeTint="F2"/>
              <w:sz w:val="24"/>
              <w:szCs w:val="24"/>
            </w:rPr>
          </w:pPr>
        </w:p>
      </w:sdtContent>
    </w:sdt>
    <w:p w14:paraId="74B2FD70" w14:textId="3301B5E7" w:rsidR="009C5FF7" w:rsidRPr="003C6DBD" w:rsidRDefault="009C5FF7" w:rsidP="002A7494">
      <w:pPr>
        <w:pStyle w:val="Heading6"/>
        <w:jc w:val="center"/>
        <w:rPr>
          <w:color w:val="0D0D0D" w:themeColor="text1" w:themeTint="F2"/>
        </w:rPr>
      </w:pPr>
    </w:p>
    <w:p w14:paraId="63AC3768" w14:textId="77777777" w:rsidR="009C5FF7" w:rsidRPr="003C6DBD" w:rsidRDefault="009C5FF7" w:rsidP="009C5FF7">
      <w:pPr>
        <w:rPr>
          <w:rFonts w:ascii="Times New Roman" w:hAnsi="Times New Roman" w:cs="Times New Roman"/>
          <w:color w:val="0D0D0D" w:themeColor="text1" w:themeTint="F2"/>
          <w:sz w:val="24"/>
          <w:szCs w:val="24"/>
        </w:rPr>
      </w:pPr>
    </w:p>
    <w:p w14:paraId="6863E9AE" w14:textId="363D9CBE" w:rsidR="00E87D93" w:rsidRPr="003C6DBD" w:rsidRDefault="003F6F35" w:rsidP="002A7494">
      <w:pPr>
        <w:pStyle w:val="Heading6"/>
        <w:jc w:val="center"/>
        <w:rPr>
          <w:color w:val="0D0D0D" w:themeColor="text1" w:themeTint="F2"/>
        </w:rPr>
      </w:pPr>
      <w:r w:rsidRPr="003C6DBD">
        <w:rPr>
          <w:color w:val="0D0D0D" w:themeColor="text1" w:themeTint="F2"/>
        </w:rPr>
        <w:lastRenderedPageBreak/>
        <w:t>List of Tables</w:t>
      </w:r>
    </w:p>
    <w:p w14:paraId="57404D9E" w14:textId="2C82FED2" w:rsidR="0068142C" w:rsidRPr="003C6DBD" w:rsidRDefault="003F6F35" w:rsidP="0068142C">
      <w:pPr>
        <w:pStyle w:val="TableofFigures"/>
        <w:tabs>
          <w:tab w:val="right" w:leader="dot" w:pos="9350"/>
        </w:tabs>
        <w:spacing w:line="480" w:lineRule="auto"/>
        <w:rPr>
          <w:rFonts w:ascii="Times New Roman" w:eastAsiaTheme="minorEastAsia" w:hAnsi="Times New Roman" w:cs="Times New Roman"/>
          <w:noProof/>
          <w:color w:val="0D0D0D" w:themeColor="text1" w:themeTint="F2"/>
          <w:sz w:val="24"/>
          <w:szCs w:val="24"/>
        </w:rPr>
      </w:pP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TOC \h \z \c "Table" </w:instrText>
      </w:r>
      <w:r w:rsidRPr="003C6DBD">
        <w:rPr>
          <w:rFonts w:ascii="Times New Roman" w:hAnsi="Times New Roman" w:cs="Times New Roman"/>
          <w:color w:val="0D0D0D" w:themeColor="text1" w:themeTint="F2"/>
          <w:sz w:val="24"/>
          <w:szCs w:val="24"/>
        </w:rPr>
        <w:fldChar w:fldCharType="separate"/>
      </w:r>
      <w:hyperlink w:anchor="_Toc132671815" w:history="1">
        <w:r w:rsidR="0068142C" w:rsidRPr="003C6DBD">
          <w:rPr>
            <w:rStyle w:val="Hyperlink"/>
            <w:rFonts w:ascii="Times New Roman" w:hAnsi="Times New Roman" w:cs="Times New Roman"/>
            <w:noProof/>
            <w:color w:val="0D0D0D" w:themeColor="text1" w:themeTint="F2"/>
            <w:sz w:val="24"/>
            <w:szCs w:val="24"/>
          </w:rPr>
          <w:t>Table 1: Elements of the PEST analysis for risks in the biofuel industry</w:t>
        </w:r>
        <w:r w:rsidR="0068142C" w:rsidRPr="003C6DBD">
          <w:rPr>
            <w:rFonts w:ascii="Times New Roman" w:hAnsi="Times New Roman" w:cs="Times New Roman"/>
            <w:noProof/>
            <w:webHidden/>
            <w:color w:val="0D0D0D" w:themeColor="text1" w:themeTint="F2"/>
            <w:sz w:val="24"/>
            <w:szCs w:val="24"/>
          </w:rPr>
          <w:tab/>
        </w:r>
        <w:r w:rsidR="0068142C" w:rsidRPr="003C6DBD">
          <w:rPr>
            <w:rFonts w:ascii="Times New Roman" w:hAnsi="Times New Roman" w:cs="Times New Roman"/>
            <w:noProof/>
            <w:webHidden/>
            <w:color w:val="0D0D0D" w:themeColor="text1" w:themeTint="F2"/>
            <w:sz w:val="24"/>
            <w:szCs w:val="24"/>
          </w:rPr>
          <w:fldChar w:fldCharType="begin"/>
        </w:r>
        <w:r w:rsidR="0068142C" w:rsidRPr="003C6DBD">
          <w:rPr>
            <w:rFonts w:ascii="Times New Roman" w:hAnsi="Times New Roman" w:cs="Times New Roman"/>
            <w:noProof/>
            <w:webHidden/>
            <w:color w:val="0D0D0D" w:themeColor="text1" w:themeTint="F2"/>
            <w:sz w:val="24"/>
            <w:szCs w:val="24"/>
          </w:rPr>
          <w:instrText xml:space="preserve"> PAGEREF _Toc132671815 \h </w:instrText>
        </w:r>
        <w:r w:rsidR="0068142C" w:rsidRPr="003C6DBD">
          <w:rPr>
            <w:rFonts w:ascii="Times New Roman" w:hAnsi="Times New Roman" w:cs="Times New Roman"/>
            <w:noProof/>
            <w:webHidden/>
            <w:color w:val="0D0D0D" w:themeColor="text1" w:themeTint="F2"/>
            <w:sz w:val="24"/>
            <w:szCs w:val="24"/>
          </w:rPr>
        </w:r>
        <w:r w:rsidR="0068142C"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71</w:t>
        </w:r>
        <w:r w:rsidR="0068142C" w:rsidRPr="003C6DBD">
          <w:rPr>
            <w:rFonts w:ascii="Times New Roman" w:hAnsi="Times New Roman" w:cs="Times New Roman"/>
            <w:noProof/>
            <w:webHidden/>
            <w:color w:val="0D0D0D" w:themeColor="text1" w:themeTint="F2"/>
            <w:sz w:val="24"/>
            <w:szCs w:val="24"/>
          </w:rPr>
          <w:fldChar w:fldCharType="end"/>
        </w:r>
      </w:hyperlink>
    </w:p>
    <w:p w14:paraId="58EE9823" w14:textId="0ACDF5AF" w:rsidR="0068142C" w:rsidRPr="003C6DBD" w:rsidRDefault="00000000" w:rsidP="0068142C">
      <w:pPr>
        <w:pStyle w:val="TableofFigures"/>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671816" w:history="1">
        <w:r w:rsidR="0068142C" w:rsidRPr="003C6DBD">
          <w:rPr>
            <w:rStyle w:val="Hyperlink"/>
            <w:rFonts w:ascii="Times New Roman" w:hAnsi="Times New Roman" w:cs="Times New Roman"/>
            <w:noProof/>
            <w:color w:val="0D0D0D" w:themeColor="text1" w:themeTint="F2"/>
            <w:sz w:val="24"/>
            <w:szCs w:val="24"/>
          </w:rPr>
          <w:t>Table 2: Companies involved in biofuel business according to most recent annual and quarterly reports.</w:t>
        </w:r>
        <w:r w:rsidR="0068142C" w:rsidRPr="003C6DBD">
          <w:rPr>
            <w:rFonts w:ascii="Times New Roman" w:hAnsi="Times New Roman" w:cs="Times New Roman"/>
            <w:noProof/>
            <w:webHidden/>
            <w:color w:val="0D0D0D" w:themeColor="text1" w:themeTint="F2"/>
            <w:sz w:val="24"/>
            <w:szCs w:val="24"/>
          </w:rPr>
          <w:tab/>
        </w:r>
        <w:r w:rsidR="0068142C" w:rsidRPr="003C6DBD">
          <w:rPr>
            <w:rFonts w:ascii="Times New Roman" w:hAnsi="Times New Roman" w:cs="Times New Roman"/>
            <w:noProof/>
            <w:webHidden/>
            <w:color w:val="0D0D0D" w:themeColor="text1" w:themeTint="F2"/>
            <w:sz w:val="24"/>
            <w:szCs w:val="24"/>
          </w:rPr>
          <w:fldChar w:fldCharType="begin"/>
        </w:r>
        <w:r w:rsidR="0068142C" w:rsidRPr="003C6DBD">
          <w:rPr>
            <w:rFonts w:ascii="Times New Roman" w:hAnsi="Times New Roman" w:cs="Times New Roman"/>
            <w:noProof/>
            <w:webHidden/>
            <w:color w:val="0D0D0D" w:themeColor="text1" w:themeTint="F2"/>
            <w:sz w:val="24"/>
            <w:szCs w:val="24"/>
          </w:rPr>
          <w:instrText xml:space="preserve"> PAGEREF _Toc132671816 \h </w:instrText>
        </w:r>
        <w:r w:rsidR="0068142C" w:rsidRPr="003C6DBD">
          <w:rPr>
            <w:rFonts w:ascii="Times New Roman" w:hAnsi="Times New Roman" w:cs="Times New Roman"/>
            <w:noProof/>
            <w:webHidden/>
            <w:color w:val="0D0D0D" w:themeColor="text1" w:themeTint="F2"/>
            <w:sz w:val="24"/>
            <w:szCs w:val="24"/>
          </w:rPr>
        </w:r>
        <w:r w:rsidR="0068142C"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72</w:t>
        </w:r>
        <w:r w:rsidR="0068142C" w:rsidRPr="003C6DBD">
          <w:rPr>
            <w:rFonts w:ascii="Times New Roman" w:hAnsi="Times New Roman" w:cs="Times New Roman"/>
            <w:noProof/>
            <w:webHidden/>
            <w:color w:val="0D0D0D" w:themeColor="text1" w:themeTint="F2"/>
            <w:sz w:val="24"/>
            <w:szCs w:val="24"/>
          </w:rPr>
          <w:fldChar w:fldCharType="end"/>
        </w:r>
      </w:hyperlink>
    </w:p>
    <w:p w14:paraId="544F6C93" w14:textId="64CDC5DF" w:rsidR="0068142C" w:rsidRPr="003C6DBD" w:rsidRDefault="00000000" w:rsidP="0068142C">
      <w:pPr>
        <w:pStyle w:val="TableofFigures"/>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671817" w:history="1">
        <w:r w:rsidR="0068142C" w:rsidRPr="003C6DBD">
          <w:rPr>
            <w:rStyle w:val="Hyperlink"/>
            <w:rFonts w:ascii="Times New Roman" w:hAnsi="Times New Roman" w:cs="Times New Roman"/>
            <w:noProof/>
            <w:color w:val="0D0D0D" w:themeColor="text1" w:themeTint="F2"/>
            <w:sz w:val="24"/>
            <w:szCs w:val="24"/>
          </w:rPr>
          <w:t>Table 3: Biofuel companies identified from google search and journal articles.</w:t>
        </w:r>
        <w:r w:rsidR="0068142C" w:rsidRPr="003C6DBD">
          <w:rPr>
            <w:rFonts w:ascii="Times New Roman" w:hAnsi="Times New Roman" w:cs="Times New Roman"/>
            <w:noProof/>
            <w:webHidden/>
            <w:color w:val="0D0D0D" w:themeColor="text1" w:themeTint="F2"/>
            <w:sz w:val="24"/>
            <w:szCs w:val="24"/>
          </w:rPr>
          <w:tab/>
        </w:r>
        <w:r w:rsidR="0068142C" w:rsidRPr="003C6DBD">
          <w:rPr>
            <w:rFonts w:ascii="Times New Roman" w:hAnsi="Times New Roman" w:cs="Times New Roman"/>
            <w:noProof/>
            <w:webHidden/>
            <w:color w:val="0D0D0D" w:themeColor="text1" w:themeTint="F2"/>
            <w:sz w:val="24"/>
            <w:szCs w:val="24"/>
          </w:rPr>
          <w:fldChar w:fldCharType="begin"/>
        </w:r>
        <w:r w:rsidR="0068142C" w:rsidRPr="003C6DBD">
          <w:rPr>
            <w:rFonts w:ascii="Times New Roman" w:hAnsi="Times New Roman" w:cs="Times New Roman"/>
            <w:noProof/>
            <w:webHidden/>
            <w:color w:val="0D0D0D" w:themeColor="text1" w:themeTint="F2"/>
            <w:sz w:val="24"/>
            <w:szCs w:val="24"/>
          </w:rPr>
          <w:instrText xml:space="preserve"> PAGEREF _Toc132671817 \h </w:instrText>
        </w:r>
        <w:r w:rsidR="0068142C" w:rsidRPr="003C6DBD">
          <w:rPr>
            <w:rFonts w:ascii="Times New Roman" w:hAnsi="Times New Roman" w:cs="Times New Roman"/>
            <w:noProof/>
            <w:webHidden/>
            <w:color w:val="0D0D0D" w:themeColor="text1" w:themeTint="F2"/>
            <w:sz w:val="24"/>
            <w:szCs w:val="24"/>
          </w:rPr>
        </w:r>
        <w:r w:rsidR="0068142C"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73</w:t>
        </w:r>
        <w:r w:rsidR="0068142C" w:rsidRPr="003C6DBD">
          <w:rPr>
            <w:rFonts w:ascii="Times New Roman" w:hAnsi="Times New Roman" w:cs="Times New Roman"/>
            <w:noProof/>
            <w:webHidden/>
            <w:color w:val="0D0D0D" w:themeColor="text1" w:themeTint="F2"/>
            <w:sz w:val="24"/>
            <w:szCs w:val="24"/>
          </w:rPr>
          <w:fldChar w:fldCharType="end"/>
        </w:r>
      </w:hyperlink>
    </w:p>
    <w:p w14:paraId="060538E5" w14:textId="3C27A8B6" w:rsidR="0068142C" w:rsidRPr="003C6DBD" w:rsidRDefault="00000000" w:rsidP="0068142C">
      <w:pPr>
        <w:pStyle w:val="TableofFigures"/>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671818" w:history="1">
        <w:r w:rsidR="0068142C" w:rsidRPr="003C6DBD">
          <w:rPr>
            <w:rStyle w:val="Hyperlink"/>
            <w:rFonts w:ascii="Times New Roman" w:hAnsi="Times New Roman" w:cs="Times New Roman"/>
            <w:noProof/>
            <w:color w:val="0D0D0D" w:themeColor="text1" w:themeTint="F2"/>
            <w:sz w:val="24"/>
            <w:szCs w:val="24"/>
          </w:rPr>
          <w:t>Table 4: Biofuel companies identified from S&amp;P quick comparable instrument.</w:t>
        </w:r>
        <w:r w:rsidR="0068142C" w:rsidRPr="003C6DBD">
          <w:rPr>
            <w:rFonts w:ascii="Times New Roman" w:hAnsi="Times New Roman" w:cs="Times New Roman"/>
            <w:noProof/>
            <w:webHidden/>
            <w:color w:val="0D0D0D" w:themeColor="text1" w:themeTint="F2"/>
            <w:sz w:val="24"/>
            <w:szCs w:val="24"/>
          </w:rPr>
          <w:tab/>
        </w:r>
        <w:r w:rsidR="0068142C" w:rsidRPr="003C6DBD">
          <w:rPr>
            <w:rFonts w:ascii="Times New Roman" w:hAnsi="Times New Roman" w:cs="Times New Roman"/>
            <w:noProof/>
            <w:webHidden/>
            <w:color w:val="0D0D0D" w:themeColor="text1" w:themeTint="F2"/>
            <w:sz w:val="24"/>
            <w:szCs w:val="24"/>
          </w:rPr>
          <w:fldChar w:fldCharType="begin"/>
        </w:r>
        <w:r w:rsidR="0068142C" w:rsidRPr="003C6DBD">
          <w:rPr>
            <w:rFonts w:ascii="Times New Roman" w:hAnsi="Times New Roman" w:cs="Times New Roman"/>
            <w:noProof/>
            <w:webHidden/>
            <w:color w:val="0D0D0D" w:themeColor="text1" w:themeTint="F2"/>
            <w:sz w:val="24"/>
            <w:szCs w:val="24"/>
          </w:rPr>
          <w:instrText xml:space="preserve"> PAGEREF _Toc132671818 \h </w:instrText>
        </w:r>
        <w:r w:rsidR="0068142C" w:rsidRPr="003C6DBD">
          <w:rPr>
            <w:rFonts w:ascii="Times New Roman" w:hAnsi="Times New Roman" w:cs="Times New Roman"/>
            <w:noProof/>
            <w:webHidden/>
            <w:color w:val="0D0D0D" w:themeColor="text1" w:themeTint="F2"/>
            <w:sz w:val="24"/>
            <w:szCs w:val="24"/>
          </w:rPr>
        </w:r>
        <w:r w:rsidR="0068142C"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74</w:t>
        </w:r>
        <w:r w:rsidR="0068142C" w:rsidRPr="003C6DBD">
          <w:rPr>
            <w:rFonts w:ascii="Times New Roman" w:hAnsi="Times New Roman" w:cs="Times New Roman"/>
            <w:noProof/>
            <w:webHidden/>
            <w:color w:val="0D0D0D" w:themeColor="text1" w:themeTint="F2"/>
            <w:sz w:val="24"/>
            <w:szCs w:val="24"/>
          </w:rPr>
          <w:fldChar w:fldCharType="end"/>
        </w:r>
      </w:hyperlink>
    </w:p>
    <w:p w14:paraId="1164557A" w14:textId="660F6824" w:rsidR="0068142C" w:rsidRPr="003C6DBD" w:rsidRDefault="00000000" w:rsidP="0068142C">
      <w:pPr>
        <w:pStyle w:val="TableofFigures"/>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671819" w:history="1">
        <w:r w:rsidR="0068142C" w:rsidRPr="003C6DBD">
          <w:rPr>
            <w:rStyle w:val="Hyperlink"/>
            <w:rFonts w:ascii="Times New Roman" w:hAnsi="Times New Roman" w:cs="Times New Roman"/>
            <w:noProof/>
            <w:color w:val="0D0D0D" w:themeColor="text1" w:themeTint="F2"/>
            <w:sz w:val="24"/>
            <w:szCs w:val="24"/>
          </w:rPr>
          <w:t xml:space="preserve">Table 5: Final </w:t>
        </w:r>
        <w:r w:rsidR="003D52F8" w:rsidRPr="003C6DBD">
          <w:rPr>
            <w:rStyle w:val="Hyperlink"/>
            <w:rFonts w:ascii="Times New Roman" w:hAnsi="Times New Roman" w:cs="Times New Roman"/>
            <w:noProof/>
            <w:color w:val="0D0D0D" w:themeColor="text1" w:themeTint="F2"/>
            <w:sz w:val="24"/>
            <w:szCs w:val="24"/>
          </w:rPr>
          <w:t xml:space="preserve">sample </w:t>
        </w:r>
        <w:r w:rsidR="0068142C" w:rsidRPr="003C6DBD">
          <w:rPr>
            <w:rStyle w:val="Hyperlink"/>
            <w:rFonts w:ascii="Times New Roman" w:hAnsi="Times New Roman" w:cs="Times New Roman"/>
            <w:noProof/>
            <w:color w:val="0D0D0D" w:themeColor="text1" w:themeTint="F2"/>
            <w:sz w:val="24"/>
            <w:szCs w:val="24"/>
          </w:rPr>
          <w:t>of biofuel companies</w:t>
        </w:r>
        <w:r w:rsidR="0068142C" w:rsidRPr="003C6DBD">
          <w:rPr>
            <w:rFonts w:ascii="Times New Roman" w:hAnsi="Times New Roman" w:cs="Times New Roman"/>
            <w:noProof/>
            <w:webHidden/>
            <w:color w:val="0D0D0D" w:themeColor="text1" w:themeTint="F2"/>
            <w:sz w:val="24"/>
            <w:szCs w:val="24"/>
          </w:rPr>
          <w:tab/>
        </w:r>
        <w:r w:rsidR="0068142C" w:rsidRPr="003C6DBD">
          <w:rPr>
            <w:rFonts w:ascii="Times New Roman" w:hAnsi="Times New Roman" w:cs="Times New Roman"/>
            <w:noProof/>
            <w:webHidden/>
            <w:color w:val="0D0D0D" w:themeColor="text1" w:themeTint="F2"/>
            <w:sz w:val="24"/>
            <w:szCs w:val="24"/>
          </w:rPr>
          <w:fldChar w:fldCharType="begin"/>
        </w:r>
        <w:r w:rsidR="0068142C" w:rsidRPr="003C6DBD">
          <w:rPr>
            <w:rFonts w:ascii="Times New Roman" w:hAnsi="Times New Roman" w:cs="Times New Roman"/>
            <w:noProof/>
            <w:webHidden/>
            <w:color w:val="0D0D0D" w:themeColor="text1" w:themeTint="F2"/>
            <w:sz w:val="24"/>
            <w:szCs w:val="24"/>
          </w:rPr>
          <w:instrText xml:space="preserve"> PAGEREF _Toc132671819 \h </w:instrText>
        </w:r>
        <w:r w:rsidR="0068142C" w:rsidRPr="003C6DBD">
          <w:rPr>
            <w:rFonts w:ascii="Times New Roman" w:hAnsi="Times New Roman" w:cs="Times New Roman"/>
            <w:noProof/>
            <w:webHidden/>
            <w:color w:val="0D0D0D" w:themeColor="text1" w:themeTint="F2"/>
            <w:sz w:val="24"/>
            <w:szCs w:val="24"/>
          </w:rPr>
        </w:r>
        <w:r w:rsidR="0068142C"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75</w:t>
        </w:r>
        <w:r w:rsidR="0068142C" w:rsidRPr="003C6DBD">
          <w:rPr>
            <w:rFonts w:ascii="Times New Roman" w:hAnsi="Times New Roman" w:cs="Times New Roman"/>
            <w:noProof/>
            <w:webHidden/>
            <w:color w:val="0D0D0D" w:themeColor="text1" w:themeTint="F2"/>
            <w:sz w:val="24"/>
            <w:szCs w:val="24"/>
          </w:rPr>
          <w:fldChar w:fldCharType="end"/>
        </w:r>
      </w:hyperlink>
    </w:p>
    <w:p w14:paraId="512FEA35" w14:textId="2F53007A" w:rsidR="0068142C" w:rsidRPr="003C6DBD" w:rsidRDefault="00000000" w:rsidP="0068142C">
      <w:pPr>
        <w:pStyle w:val="TableofFigures"/>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671820" w:history="1">
        <w:r w:rsidR="0068142C" w:rsidRPr="003C6DBD">
          <w:rPr>
            <w:rStyle w:val="Hyperlink"/>
            <w:rFonts w:ascii="Times New Roman" w:hAnsi="Times New Roman" w:cs="Times New Roman"/>
            <w:noProof/>
            <w:color w:val="0D0D0D" w:themeColor="text1" w:themeTint="F2"/>
            <w:sz w:val="24"/>
            <w:szCs w:val="24"/>
          </w:rPr>
          <w:t>Table 6: Broad risk categories and specific risks</w:t>
        </w:r>
        <w:r w:rsidR="0068142C" w:rsidRPr="003C6DBD">
          <w:rPr>
            <w:rFonts w:ascii="Times New Roman" w:hAnsi="Times New Roman" w:cs="Times New Roman"/>
            <w:noProof/>
            <w:webHidden/>
            <w:color w:val="0D0D0D" w:themeColor="text1" w:themeTint="F2"/>
            <w:sz w:val="24"/>
            <w:szCs w:val="24"/>
          </w:rPr>
          <w:tab/>
        </w:r>
        <w:r w:rsidR="0068142C" w:rsidRPr="003C6DBD">
          <w:rPr>
            <w:rFonts w:ascii="Times New Roman" w:hAnsi="Times New Roman" w:cs="Times New Roman"/>
            <w:noProof/>
            <w:webHidden/>
            <w:color w:val="0D0D0D" w:themeColor="text1" w:themeTint="F2"/>
            <w:sz w:val="24"/>
            <w:szCs w:val="24"/>
          </w:rPr>
          <w:fldChar w:fldCharType="begin"/>
        </w:r>
        <w:r w:rsidR="0068142C" w:rsidRPr="003C6DBD">
          <w:rPr>
            <w:rFonts w:ascii="Times New Roman" w:hAnsi="Times New Roman" w:cs="Times New Roman"/>
            <w:noProof/>
            <w:webHidden/>
            <w:color w:val="0D0D0D" w:themeColor="text1" w:themeTint="F2"/>
            <w:sz w:val="24"/>
            <w:szCs w:val="24"/>
          </w:rPr>
          <w:instrText xml:space="preserve"> PAGEREF _Toc132671820 \h </w:instrText>
        </w:r>
        <w:r w:rsidR="0068142C" w:rsidRPr="003C6DBD">
          <w:rPr>
            <w:rFonts w:ascii="Times New Roman" w:hAnsi="Times New Roman" w:cs="Times New Roman"/>
            <w:noProof/>
            <w:webHidden/>
            <w:color w:val="0D0D0D" w:themeColor="text1" w:themeTint="F2"/>
            <w:sz w:val="24"/>
            <w:szCs w:val="24"/>
          </w:rPr>
        </w:r>
        <w:r w:rsidR="0068142C"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77</w:t>
        </w:r>
        <w:r w:rsidR="0068142C" w:rsidRPr="003C6DBD">
          <w:rPr>
            <w:rFonts w:ascii="Times New Roman" w:hAnsi="Times New Roman" w:cs="Times New Roman"/>
            <w:noProof/>
            <w:webHidden/>
            <w:color w:val="0D0D0D" w:themeColor="text1" w:themeTint="F2"/>
            <w:sz w:val="24"/>
            <w:szCs w:val="24"/>
          </w:rPr>
          <w:fldChar w:fldCharType="end"/>
        </w:r>
      </w:hyperlink>
    </w:p>
    <w:p w14:paraId="3638D8A2" w14:textId="73C5E97F" w:rsidR="0068142C" w:rsidRPr="003C6DBD" w:rsidRDefault="00000000" w:rsidP="0068142C">
      <w:pPr>
        <w:pStyle w:val="TableofFigures"/>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671821" w:history="1">
        <w:r w:rsidR="0068142C" w:rsidRPr="003C6DBD">
          <w:rPr>
            <w:rStyle w:val="Hyperlink"/>
            <w:rFonts w:ascii="Times New Roman" w:hAnsi="Times New Roman" w:cs="Times New Roman"/>
            <w:noProof/>
            <w:color w:val="0D0D0D" w:themeColor="text1" w:themeTint="F2"/>
            <w:sz w:val="24"/>
            <w:szCs w:val="24"/>
          </w:rPr>
          <w:t>Table 7: Example of assigning and normalizing significance scores for the risks reported by a company.</w:t>
        </w:r>
        <w:r w:rsidR="0068142C" w:rsidRPr="003C6DBD">
          <w:rPr>
            <w:rFonts w:ascii="Times New Roman" w:hAnsi="Times New Roman" w:cs="Times New Roman"/>
            <w:noProof/>
            <w:webHidden/>
            <w:color w:val="0D0D0D" w:themeColor="text1" w:themeTint="F2"/>
            <w:sz w:val="24"/>
            <w:szCs w:val="24"/>
          </w:rPr>
          <w:tab/>
        </w:r>
        <w:r w:rsidR="0068142C" w:rsidRPr="003C6DBD">
          <w:rPr>
            <w:rFonts w:ascii="Times New Roman" w:hAnsi="Times New Roman" w:cs="Times New Roman"/>
            <w:noProof/>
            <w:webHidden/>
            <w:color w:val="0D0D0D" w:themeColor="text1" w:themeTint="F2"/>
            <w:sz w:val="24"/>
            <w:szCs w:val="24"/>
          </w:rPr>
          <w:fldChar w:fldCharType="begin"/>
        </w:r>
        <w:r w:rsidR="0068142C" w:rsidRPr="003C6DBD">
          <w:rPr>
            <w:rFonts w:ascii="Times New Roman" w:hAnsi="Times New Roman" w:cs="Times New Roman"/>
            <w:noProof/>
            <w:webHidden/>
            <w:color w:val="0D0D0D" w:themeColor="text1" w:themeTint="F2"/>
            <w:sz w:val="24"/>
            <w:szCs w:val="24"/>
          </w:rPr>
          <w:instrText xml:space="preserve"> PAGEREF _Toc132671821 \h </w:instrText>
        </w:r>
        <w:r w:rsidR="0068142C" w:rsidRPr="003C6DBD">
          <w:rPr>
            <w:rFonts w:ascii="Times New Roman" w:hAnsi="Times New Roman" w:cs="Times New Roman"/>
            <w:noProof/>
            <w:webHidden/>
            <w:color w:val="0D0D0D" w:themeColor="text1" w:themeTint="F2"/>
            <w:sz w:val="24"/>
            <w:szCs w:val="24"/>
          </w:rPr>
        </w:r>
        <w:r w:rsidR="0068142C"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82</w:t>
        </w:r>
        <w:r w:rsidR="0068142C" w:rsidRPr="003C6DBD">
          <w:rPr>
            <w:rFonts w:ascii="Times New Roman" w:hAnsi="Times New Roman" w:cs="Times New Roman"/>
            <w:noProof/>
            <w:webHidden/>
            <w:color w:val="0D0D0D" w:themeColor="text1" w:themeTint="F2"/>
            <w:sz w:val="24"/>
            <w:szCs w:val="24"/>
          </w:rPr>
          <w:fldChar w:fldCharType="end"/>
        </w:r>
      </w:hyperlink>
    </w:p>
    <w:p w14:paraId="3DDB8F7A" w14:textId="17BF7492" w:rsidR="0068142C" w:rsidRPr="003C6DBD" w:rsidRDefault="00000000" w:rsidP="0068142C">
      <w:pPr>
        <w:pStyle w:val="TableofFigures"/>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671822" w:history="1">
        <w:r w:rsidR="0068142C" w:rsidRPr="003C6DBD">
          <w:rPr>
            <w:rStyle w:val="Hyperlink"/>
            <w:rFonts w:ascii="Times New Roman" w:hAnsi="Times New Roman" w:cs="Times New Roman"/>
            <w:noProof/>
            <w:color w:val="0D0D0D" w:themeColor="text1" w:themeTint="F2"/>
            <w:sz w:val="24"/>
            <w:szCs w:val="24"/>
          </w:rPr>
          <w:t>Table 8: List of firms classified as primary biofuel.</w:t>
        </w:r>
        <w:r w:rsidR="0068142C" w:rsidRPr="003C6DBD">
          <w:rPr>
            <w:rFonts w:ascii="Times New Roman" w:hAnsi="Times New Roman" w:cs="Times New Roman"/>
            <w:noProof/>
            <w:webHidden/>
            <w:color w:val="0D0D0D" w:themeColor="text1" w:themeTint="F2"/>
            <w:sz w:val="24"/>
            <w:szCs w:val="24"/>
          </w:rPr>
          <w:tab/>
        </w:r>
        <w:r w:rsidR="0068142C" w:rsidRPr="003C6DBD">
          <w:rPr>
            <w:rFonts w:ascii="Times New Roman" w:hAnsi="Times New Roman" w:cs="Times New Roman"/>
            <w:noProof/>
            <w:webHidden/>
            <w:color w:val="0D0D0D" w:themeColor="text1" w:themeTint="F2"/>
            <w:sz w:val="24"/>
            <w:szCs w:val="24"/>
          </w:rPr>
          <w:fldChar w:fldCharType="begin"/>
        </w:r>
        <w:r w:rsidR="0068142C" w:rsidRPr="003C6DBD">
          <w:rPr>
            <w:rFonts w:ascii="Times New Roman" w:hAnsi="Times New Roman" w:cs="Times New Roman"/>
            <w:noProof/>
            <w:webHidden/>
            <w:color w:val="0D0D0D" w:themeColor="text1" w:themeTint="F2"/>
            <w:sz w:val="24"/>
            <w:szCs w:val="24"/>
          </w:rPr>
          <w:instrText xml:space="preserve"> PAGEREF _Toc132671822 \h </w:instrText>
        </w:r>
        <w:r w:rsidR="0068142C" w:rsidRPr="003C6DBD">
          <w:rPr>
            <w:rFonts w:ascii="Times New Roman" w:hAnsi="Times New Roman" w:cs="Times New Roman"/>
            <w:noProof/>
            <w:webHidden/>
            <w:color w:val="0D0D0D" w:themeColor="text1" w:themeTint="F2"/>
            <w:sz w:val="24"/>
            <w:szCs w:val="24"/>
          </w:rPr>
        </w:r>
        <w:r w:rsidR="0068142C"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82</w:t>
        </w:r>
        <w:r w:rsidR="0068142C" w:rsidRPr="003C6DBD">
          <w:rPr>
            <w:rFonts w:ascii="Times New Roman" w:hAnsi="Times New Roman" w:cs="Times New Roman"/>
            <w:noProof/>
            <w:webHidden/>
            <w:color w:val="0D0D0D" w:themeColor="text1" w:themeTint="F2"/>
            <w:sz w:val="24"/>
            <w:szCs w:val="24"/>
          </w:rPr>
          <w:fldChar w:fldCharType="end"/>
        </w:r>
      </w:hyperlink>
    </w:p>
    <w:p w14:paraId="2B1BFFE2" w14:textId="18D51848" w:rsidR="0068142C" w:rsidRPr="003C6DBD" w:rsidRDefault="00000000" w:rsidP="0068142C">
      <w:pPr>
        <w:pStyle w:val="TableofFigures"/>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671823" w:history="1">
        <w:r w:rsidR="0068142C" w:rsidRPr="003C6DBD">
          <w:rPr>
            <w:rStyle w:val="Hyperlink"/>
            <w:rFonts w:ascii="Times New Roman" w:hAnsi="Times New Roman" w:cs="Times New Roman"/>
            <w:noProof/>
            <w:color w:val="0D0D0D" w:themeColor="text1" w:themeTint="F2"/>
            <w:sz w:val="24"/>
            <w:szCs w:val="24"/>
          </w:rPr>
          <w:t>Table 9: List of firms classified as secondary biofuel.</w:t>
        </w:r>
        <w:r w:rsidR="0068142C" w:rsidRPr="003C6DBD">
          <w:rPr>
            <w:rFonts w:ascii="Times New Roman" w:hAnsi="Times New Roman" w:cs="Times New Roman"/>
            <w:noProof/>
            <w:webHidden/>
            <w:color w:val="0D0D0D" w:themeColor="text1" w:themeTint="F2"/>
            <w:sz w:val="24"/>
            <w:szCs w:val="24"/>
          </w:rPr>
          <w:tab/>
        </w:r>
        <w:r w:rsidR="0068142C" w:rsidRPr="003C6DBD">
          <w:rPr>
            <w:rFonts w:ascii="Times New Roman" w:hAnsi="Times New Roman" w:cs="Times New Roman"/>
            <w:noProof/>
            <w:webHidden/>
            <w:color w:val="0D0D0D" w:themeColor="text1" w:themeTint="F2"/>
            <w:sz w:val="24"/>
            <w:szCs w:val="24"/>
          </w:rPr>
          <w:fldChar w:fldCharType="begin"/>
        </w:r>
        <w:r w:rsidR="0068142C" w:rsidRPr="003C6DBD">
          <w:rPr>
            <w:rFonts w:ascii="Times New Roman" w:hAnsi="Times New Roman" w:cs="Times New Roman"/>
            <w:noProof/>
            <w:webHidden/>
            <w:color w:val="0D0D0D" w:themeColor="text1" w:themeTint="F2"/>
            <w:sz w:val="24"/>
            <w:szCs w:val="24"/>
          </w:rPr>
          <w:instrText xml:space="preserve"> PAGEREF _Toc132671823 \h </w:instrText>
        </w:r>
        <w:r w:rsidR="0068142C" w:rsidRPr="003C6DBD">
          <w:rPr>
            <w:rFonts w:ascii="Times New Roman" w:hAnsi="Times New Roman" w:cs="Times New Roman"/>
            <w:noProof/>
            <w:webHidden/>
            <w:color w:val="0D0D0D" w:themeColor="text1" w:themeTint="F2"/>
            <w:sz w:val="24"/>
            <w:szCs w:val="24"/>
          </w:rPr>
        </w:r>
        <w:r w:rsidR="0068142C"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83</w:t>
        </w:r>
        <w:r w:rsidR="0068142C" w:rsidRPr="003C6DBD">
          <w:rPr>
            <w:rFonts w:ascii="Times New Roman" w:hAnsi="Times New Roman" w:cs="Times New Roman"/>
            <w:noProof/>
            <w:webHidden/>
            <w:color w:val="0D0D0D" w:themeColor="text1" w:themeTint="F2"/>
            <w:sz w:val="24"/>
            <w:szCs w:val="24"/>
          </w:rPr>
          <w:fldChar w:fldCharType="end"/>
        </w:r>
      </w:hyperlink>
    </w:p>
    <w:p w14:paraId="6C343C4B" w14:textId="08D9412B" w:rsidR="0068142C" w:rsidRPr="003C6DBD" w:rsidRDefault="00000000" w:rsidP="0068142C">
      <w:pPr>
        <w:pStyle w:val="TableofFigures"/>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671824" w:history="1">
        <w:r w:rsidR="0068142C" w:rsidRPr="003C6DBD">
          <w:rPr>
            <w:rStyle w:val="Hyperlink"/>
            <w:rFonts w:ascii="Times New Roman" w:hAnsi="Times New Roman" w:cs="Times New Roman"/>
            <w:noProof/>
            <w:color w:val="0D0D0D" w:themeColor="text1" w:themeTint="F2"/>
            <w:sz w:val="24"/>
            <w:szCs w:val="24"/>
          </w:rPr>
          <w:t>Table 10: Financial ratios and formulas used for calculation.</w:t>
        </w:r>
        <w:r w:rsidR="0068142C" w:rsidRPr="003C6DBD">
          <w:rPr>
            <w:rFonts w:ascii="Times New Roman" w:hAnsi="Times New Roman" w:cs="Times New Roman"/>
            <w:noProof/>
            <w:webHidden/>
            <w:color w:val="0D0D0D" w:themeColor="text1" w:themeTint="F2"/>
            <w:sz w:val="24"/>
            <w:szCs w:val="24"/>
          </w:rPr>
          <w:tab/>
        </w:r>
        <w:r w:rsidR="0068142C" w:rsidRPr="003C6DBD">
          <w:rPr>
            <w:rFonts w:ascii="Times New Roman" w:hAnsi="Times New Roman" w:cs="Times New Roman"/>
            <w:noProof/>
            <w:webHidden/>
            <w:color w:val="0D0D0D" w:themeColor="text1" w:themeTint="F2"/>
            <w:sz w:val="24"/>
            <w:szCs w:val="24"/>
          </w:rPr>
          <w:fldChar w:fldCharType="begin"/>
        </w:r>
        <w:r w:rsidR="0068142C" w:rsidRPr="003C6DBD">
          <w:rPr>
            <w:rFonts w:ascii="Times New Roman" w:hAnsi="Times New Roman" w:cs="Times New Roman"/>
            <w:noProof/>
            <w:webHidden/>
            <w:color w:val="0D0D0D" w:themeColor="text1" w:themeTint="F2"/>
            <w:sz w:val="24"/>
            <w:szCs w:val="24"/>
          </w:rPr>
          <w:instrText xml:space="preserve"> PAGEREF _Toc132671824 \h </w:instrText>
        </w:r>
        <w:r w:rsidR="0068142C" w:rsidRPr="003C6DBD">
          <w:rPr>
            <w:rFonts w:ascii="Times New Roman" w:hAnsi="Times New Roman" w:cs="Times New Roman"/>
            <w:noProof/>
            <w:webHidden/>
            <w:color w:val="0D0D0D" w:themeColor="text1" w:themeTint="F2"/>
            <w:sz w:val="24"/>
            <w:szCs w:val="24"/>
          </w:rPr>
        </w:r>
        <w:r w:rsidR="0068142C"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84</w:t>
        </w:r>
        <w:r w:rsidR="0068142C" w:rsidRPr="003C6DBD">
          <w:rPr>
            <w:rFonts w:ascii="Times New Roman" w:hAnsi="Times New Roman" w:cs="Times New Roman"/>
            <w:noProof/>
            <w:webHidden/>
            <w:color w:val="0D0D0D" w:themeColor="text1" w:themeTint="F2"/>
            <w:sz w:val="24"/>
            <w:szCs w:val="24"/>
          </w:rPr>
          <w:fldChar w:fldCharType="end"/>
        </w:r>
      </w:hyperlink>
    </w:p>
    <w:p w14:paraId="2AF9F61E" w14:textId="7C1117DB" w:rsidR="0068142C" w:rsidRPr="003C6DBD" w:rsidRDefault="00000000" w:rsidP="0068142C">
      <w:pPr>
        <w:pStyle w:val="TableofFigures"/>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671825" w:history="1">
        <w:r w:rsidR="0068142C" w:rsidRPr="003C6DBD">
          <w:rPr>
            <w:rStyle w:val="Hyperlink"/>
            <w:rFonts w:ascii="Times New Roman" w:hAnsi="Times New Roman" w:cs="Times New Roman"/>
            <w:noProof/>
            <w:color w:val="0D0D0D" w:themeColor="text1" w:themeTint="F2"/>
            <w:sz w:val="24"/>
            <w:szCs w:val="24"/>
          </w:rPr>
          <w:t>Table 11: Prevalence and significance measure for risks in year 2021, 2020, 2019, and 2018.</w:t>
        </w:r>
        <w:r w:rsidR="0068142C" w:rsidRPr="003C6DBD">
          <w:rPr>
            <w:rFonts w:ascii="Times New Roman" w:hAnsi="Times New Roman" w:cs="Times New Roman"/>
            <w:noProof/>
            <w:webHidden/>
            <w:color w:val="0D0D0D" w:themeColor="text1" w:themeTint="F2"/>
            <w:sz w:val="24"/>
            <w:szCs w:val="24"/>
          </w:rPr>
          <w:tab/>
        </w:r>
        <w:r w:rsidR="0068142C" w:rsidRPr="003C6DBD">
          <w:rPr>
            <w:rFonts w:ascii="Times New Roman" w:hAnsi="Times New Roman" w:cs="Times New Roman"/>
            <w:noProof/>
            <w:webHidden/>
            <w:color w:val="0D0D0D" w:themeColor="text1" w:themeTint="F2"/>
            <w:sz w:val="24"/>
            <w:szCs w:val="24"/>
          </w:rPr>
          <w:fldChar w:fldCharType="begin"/>
        </w:r>
        <w:r w:rsidR="0068142C" w:rsidRPr="003C6DBD">
          <w:rPr>
            <w:rFonts w:ascii="Times New Roman" w:hAnsi="Times New Roman" w:cs="Times New Roman"/>
            <w:noProof/>
            <w:webHidden/>
            <w:color w:val="0D0D0D" w:themeColor="text1" w:themeTint="F2"/>
            <w:sz w:val="24"/>
            <w:szCs w:val="24"/>
          </w:rPr>
          <w:instrText xml:space="preserve"> PAGEREF _Toc132671825 \h </w:instrText>
        </w:r>
        <w:r w:rsidR="0068142C" w:rsidRPr="003C6DBD">
          <w:rPr>
            <w:rFonts w:ascii="Times New Roman" w:hAnsi="Times New Roman" w:cs="Times New Roman"/>
            <w:noProof/>
            <w:webHidden/>
            <w:color w:val="0D0D0D" w:themeColor="text1" w:themeTint="F2"/>
            <w:sz w:val="24"/>
            <w:szCs w:val="24"/>
          </w:rPr>
        </w:r>
        <w:r w:rsidR="0068142C"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86</w:t>
        </w:r>
        <w:r w:rsidR="0068142C" w:rsidRPr="003C6DBD">
          <w:rPr>
            <w:rFonts w:ascii="Times New Roman" w:hAnsi="Times New Roman" w:cs="Times New Roman"/>
            <w:noProof/>
            <w:webHidden/>
            <w:color w:val="0D0D0D" w:themeColor="text1" w:themeTint="F2"/>
            <w:sz w:val="24"/>
            <w:szCs w:val="24"/>
          </w:rPr>
          <w:fldChar w:fldCharType="end"/>
        </w:r>
      </w:hyperlink>
    </w:p>
    <w:p w14:paraId="5263B3E4" w14:textId="55D26081" w:rsidR="0068142C" w:rsidRPr="003C6DBD" w:rsidRDefault="00000000" w:rsidP="0068142C">
      <w:pPr>
        <w:pStyle w:val="TableofFigures"/>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671826" w:history="1">
        <w:r w:rsidR="0068142C" w:rsidRPr="003C6DBD">
          <w:rPr>
            <w:rStyle w:val="Hyperlink"/>
            <w:rFonts w:ascii="Times New Roman" w:hAnsi="Times New Roman" w:cs="Times New Roman"/>
            <w:noProof/>
            <w:color w:val="0D0D0D" w:themeColor="text1" w:themeTint="F2"/>
            <w:sz w:val="24"/>
            <w:szCs w:val="24"/>
          </w:rPr>
          <w:t>Table 12: Prevalence and significance scores of specific risks.</w:t>
        </w:r>
        <w:r w:rsidR="0068142C" w:rsidRPr="003C6DBD">
          <w:rPr>
            <w:rFonts w:ascii="Times New Roman" w:hAnsi="Times New Roman" w:cs="Times New Roman"/>
            <w:noProof/>
            <w:webHidden/>
            <w:color w:val="0D0D0D" w:themeColor="text1" w:themeTint="F2"/>
            <w:sz w:val="24"/>
            <w:szCs w:val="24"/>
          </w:rPr>
          <w:tab/>
        </w:r>
        <w:r w:rsidR="0068142C" w:rsidRPr="003C6DBD">
          <w:rPr>
            <w:rFonts w:ascii="Times New Roman" w:hAnsi="Times New Roman" w:cs="Times New Roman"/>
            <w:noProof/>
            <w:webHidden/>
            <w:color w:val="0D0D0D" w:themeColor="text1" w:themeTint="F2"/>
            <w:sz w:val="24"/>
            <w:szCs w:val="24"/>
          </w:rPr>
          <w:fldChar w:fldCharType="begin"/>
        </w:r>
        <w:r w:rsidR="0068142C" w:rsidRPr="003C6DBD">
          <w:rPr>
            <w:rFonts w:ascii="Times New Roman" w:hAnsi="Times New Roman" w:cs="Times New Roman"/>
            <w:noProof/>
            <w:webHidden/>
            <w:color w:val="0D0D0D" w:themeColor="text1" w:themeTint="F2"/>
            <w:sz w:val="24"/>
            <w:szCs w:val="24"/>
          </w:rPr>
          <w:instrText xml:space="preserve"> PAGEREF _Toc132671826 \h </w:instrText>
        </w:r>
        <w:r w:rsidR="0068142C" w:rsidRPr="003C6DBD">
          <w:rPr>
            <w:rFonts w:ascii="Times New Roman" w:hAnsi="Times New Roman" w:cs="Times New Roman"/>
            <w:noProof/>
            <w:webHidden/>
            <w:color w:val="0D0D0D" w:themeColor="text1" w:themeTint="F2"/>
            <w:sz w:val="24"/>
            <w:szCs w:val="24"/>
          </w:rPr>
        </w:r>
        <w:r w:rsidR="0068142C"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87</w:t>
        </w:r>
        <w:r w:rsidR="0068142C" w:rsidRPr="003C6DBD">
          <w:rPr>
            <w:rFonts w:ascii="Times New Roman" w:hAnsi="Times New Roman" w:cs="Times New Roman"/>
            <w:noProof/>
            <w:webHidden/>
            <w:color w:val="0D0D0D" w:themeColor="text1" w:themeTint="F2"/>
            <w:sz w:val="24"/>
            <w:szCs w:val="24"/>
          </w:rPr>
          <w:fldChar w:fldCharType="end"/>
        </w:r>
      </w:hyperlink>
    </w:p>
    <w:p w14:paraId="55F9073F" w14:textId="1E77F27B" w:rsidR="0068142C" w:rsidRPr="003C6DBD" w:rsidRDefault="00000000" w:rsidP="0068142C">
      <w:pPr>
        <w:pStyle w:val="TableofFigures"/>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671827" w:history="1">
        <w:r w:rsidR="0068142C" w:rsidRPr="003C6DBD">
          <w:rPr>
            <w:rStyle w:val="Hyperlink"/>
            <w:rFonts w:ascii="Times New Roman" w:hAnsi="Times New Roman" w:cs="Times New Roman"/>
            <w:noProof/>
            <w:color w:val="0D0D0D" w:themeColor="text1" w:themeTint="F2"/>
            <w:sz w:val="24"/>
            <w:szCs w:val="24"/>
          </w:rPr>
          <w:t>Table 13: Prevalent and significant risks for all companies.</w:t>
        </w:r>
        <w:r w:rsidR="0068142C" w:rsidRPr="003C6DBD">
          <w:rPr>
            <w:rFonts w:ascii="Times New Roman" w:hAnsi="Times New Roman" w:cs="Times New Roman"/>
            <w:noProof/>
            <w:webHidden/>
            <w:color w:val="0D0D0D" w:themeColor="text1" w:themeTint="F2"/>
            <w:sz w:val="24"/>
            <w:szCs w:val="24"/>
          </w:rPr>
          <w:tab/>
        </w:r>
        <w:r w:rsidR="0068142C" w:rsidRPr="003C6DBD">
          <w:rPr>
            <w:rFonts w:ascii="Times New Roman" w:hAnsi="Times New Roman" w:cs="Times New Roman"/>
            <w:noProof/>
            <w:webHidden/>
            <w:color w:val="0D0D0D" w:themeColor="text1" w:themeTint="F2"/>
            <w:sz w:val="24"/>
            <w:szCs w:val="24"/>
          </w:rPr>
          <w:fldChar w:fldCharType="begin"/>
        </w:r>
        <w:r w:rsidR="0068142C" w:rsidRPr="003C6DBD">
          <w:rPr>
            <w:rFonts w:ascii="Times New Roman" w:hAnsi="Times New Roman" w:cs="Times New Roman"/>
            <w:noProof/>
            <w:webHidden/>
            <w:color w:val="0D0D0D" w:themeColor="text1" w:themeTint="F2"/>
            <w:sz w:val="24"/>
            <w:szCs w:val="24"/>
          </w:rPr>
          <w:instrText xml:space="preserve"> PAGEREF _Toc132671827 \h </w:instrText>
        </w:r>
        <w:r w:rsidR="0068142C" w:rsidRPr="003C6DBD">
          <w:rPr>
            <w:rFonts w:ascii="Times New Roman" w:hAnsi="Times New Roman" w:cs="Times New Roman"/>
            <w:noProof/>
            <w:webHidden/>
            <w:color w:val="0D0D0D" w:themeColor="text1" w:themeTint="F2"/>
            <w:sz w:val="24"/>
            <w:szCs w:val="24"/>
          </w:rPr>
        </w:r>
        <w:r w:rsidR="0068142C"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97</w:t>
        </w:r>
        <w:r w:rsidR="0068142C" w:rsidRPr="003C6DBD">
          <w:rPr>
            <w:rFonts w:ascii="Times New Roman" w:hAnsi="Times New Roman" w:cs="Times New Roman"/>
            <w:noProof/>
            <w:webHidden/>
            <w:color w:val="0D0D0D" w:themeColor="text1" w:themeTint="F2"/>
            <w:sz w:val="24"/>
            <w:szCs w:val="24"/>
          </w:rPr>
          <w:fldChar w:fldCharType="end"/>
        </w:r>
      </w:hyperlink>
    </w:p>
    <w:p w14:paraId="4D97D86C" w14:textId="3B6D98C5" w:rsidR="0068142C" w:rsidRPr="003C6DBD" w:rsidRDefault="00000000" w:rsidP="0068142C">
      <w:pPr>
        <w:pStyle w:val="TableofFigures"/>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671828" w:history="1">
        <w:r w:rsidR="0068142C" w:rsidRPr="003C6DBD">
          <w:rPr>
            <w:rStyle w:val="Hyperlink"/>
            <w:rFonts w:ascii="Times New Roman" w:hAnsi="Times New Roman" w:cs="Times New Roman"/>
            <w:noProof/>
            <w:color w:val="0D0D0D" w:themeColor="text1" w:themeTint="F2"/>
            <w:sz w:val="24"/>
            <w:szCs w:val="24"/>
          </w:rPr>
          <w:t>Table 14: Prevalent and significant risks for primary biofuel (PB) companies.</w:t>
        </w:r>
        <w:r w:rsidR="0068142C" w:rsidRPr="003C6DBD">
          <w:rPr>
            <w:rFonts w:ascii="Times New Roman" w:hAnsi="Times New Roman" w:cs="Times New Roman"/>
            <w:noProof/>
            <w:webHidden/>
            <w:color w:val="0D0D0D" w:themeColor="text1" w:themeTint="F2"/>
            <w:sz w:val="24"/>
            <w:szCs w:val="24"/>
          </w:rPr>
          <w:tab/>
        </w:r>
        <w:r w:rsidR="0068142C" w:rsidRPr="003C6DBD">
          <w:rPr>
            <w:rFonts w:ascii="Times New Roman" w:hAnsi="Times New Roman" w:cs="Times New Roman"/>
            <w:noProof/>
            <w:webHidden/>
            <w:color w:val="0D0D0D" w:themeColor="text1" w:themeTint="F2"/>
            <w:sz w:val="24"/>
            <w:szCs w:val="24"/>
          </w:rPr>
          <w:fldChar w:fldCharType="begin"/>
        </w:r>
        <w:r w:rsidR="0068142C" w:rsidRPr="003C6DBD">
          <w:rPr>
            <w:rFonts w:ascii="Times New Roman" w:hAnsi="Times New Roman" w:cs="Times New Roman"/>
            <w:noProof/>
            <w:webHidden/>
            <w:color w:val="0D0D0D" w:themeColor="text1" w:themeTint="F2"/>
            <w:sz w:val="24"/>
            <w:szCs w:val="24"/>
          </w:rPr>
          <w:instrText xml:space="preserve"> PAGEREF _Toc132671828 \h </w:instrText>
        </w:r>
        <w:r w:rsidR="0068142C" w:rsidRPr="003C6DBD">
          <w:rPr>
            <w:rFonts w:ascii="Times New Roman" w:hAnsi="Times New Roman" w:cs="Times New Roman"/>
            <w:noProof/>
            <w:webHidden/>
            <w:color w:val="0D0D0D" w:themeColor="text1" w:themeTint="F2"/>
            <w:sz w:val="24"/>
            <w:szCs w:val="24"/>
          </w:rPr>
        </w:r>
        <w:r w:rsidR="0068142C"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110</w:t>
        </w:r>
        <w:r w:rsidR="0068142C" w:rsidRPr="003C6DBD">
          <w:rPr>
            <w:rFonts w:ascii="Times New Roman" w:hAnsi="Times New Roman" w:cs="Times New Roman"/>
            <w:noProof/>
            <w:webHidden/>
            <w:color w:val="0D0D0D" w:themeColor="text1" w:themeTint="F2"/>
            <w:sz w:val="24"/>
            <w:szCs w:val="24"/>
          </w:rPr>
          <w:fldChar w:fldCharType="end"/>
        </w:r>
      </w:hyperlink>
    </w:p>
    <w:p w14:paraId="55568D96" w14:textId="5DCBFC8A" w:rsidR="0068142C" w:rsidRPr="003C6DBD" w:rsidRDefault="00000000" w:rsidP="0068142C">
      <w:pPr>
        <w:pStyle w:val="TableofFigures"/>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671829" w:history="1">
        <w:r w:rsidR="0068142C" w:rsidRPr="003C6DBD">
          <w:rPr>
            <w:rStyle w:val="Hyperlink"/>
            <w:rFonts w:ascii="Times New Roman" w:hAnsi="Times New Roman" w:cs="Times New Roman"/>
            <w:noProof/>
            <w:color w:val="0D0D0D" w:themeColor="text1" w:themeTint="F2"/>
            <w:sz w:val="24"/>
            <w:szCs w:val="24"/>
          </w:rPr>
          <w:t>Table 15: Prevalent and significant risks for secondary biofuel (SB) companies.</w:t>
        </w:r>
        <w:r w:rsidR="0068142C" w:rsidRPr="003C6DBD">
          <w:rPr>
            <w:rFonts w:ascii="Times New Roman" w:hAnsi="Times New Roman" w:cs="Times New Roman"/>
            <w:noProof/>
            <w:webHidden/>
            <w:color w:val="0D0D0D" w:themeColor="text1" w:themeTint="F2"/>
            <w:sz w:val="24"/>
            <w:szCs w:val="24"/>
          </w:rPr>
          <w:tab/>
        </w:r>
        <w:r w:rsidR="0068142C" w:rsidRPr="003C6DBD">
          <w:rPr>
            <w:rFonts w:ascii="Times New Roman" w:hAnsi="Times New Roman" w:cs="Times New Roman"/>
            <w:noProof/>
            <w:webHidden/>
            <w:color w:val="0D0D0D" w:themeColor="text1" w:themeTint="F2"/>
            <w:sz w:val="24"/>
            <w:szCs w:val="24"/>
          </w:rPr>
          <w:fldChar w:fldCharType="begin"/>
        </w:r>
        <w:r w:rsidR="0068142C" w:rsidRPr="003C6DBD">
          <w:rPr>
            <w:rFonts w:ascii="Times New Roman" w:hAnsi="Times New Roman" w:cs="Times New Roman"/>
            <w:noProof/>
            <w:webHidden/>
            <w:color w:val="0D0D0D" w:themeColor="text1" w:themeTint="F2"/>
            <w:sz w:val="24"/>
            <w:szCs w:val="24"/>
          </w:rPr>
          <w:instrText xml:space="preserve"> PAGEREF _Toc132671829 \h </w:instrText>
        </w:r>
        <w:r w:rsidR="0068142C" w:rsidRPr="003C6DBD">
          <w:rPr>
            <w:rFonts w:ascii="Times New Roman" w:hAnsi="Times New Roman" w:cs="Times New Roman"/>
            <w:noProof/>
            <w:webHidden/>
            <w:color w:val="0D0D0D" w:themeColor="text1" w:themeTint="F2"/>
            <w:sz w:val="24"/>
            <w:szCs w:val="24"/>
          </w:rPr>
        </w:r>
        <w:r w:rsidR="0068142C"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111</w:t>
        </w:r>
        <w:r w:rsidR="0068142C" w:rsidRPr="003C6DBD">
          <w:rPr>
            <w:rFonts w:ascii="Times New Roman" w:hAnsi="Times New Roman" w:cs="Times New Roman"/>
            <w:noProof/>
            <w:webHidden/>
            <w:color w:val="0D0D0D" w:themeColor="text1" w:themeTint="F2"/>
            <w:sz w:val="24"/>
            <w:szCs w:val="24"/>
          </w:rPr>
          <w:fldChar w:fldCharType="end"/>
        </w:r>
      </w:hyperlink>
    </w:p>
    <w:p w14:paraId="748291F9" w14:textId="5C80BE22" w:rsidR="0068142C" w:rsidRPr="003C6DBD" w:rsidRDefault="00000000" w:rsidP="0068142C">
      <w:pPr>
        <w:pStyle w:val="TableofFigures"/>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671830" w:history="1">
        <w:r w:rsidR="0068142C" w:rsidRPr="003C6DBD">
          <w:rPr>
            <w:rStyle w:val="Hyperlink"/>
            <w:rFonts w:ascii="Times New Roman" w:hAnsi="Times New Roman" w:cs="Times New Roman"/>
            <w:noProof/>
            <w:color w:val="0D0D0D" w:themeColor="text1" w:themeTint="F2"/>
            <w:sz w:val="24"/>
            <w:szCs w:val="24"/>
          </w:rPr>
          <w:t>Table 16: Median values of the financial ratios from 2018 to 2021.</w:t>
        </w:r>
        <w:r w:rsidR="0068142C" w:rsidRPr="003C6DBD">
          <w:rPr>
            <w:rFonts w:ascii="Times New Roman" w:hAnsi="Times New Roman" w:cs="Times New Roman"/>
            <w:noProof/>
            <w:webHidden/>
            <w:color w:val="0D0D0D" w:themeColor="text1" w:themeTint="F2"/>
            <w:sz w:val="24"/>
            <w:szCs w:val="24"/>
          </w:rPr>
          <w:tab/>
        </w:r>
        <w:r w:rsidR="0068142C" w:rsidRPr="003C6DBD">
          <w:rPr>
            <w:rFonts w:ascii="Times New Roman" w:hAnsi="Times New Roman" w:cs="Times New Roman"/>
            <w:noProof/>
            <w:webHidden/>
            <w:color w:val="0D0D0D" w:themeColor="text1" w:themeTint="F2"/>
            <w:sz w:val="24"/>
            <w:szCs w:val="24"/>
          </w:rPr>
          <w:fldChar w:fldCharType="begin"/>
        </w:r>
        <w:r w:rsidR="0068142C" w:rsidRPr="003C6DBD">
          <w:rPr>
            <w:rFonts w:ascii="Times New Roman" w:hAnsi="Times New Roman" w:cs="Times New Roman"/>
            <w:noProof/>
            <w:webHidden/>
            <w:color w:val="0D0D0D" w:themeColor="text1" w:themeTint="F2"/>
            <w:sz w:val="24"/>
            <w:szCs w:val="24"/>
          </w:rPr>
          <w:instrText xml:space="preserve"> PAGEREF _Toc132671830 \h </w:instrText>
        </w:r>
        <w:r w:rsidR="0068142C" w:rsidRPr="003C6DBD">
          <w:rPr>
            <w:rFonts w:ascii="Times New Roman" w:hAnsi="Times New Roman" w:cs="Times New Roman"/>
            <w:noProof/>
            <w:webHidden/>
            <w:color w:val="0D0D0D" w:themeColor="text1" w:themeTint="F2"/>
            <w:sz w:val="24"/>
            <w:szCs w:val="24"/>
          </w:rPr>
        </w:r>
        <w:r w:rsidR="0068142C"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116</w:t>
        </w:r>
        <w:r w:rsidR="0068142C" w:rsidRPr="003C6DBD">
          <w:rPr>
            <w:rFonts w:ascii="Times New Roman" w:hAnsi="Times New Roman" w:cs="Times New Roman"/>
            <w:noProof/>
            <w:webHidden/>
            <w:color w:val="0D0D0D" w:themeColor="text1" w:themeTint="F2"/>
            <w:sz w:val="24"/>
            <w:szCs w:val="24"/>
          </w:rPr>
          <w:fldChar w:fldCharType="end"/>
        </w:r>
      </w:hyperlink>
    </w:p>
    <w:p w14:paraId="5026FF88" w14:textId="033E955F" w:rsidR="0068142C" w:rsidRPr="003C6DBD" w:rsidRDefault="00000000" w:rsidP="0068142C">
      <w:pPr>
        <w:pStyle w:val="TableofFigures"/>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671831" w:history="1">
        <w:r w:rsidR="0068142C" w:rsidRPr="003C6DBD">
          <w:rPr>
            <w:rStyle w:val="Hyperlink"/>
            <w:rFonts w:ascii="Times New Roman" w:hAnsi="Times New Roman" w:cs="Times New Roman"/>
            <w:noProof/>
            <w:color w:val="0D0D0D" w:themeColor="text1" w:themeTint="F2"/>
            <w:sz w:val="24"/>
            <w:szCs w:val="24"/>
          </w:rPr>
          <w:t>Table 17: Median test to compare PB companies and SB companies from 2018 to 2021.</w:t>
        </w:r>
        <w:r w:rsidR="0068142C" w:rsidRPr="003C6DBD">
          <w:rPr>
            <w:rFonts w:ascii="Times New Roman" w:hAnsi="Times New Roman" w:cs="Times New Roman"/>
            <w:noProof/>
            <w:webHidden/>
            <w:color w:val="0D0D0D" w:themeColor="text1" w:themeTint="F2"/>
            <w:sz w:val="24"/>
            <w:szCs w:val="24"/>
          </w:rPr>
          <w:tab/>
        </w:r>
        <w:r w:rsidR="0068142C" w:rsidRPr="003C6DBD">
          <w:rPr>
            <w:rFonts w:ascii="Times New Roman" w:hAnsi="Times New Roman" w:cs="Times New Roman"/>
            <w:noProof/>
            <w:webHidden/>
            <w:color w:val="0D0D0D" w:themeColor="text1" w:themeTint="F2"/>
            <w:sz w:val="24"/>
            <w:szCs w:val="24"/>
          </w:rPr>
          <w:fldChar w:fldCharType="begin"/>
        </w:r>
        <w:r w:rsidR="0068142C" w:rsidRPr="003C6DBD">
          <w:rPr>
            <w:rFonts w:ascii="Times New Roman" w:hAnsi="Times New Roman" w:cs="Times New Roman"/>
            <w:noProof/>
            <w:webHidden/>
            <w:color w:val="0D0D0D" w:themeColor="text1" w:themeTint="F2"/>
            <w:sz w:val="24"/>
            <w:szCs w:val="24"/>
          </w:rPr>
          <w:instrText xml:space="preserve"> PAGEREF _Toc132671831 \h </w:instrText>
        </w:r>
        <w:r w:rsidR="0068142C" w:rsidRPr="003C6DBD">
          <w:rPr>
            <w:rFonts w:ascii="Times New Roman" w:hAnsi="Times New Roman" w:cs="Times New Roman"/>
            <w:noProof/>
            <w:webHidden/>
            <w:color w:val="0D0D0D" w:themeColor="text1" w:themeTint="F2"/>
            <w:sz w:val="24"/>
            <w:szCs w:val="24"/>
          </w:rPr>
        </w:r>
        <w:r w:rsidR="0068142C"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117</w:t>
        </w:r>
        <w:r w:rsidR="0068142C" w:rsidRPr="003C6DBD">
          <w:rPr>
            <w:rFonts w:ascii="Times New Roman" w:hAnsi="Times New Roman" w:cs="Times New Roman"/>
            <w:noProof/>
            <w:webHidden/>
            <w:color w:val="0D0D0D" w:themeColor="text1" w:themeTint="F2"/>
            <w:sz w:val="24"/>
            <w:szCs w:val="24"/>
          </w:rPr>
          <w:fldChar w:fldCharType="end"/>
        </w:r>
      </w:hyperlink>
    </w:p>
    <w:p w14:paraId="0325EAD6" w14:textId="5931FD0A" w:rsidR="0068142C" w:rsidRPr="003C6DBD" w:rsidRDefault="00000000" w:rsidP="0068142C">
      <w:pPr>
        <w:pStyle w:val="TableofFigures"/>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671832" w:history="1">
        <w:r w:rsidR="0068142C" w:rsidRPr="003C6DBD">
          <w:rPr>
            <w:rStyle w:val="Hyperlink"/>
            <w:rFonts w:ascii="Times New Roman" w:hAnsi="Times New Roman" w:cs="Times New Roman"/>
            <w:noProof/>
            <w:color w:val="0D0D0D" w:themeColor="text1" w:themeTint="F2"/>
            <w:sz w:val="24"/>
            <w:szCs w:val="24"/>
          </w:rPr>
          <w:t>Table 18: Correlation analysis of profitability and risk estimates of sample biofuel companies from 2018 to 2021.</w:t>
        </w:r>
        <w:r w:rsidR="0068142C" w:rsidRPr="003C6DBD">
          <w:rPr>
            <w:rFonts w:ascii="Times New Roman" w:hAnsi="Times New Roman" w:cs="Times New Roman"/>
            <w:noProof/>
            <w:webHidden/>
            <w:color w:val="0D0D0D" w:themeColor="text1" w:themeTint="F2"/>
            <w:sz w:val="24"/>
            <w:szCs w:val="24"/>
          </w:rPr>
          <w:tab/>
        </w:r>
        <w:r w:rsidR="0068142C" w:rsidRPr="003C6DBD">
          <w:rPr>
            <w:rFonts w:ascii="Times New Roman" w:hAnsi="Times New Roman" w:cs="Times New Roman"/>
            <w:noProof/>
            <w:webHidden/>
            <w:color w:val="0D0D0D" w:themeColor="text1" w:themeTint="F2"/>
            <w:sz w:val="24"/>
            <w:szCs w:val="24"/>
          </w:rPr>
          <w:fldChar w:fldCharType="begin"/>
        </w:r>
        <w:r w:rsidR="0068142C" w:rsidRPr="003C6DBD">
          <w:rPr>
            <w:rFonts w:ascii="Times New Roman" w:hAnsi="Times New Roman" w:cs="Times New Roman"/>
            <w:noProof/>
            <w:webHidden/>
            <w:color w:val="0D0D0D" w:themeColor="text1" w:themeTint="F2"/>
            <w:sz w:val="24"/>
            <w:szCs w:val="24"/>
          </w:rPr>
          <w:instrText xml:space="preserve"> PAGEREF _Toc132671832 \h </w:instrText>
        </w:r>
        <w:r w:rsidR="0068142C" w:rsidRPr="003C6DBD">
          <w:rPr>
            <w:rFonts w:ascii="Times New Roman" w:hAnsi="Times New Roman" w:cs="Times New Roman"/>
            <w:noProof/>
            <w:webHidden/>
            <w:color w:val="0D0D0D" w:themeColor="text1" w:themeTint="F2"/>
            <w:sz w:val="24"/>
            <w:szCs w:val="24"/>
          </w:rPr>
        </w:r>
        <w:r w:rsidR="0068142C"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119</w:t>
        </w:r>
        <w:r w:rsidR="0068142C" w:rsidRPr="003C6DBD">
          <w:rPr>
            <w:rFonts w:ascii="Times New Roman" w:hAnsi="Times New Roman" w:cs="Times New Roman"/>
            <w:noProof/>
            <w:webHidden/>
            <w:color w:val="0D0D0D" w:themeColor="text1" w:themeTint="F2"/>
            <w:sz w:val="24"/>
            <w:szCs w:val="24"/>
          </w:rPr>
          <w:fldChar w:fldCharType="end"/>
        </w:r>
      </w:hyperlink>
    </w:p>
    <w:p w14:paraId="60AED2D5" w14:textId="49C7028B" w:rsidR="0068142C" w:rsidRPr="003C6DBD" w:rsidRDefault="00000000" w:rsidP="0068142C">
      <w:pPr>
        <w:pStyle w:val="TableofFigures"/>
        <w:tabs>
          <w:tab w:val="right" w:leader="dot" w:pos="9350"/>
        </w:tabs>
        <w:spacing w:line="480" w:lineRule="auto"/>
        <w:rPr>
          <w:rFonts w:ascii="Times New Roman" w:eastAsiaTheme="minorEastAsia" w:hAnsi="Times New Roman" w:cs="Times New Roman"/>
          <w:noProof/>
          <w:color w:val="0D0D0D" w:themeColor="text1" w:themeTint="F2"/>
          <w:sz w:val="24"/>
          <w:szCs w:val="24"/>
        </w:rPr>
      </w:pPr>
      <w:hyperlink w:anchor="_Toc132671833" w:history="1">
        <w:r w:rsidR="0068142C" w:rsidRPr="003C6DBD">
          <w:rPr>
            <w:rStyle w:val="Hyperlink"/>
            <w:rFonts w:ascii="Times New Roman" w:hAnsi="Times New Roman" w:cs="Times New Roman"/>
            <w:noProof/>
            <w:color w:val="0D0D0D" w:themeColor="text1" w:themeTint="F2"/>
            <w:sz w:val="24"/>
            <w:szCs w:val="24"/>
          </w:rPr>
          <w:t>Table 19: It is continuation of Table 18.</w:t>
        </w:r>
        <w:r w:rsidR="0068142C" w:rsidRPr="003C6DBD">
          <w:rPr>
            <w:rFonts w:ascii="Times New Roman" w:hAnsi="Times New Roman" w:cs="Times New Roman"/>
            <w:noProof/>
            <w:webHidden/>
            <w:color w:val="0D0D0D" w:themeColor="text1" w:themeTint="F2"/>
            <w:sz w:val="24"/>
            <w:szCs w:val="24"/>
          </w:rPr>
          <w:tab/>
        </w:r>
        <w:r w:rsidR="0068142C" w:rsidRPr="003C6DBD">
          <w:rPr>
            <w:rFonts w:ascii="Times New Roman" w:hAnsi="Times New Roman" w:cs="Times New Roman"/>
            <w:noProof/>
            <w:webHidden/>
            <w:color w:val="0D0D0D" w:themeColor="text1" w:themeTint="F2"/>
            <w:sz w:val="24"/>
            <w:szCs w:val="24"/>
          </w:rPr>
          <w:fldChar w:fldCharType="begin"/>
        </w:r>
        <w:r w:rsidR="0068142C" w:rsidRPr="003C6DBD">
          <w:rPr>
            <w:rFonts w:ascii="Times New Roman" w:hAnsi="Times New Roman" w:cs="Times New Roman"/>
            <w:noProof/>
            <w:webHidden/>
            <w:color w:val="0D0D0D" w:themeColor="text1" w:themeTint="F2"/>
            <w:sz w:val="24"/>
            <w:szCs w:val="24"/>
          </w:rPr>
          <w:instrText xml:space="preserve"> PAGEREF _Toc132671833 \h </w:instrText>
        </w:r>
        <w:r w:rsidR="0068142C" w:rsidRPr="003C6DBD">
          <w:rPr>
            <w:rFonts w:ascii="Times New Roman" w:hAnsi="Times New Roman" w:cs="Times New Roman"/>
            <w:noProof/>
            <w:webHidden/>
            <w:color w:val="0D0D0D" w:themeColor="text1" w:themeTint="F2"/>
            <w:sz w:val="24"/>
            <w:szCs w:val="24"/>
          </w:rPr>
        </w:r>
        <w:r w:rsidR="0068142C" w:rsidRPr="003C6DBD">
          <w:rPr>
            <w:rFonts w:ascii="Times New Roman" w:hAnsi="Times New Roman" w:cs="Times New Roman"/>
            <w:noProof/>
            <w:webHidden/>
            <w:color w:val="0D0D0D" w:themeColor="text1" w:themeTint="F2"/>
            <w:sz w:val="24"/>
            <w:szCs w:val="24"/>
          </w:rPr>
          <w:fldChar w:fldCharType="separate"/>
        </w:r>
        <w:r w:rsidR="002F3CD0">
          <w:rPr>
            <w:rFonts w:ascii="Times New Roman" w:hAnsi="Times New Roman" w:cs="Times New Roman"/>
            <w:noProof/>
            <w:webHidden/>
            <w:color w:val="0D0D0D" w:themeColor="text1" w:themeTint="F2"/>
            <w:sz w:val="24"/>
            <w:szCs w:val="24"/>
          </w:rPr>
          <w:t>120</w:t>
        </w:r>
        <w:r w:rsidR="0068142C" w:rsidRPr="003C6DBD">
          <w:rPr>
            <w:rFonts w:ascii="Times New Roman" w:hAnsi="Times New Roman" w:cs="Times New Roman"/>
            <w:noProof/>
            <w:webHidden/>
            <w:color w:val="0D0D0D" w:themeColor="text1" w:themeTint="F2"/>
            <w:sz w:val="24"/>
            <w:szCs w:val="24"/>
          </w:rPr>
          <w:fldChar w:fldCharType="end"/>
        </w:r>
      </w:hyperlink>
    </w:p>
    <w:p w14:paraId="762D25F2" w14:textId="0D8A4F9F" w:rsidR="007940BB" w:rsidRPr="003C6DBD" w:rsidRDefault="003F6F35" w:rsidP="0068142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lastRenderedPageBreak/>
        <w:fldChar w:fldCharType="end"/>
      </w:r>
    </w:p>
    <w:p w14:paraId="59DA04B2" w14:textId="77777777" w:rsidR="0018142C" w:rsidRPr="003C6DBD" w:rsidRDefault="003F6F35" w:rsidP="002A7494">
      <w:pPr>
        <w:pStyle w:val="NormalWeb"/>
        <w:spacing w:before="0" w:beforeAutospacing="0" w:after="160" w:afterAutospacing="0" w:line="480" w:lineRule="auto"/>
        <w:jc w:val="center"/>
        <w:rPr>
          <w:rFonts w:eastAsiaTheme="minorHAnsi"/>
          <w:b/>
          <w:bCs/>
          <w:color w:val="0D0D0D" w:themeColor="text1" w:themeTint="F2"/>
        </w:rPr>
      </w:pPr>
      <w:r w:rsidRPr="003C6DBD">
        <w:rPr>
          <w:rFonts w:eastAsiaTheme="minorHAnsi"/>
          <w:b/>
          <w:bCs/>
          <w:color w:val="0D0D0D" w:themeColor="text1" w:themeTint="F2"/>
        </w:rPr>
        <w:t>List of Figures</w:t>
      </w:r>
    </w:p>
    <w:p w14:paraId="7415DA8E" w14:textId="4C8EBE0B" w:rsidR="002F3CD0" w:rsidRPr="002F3CD0" w:rsidRDefault="003F6F35" w:rsidP="002F3CD0">
      <w:pPr>
        <w:pStyle w:val="TableofFigures"/>
        <w:tabs>
          <w:tab w:val="right" w:leader="dot" w:pos="9350"/>
        </w:tabs>
        <w:spacing w:line="480" w:lineRule="auto"/>
        <w:rPr>
          <w:rFonts w:ascii="Times New Roman" w:eastAsiaTheme="minorEastAsia" w:hAnsi="Times New Roman" w:cs="Times New Roman"/>
          <w:noProof/>
          <w:sz w:val="24"/>
          <w:szCs w:val="24"/>
        </w:rPr>
      </w:pPr>
      <w:r w:rsidRPr="002F3CD0">
        <w:rPr>
          <w:rFonts w:ascii="Times New Roman" w:hAnsi="Times New Roman" w:cs="Times New Roman"/>
          <w:color w:val="0D0D0D" w:themeColor="text1" w:themeTint="F2"/>
          <w:sz w:val="24"/>
          <w:szCs w:val="24"/>
        </w:rPr>
        <w:fldChar w:fldCharType="begin"/>
      </w:r>
      <w:r w:rsidRPr="002F3CD0">
        <w:rPr>
          <w:rFonts w:ascii="Times New Roman" w:hAnsi="Times New Roman" w:cs="Times New Roman"/>
          <w:color w:val="0D0D0D" w:themeColor="text1" w:themeTint="F2"/>
          <w:sz w:val="24"/>
          <w:szCs w:val="24"/>
        </w:rPr>
        <w:instrText xml:space="preserve"> TOC \h \z \c "Figure" </w:instrText>
      </w:r>
      <w:r w:rsidRPr="002F3CD0">
        <w:rPr>
          <w:rFonts w:ascii="Times New Roman" w:hAnsi="Times New Roman" w:cs="Times New Roman"/>
          <w:color w:val="0D0D0D" w:themeColor="text1" w:themeTint="F2"/>
          <w:sz w:val="24"/>
          <w:szCs w:val="24"/>
        </w:rPr>
        <w:fldChar w:fldCharType="separate"/>
      </w:r>
      <w:hyperlink w:anchor="_Toc132974480" w:history="1">
        <w:r w:rsidR="002F3CD0" w:rsidRPr="002F3CD0">
          <w:rPr>
            <w:rStyle w:val="Hyperlink"/>
            <w:rFonts w:ascii="Times New Roman" w:hAnsi="Times New Roman" w:cs="Times New Roman"/>
            <w:noProof/>
            <w:sz w:val="24"/>
            <w:szCs w:val="24"/>
          </w:rPr>
          <w:t>Figure 1: Prevalence and significance of political risks for all companies.</w:t>
        </w:r>
        <w:r w:rsidR="002F3CD0" w:rsidRPr="002F3CD0">
          <w:rPr>
            <w:rFonts w:ascii="Times New Roman" w:hAnsi="Times New Roman" w:cs="Times New Roman"/>
            <w:noProof/>
            <w:webHidden/>
            <w:sz w:val="24"/>
            <w:szCs w:val="24"/>
          </w:rPr>
          <w:tab/>
        </w:r>
        <w:r w:rsidR="002F3CD0" w:rsidRPr="002F3CD0">
          <w:rPr>
            <w:rFonts w:ascii="Times New Roman" w:hAnsi="Times New Roman" w:cs="Times New Roman"/>
            <w:noProof/>
            <w:webHidden/>
            <w:sz w:val="24"/>
            <w:szCs w:val="24"/>
          </w:rPr>
          <w:fldChar w:fldCharType="begin"/>
        </w:r>
        <w:r w:rsidR="002F3CD0" w:rsidRPr="002F3CD0">
          <w:rPr>
            <w:rFonts w:ascii="Times New Roman" w:hAnsi="Times New Roman" w:cs="Times New Roman"/>
            <w:noProof/>
            <w:webHidden/>
            <w:sz w:val="24"/>
            <w:szCs w:val="24"/>
          </w:rPr>
          <w:instrText xml:space="preserve"> PAGEREF _Toc132974480 \h </w:instrText>
        </w:r>
        <w:r w:rsidR="002F3CD0" w:rsidRPr="002F3CD0">
          <w:rPr>
            <w:rFonts w:ascii="Times New Roman" w:hAnsi="Times New Roman" w:cs="Times New Roman"/>
            <w:noProof/>
            <w:webHidden/>
            <w:sz w:val="24"/>
            <w:szCs w:val="24"/>
          </w:rPr>
        </w:r>
        <w:r w:rsidR="002F3CD0" w:rsidRPr="002F3CD0">
          <w:rPr>
            <w:rFonts w:ascii="Times New Roman" w:hAnsi="Times New Roman" w:cs="Times New Roman"/>
            <w:noProof/>
            <w:webHidden/>
            <w:sz w:val="24"/>
            <w:szCs w:val="24"/>
          </w:rPr>
          <w:fldChar w:fldCharType="separate"/>
        </w:r>
        <w:r w:rsidR="002F3CD0" w:rsidRPr="002F3CD0">
          <w:rPr>
            <w:rFonts w:ascii="Times New Roman" w:hAnsi="Times New Roman" w:cs="Times New Roman"/>
            <w:noProof/>
            <w:webHidden/>
            <w:sz w:val="24"/>
            <w:szCs w:val="24"/>
          </w:rPr>
          <w:t>90</w:t>
        </w:r>
        <w:r w:rsidR="002F3CD0" w:rsidRPr="002F3CD0">
          <w:rPr>
            <w:rFonts w:ascii="Times New Roman" w:hAnsi="Times New Roman" w:cs="Times New Roman"/>
            <w:noProof/>
            <w:webHidden/>
            <w:sz w:val="24"/>
            <w:szCs w:val="24"/>
          </w:rPr>
          <w:fldChar w:fldCharType="end"/>
        </w:r>
      </w:hyperlink>
    </w:p>
    <w:p w14:paraId="056E7BE4" w14:textId="294B0AE8"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481" w:history="1">
        <w:r w:rsidRPr="002F3CD0">
          <w:rPr>
            <w:rStyle w:val="Hyperlink"/>
            <w:rFonts w:ascii="Times New Roman" w:hAnsi="Times New Roman" w:cs="Times New Roman"/>
            <w:noProof/>
            <w:sz w:val="24"/>
            <w:szCs w:val="24"/>
          </w:rPr>
          <w:t>Figure 2: Prevalence and significance of economic risks for all companies.</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_Toc132974481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92</w:t>
        </w:r>
        <w:r w:rsidRPr="002F3CD0">
          <w:rPr>
            <w:rFonts w:ascii="Times New Roman" w:hAnsi="Times New Roman" w:cs="Times New Roman"/>
            <w:noProof/>
            <w:webHidden/>
            <w:sz w:val="24"/>
            <w:szCs w:val="24"/>
          </w:rPr>
          <w:fldChar w:fldCharType="end"/>
        </w:r>
      </w:hyperlink>
    </w:p>
    <w:p w14:paraId="7A938881" w14:textId="40203229"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482" w:history="1">
        <w:r w:rsidRPr="002F3CD0">
          <w:rPr>
            <w:rStyle w:val="Hyperlink"/>
            <w:rFonts w:ascii="Times New Roman" w:hAnsi="Times New Roman" w:cs="Times New Roman"/>
            <w:noProof/>
            <w:sz w:val="24"/>
            <w:szCs w:val="24"/>
          </w:rPr>
          <w:t>Figure 3: Prevalence and significance of social risks for all companies.</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_Toc132974482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93</w:t>
        </w:r>
        <w:r w:rsidRPr="002F3CD0">
          <w:rPr>
            <w:rFonts w:ascii="Times New Roman" w:hAnsi="Times New Roman" w:cs="Times New Roman"/>
            <w:noProof/>
            <w:webHidden/>
            <w:sz w:val="24"/>
            <w:szCs w:val="24"/>
          </w:rPr>
          <w:fldChar w:fldCharType="end"/>
        </w:r>
      </w:hyperlink>
    </w:p>
    <w:p w14:paraId="08E8C34A" w14:textId="1B9AD932"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483" w:history="1">
        <w:r w:rsidRPr="002F3CD0">
          <w:rPr>
            <w:rStyle w:val="Hyperlink"/>
            <w:rFonts w:ascii="Times New Roman" w:hAnsi="Times New Roman" w:cs="Times New Roman"/>
            <w:noProof/>
            <w:sz w:val="24"/>
            <w:szCs w:val="24"/>
          </w:rPr>
          <w:t>Figure 4: Prevalence and significance of technological risks for all companies.</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_Toc132974483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94</w:t>
        </w:r>
        <w:r w:rsidRPr="002F3CD0">
          <w:rPr>
            <w:rFonts w:ascii="Times New Roman" w:hAnsi="Times New Roman" w:cs="Times New Roman"/>
            <w:noProof/>
            <w:webHidden/>
            <w:sz w:val="24"/>
            <w:szCs w:val="24"/>
          </w:rPr>
          <w:fldChar w:fldCharType="end"/>
        </w:r>
      </w:hyperlink>
    </w:p>
    <w:p w14:paraId="64989C43" w14:textId="3C49AA32"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484" w:history="1">
        <w:r w:rsidRPr="002F3CD0">
          <w:rPr>
            <w:rStyle w:val="Hyperlink"/>
            <w:rFonts w:ascii="Times New Roman" w:hAnsi="Times New Roman" w:cs="Times New Roman"/>
            <w:noProof/>
            <w:sz w:val="24"/>
            <w:szCs w:val="24"/>
          </w:rPr>
          <w:t>Figure 5: Prevalence and significance of risks reported in primary activities category for all companies.</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_Toc132974484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95</w:t>
        </w:r>
        <w:r w:rsidRPr="002F3CD0">
          <w:rPr>
            <w:rFonts w:ascii="Times New Roman" w:hAnsi="Times New Roman" w:cs="Times New Roman"/>
            <w:noProof/>
            <w:webHidden/>
            <w:sz w:val="24"/>
            <w:szCs w:val="24"/>
          </w:rPr>
          <w:fldChar w:fldCharType="end"/>
        </w:r>
      </w:hyperlink>
    </w:p>
    <w:p w14:paraId="4DAFA0E3" w14:textId="60AD247F"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485" w:history="1">
        <w:r w:rsidRPr="002F3CD0">
          <w:rPr>
            <w:rStyle w:val="Hyperlink"/>
            <w:rFonts w:ascii="Times New Roman" w:hAnsi="Times New Roman" w:cs="Times New Roman"/>
            <w:noProof/>
            <w:sz w:val="24"/>
            <w:szCs w:val="24"/>
          </w:rPr>
          <w:t>Figure 6: Prevalence and significance of risks reported in support activities category for all companies.</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_Toc132974485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96</w:t>
        </w:r>
        <w:r w:rsidRPr="002F3CD0">
          <w:rPr>
            <w:rFonts w:ascii="Times New Roman" w:hAnsi="Times New Roman" w:cs="Times New Roman"/>
            <w:noProof/>
            <w:webHidden/>
            <w:sz w:val="24"/>
            <w:szCs w:val="24"/>
          </w:rPr>
          <w:fldChar w:fldCharType="end"/>
        </w:r>
      </w:hyperlink>
    </w:p>
    <w:p w14:paraId="65BC098B" w14:textId="05C6414E"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486" w:history="1">
        <w:r w:rsidRPr="002F3CD0">
          <w:rPr>
            <w:rStyle w:val="Hyperlink"/>
            <w:rFonts w:ascii="Times New Roman" w:hAnsi="Times New Roman" w:cs="Times New Roman"/>
            <w:noProof/>
            <w:sz w:val="24"/>
            <w:szCs w:val="24"/>
          </w:rPr>
          <w:t>Figure 7: Comparison of political risks between primary biofuel and secondary biofuel companies.</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_Toc132974486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98</w:t>
        </w:r>
        <w:r w:rsidRPr="002F3CD0">
          <w:rPr>
            <w:rFonts w:ascii="Times New Roman" w:hAnsi="Times New Roman" w:cs="Times New Roman"/>
            <w:noProof/>
            <w:webHidden/>
            <w:sz w:val="24"/>
            <w:szCs w:val="24"/>
          </w:rPr>
          <w:fldChar w:fldCharType="end"/>
        </w:r>
      </w:hyperlink>
    </w:p>
    <w:p w14:paraId="79C6F49B" w14:textId="07620034"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487" w:history="1">
        <w:r w:rsidRPr="002F3CD0">
          <w:rPr>
            <w:rStyle w:val="Hyperlink"/>
            <w:rFonts w:ascii="Times New Roman" w:hAnsi="Times New Roman" w:cs="Times New Roman"/>
            <w:noProof/>
            <w:sz w:val="24"/>
            <w:szCs w:val="24"/>
          </w:rPr>
          <w:t>Figure 7 continued.</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_Toc132974487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99</w:t>
        </w:r>
        <w:r w:rsidRPr="002F3CD0">
          <w:rPr>
            <w:rFonts w:ascii="Times New Roman" w:hAnsi="Times New Roman" w:cs="Times New Roman"/>
            <w:noProof/>
            <w:webHidden/>
            <w:sz w:val="24"/>
            <w:szCs w:val="24"/>
          </w:rPr>
          <w:fldChar w:fldCharType="end"/>
        </w:r>
      </w:hyperlink>
    </w:p>
    <w:p w14:paraId="60A2D9B7" w14:textId="3C5DE97F"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488" w:history="1">
        <w:r w:rsidRPr="002F3CD0">
          <w:rPr>
            <w:rStyle w:val="Hyperlink"/>
            <w:rFonts w:ascii="Times New Roman" w:hAnsi="Times New Roman" w:cs="Times New Roman"/>
            <w:noProof/>
            <w:sz w:val="24"/>
            <w:szCs w:val="24"/>
          </w:rPr>
          <w:t>Figure 8: Comparison of economic risks between primary biofuel and secondary biofuel companies.</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_Toc132974488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100</w:t>
        </w:r>
        <w:r w:rsidRPr="002F3CD0">
          <w:rPr>
            <w:rFonts w:ascii="Times New Roman" w:hAnsi="Times New Roman" w:cs="Times New Roman"/>
            <w:noProof/>
            <w:webHidden/>
            <w:sz w:val="24"/>
            <w:szCs w:val="24"/>
          </w:rPr>
          <w:fldChar w:fldCharType="end"/>
        </w:r>
      </w:hyperlink>
    </w:p>
    <w:p w14:paraId="6287219D" w14:textId="5825EE3E"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489" w:history="1">
        <w:r w:rsidRPr="002F3CD0">
          <w:rPr>
            <w:rStyle w:val="Hyperlink"/>
            <w:rFonts w:ascii="Times New Roman" w:hAnsi="Times New Roman" w:cs="Times New Roman"/>
            <w:noProof/>
            <w:sz w:val="24"/>
            <w:szCs w:val="24"/>
          </w:rPr>
          <w:t>Figure 8 continued.</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_Toc132974489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101</w:t>
        </w:r>
        <w:r w:rsidRPr="002F3CD0">
          <w:rPr>
            <w:rFonts w:ascii="Times New Roman" w:hAnsi="Times New Roman" w:cs="Times New Roman"/>
            <w:noProof/>
            <w:webHidden/>
            <w:sz w:val="24"/>
            <w:szCs w:val="24"/>
          </w:rPr>
          <w:fldChar w:fldCharType="end"/>
        </w:r>
      </w:hyperlink>
    </w:p>
    <w:p w14:paraId="75215F98" w14:textId="5DDD44C3"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490" w:history="1">
        <w:r w:rsidRPr="002F3CD0">
          <w:rPr>
            <w:rStyle w:val="Hyperlink"/>
            <w:rFonts w:ascii="Times New Roman" w:hAnsi="Times New Roman" w:cs="Times New Roman"/>
            <w:noProof/>
            <w:sz w:val="24"/>
            <w:szCs w:val="24"/>
          </w:rPr>
          <w:t>Figure 9: Comparison of social risks between primary biofuel and secondary biofuel companies.</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_Toc132974490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102</w:t>
        </w:r>
        <w:r w:rsidRPr="002F3CD0">
          <w:rPr>
            <w:rFonts w:ascii="Times New Roman" w:hAnsi="Times New Roman" w:cs="Times New Roman"/>
            <w:noProof/>
            <w:webHidden/>
            <w:sz w:val="24"/>
            <w:szCs w:val="24"/>
          </w:rPr>
          <w:fldChar w:fldCharType="end"/>
        </w:r>
      </w:hyperlink>
    </w:p>
    <w:p w14:paraId="1C5D4913" w14:textId="556C1D75"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491" w:history="1">
        <w:r w:rsidRPr="002F3CD0">
          <w:rPr>
            <w:rStyle w:val="Hyperlink"/>
            <w:rFonts w:ascii="Times New Roman" w:hAnsi="Times New Roman" w:cs="Times New Roman"/>
            <w:noProof/>
            <w:sz w:val="24"/>
            <w:szCs w:val="24"/>
          </w:rPr>
          <w:t>Figure 9 continued.</w:t>
        </w:r>
        <w:r w:rsidRPr="002F3CD0">
          <w:rPr>
            <w:rFonts w:ascii="Times New Roman" w:hAnsi="Times New Roman" w:cs="Times New Roman"/>
            <w:noProof/>
            <w:webHidden/>
            <w:sz w:val="24"/>
            <w:szCs w:val="24"/>
          </w:rPr>
          <w:tab/>
          <w:t>t</w:t>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_Toc132974491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103</w:t>
        </w:r>
        <w:r w:rsidRPr="002F3CD0">
          <w:rPr>
            <w:rFonts w:ascii="Times New Roman" w:hAnsi="Times New Roman" w:cs="Times New Roman"/>
            <w:noProof/>
            <w:webHidden/>
            <w:sz w:val="24"/>
            <w:szCs w:val="24"/>
          </w:rPr>
          <w:fldChar w:fldCharType="end"/>
        </w:r>
      </w:hyperlink>
    </w:p>
    <w:p w14:paraId="41C9254F" w14:textId="18FD52E5"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492" w:history="1">
        <w:r w:rsidRPr="002F3CD0">
          <w:rPr>
            <w:rStyle w:val="Hyperlink"/>
            <w:rFonts w:ascii="Times New Roman" w:hAnsi="Times New Roman" w:cs="Times New Roman"/>
            <w:noProof/>
            <w:sz w:val="24"/>
            <w:szCs w:val="24"/>
          </w:rPr>
          <w:t>Figure 10: Comparison of technological risks between primary biofuel and secondary biofuel companies.</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_Toc132974492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104</w:t>
        </w:r>
        <w:r w:rsidRPr="002F3CD0">
          <w:rPr>
            <w:rFonts w:ascii="Times New Roman" w:hAnsi="Times New Roman" w:cs="Times New Roman"/>
            <w:noProof/>
            <w:webHidden/>
            <w:sz w:val="24"/>
            <w:szCs w:val="24"/>
          </w:rPr>
          <w:fldChar w:fldCharType="end"/>
        </w:r>
      </w:hyperlink>
    </w:p>
    <w:p w14:paraId="5CA92582" w14:textId="2DDC2AE7"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493" w:history="1">
        <w:r w:rsidRPr="002F3CD0">
          <w:rPr>
            <w:rStyle w:val="Hyperlink"/>
            <w:rFonts w:ascii="Times New Roman" w:hAnsi="Times New Roman" w:cs="Times New Roman"/>
            <w:noProof/>
            <w:sz w:val="24"/>
            <w:szCs w:val="24"/>
          </w:rPr>
          <w:t>Figure 10 continued.</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_Toc132974493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105</w:t>
        </w:r>
        <w:r w:rsidRPr="002F3CD0">
          <w:rPr>
            <w:rFonts w:ascii="Times New Roman" w:hAnsi="Times New Roman" w:cs="Times New Roman"/>
            <w:noProof/>
            <w:webHidden/>
            <w:sz w:val="24"/>
            <w:szCs w:val="24"/>
          </w:rPr>
          <w:fldChar w:fldCharType="end"/>
        </w:r>
      </w:hyperlink>
    </w:p>
    <w:p w14:paraId="6010D5F3" w14:textId="091C08F9"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494" w:history="1">
        <w:r w:rsidRPr="002F3CD0">
          <w:rPr>
            <w:rStyle w:val="Hyperlink"/>
            <w:rFonts w:ascii="Times New Roman" w:hAnsi="Times New Roman" w:cs="Times New Roman"/>
            <w:noProof/>
            <w:sz w:val="24"/>
            <w:szCs w:val="24"/>
          </w:rPr>
          <w:t>Figure 11: Comparison of primary activities risks between primary biofuel and secondary biofuel companies.</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_Toc132974494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106</w:t>
        </w:r>
        <w:r w:rsidRPr="002F3CD0">
          <w:rPr>
            <w:rFonts w:ascii="Times New Roman" w:hAnsi="Times New Roman" w:cs="Times New Roman"/>
            <w:noProof/>
            <w:webHidden/>
            <w:sz w:val="24"/>
            <w:szCs w:val="24"/>
          </w:rPr>
          <w:fldChar w:fldCharType="end"/>
        </w:r>
      </w:hyperlink>
    </w:p>
    <w:p w14:paraId="00ECB06F" w14:textId="7ED6BD61"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495" w:history="1">
        <w:r w:rsidRPr="002F3CD0">
          <w:rPr>
            <w:rStyle w:val="Hyperlink"/>
            <w:rFonts w:ascii="Times New Roman" w:hAnsi="Times New Roman" w:cs="Times New Roman"/>
            <w:noProof/>
            <w:sz w:val="24"/>
            <w:szCs w:val="24"/>
          </w:rPr>
          <w:t>Figure 11 continued.</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_Toc132974495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107</w:t>
        </w:r>
        <w:r w:rsidRPr="002F3CD0">
          <w:rPr>
            <w:rFonts w:ascii="Times New Roman" w:hAnsi="Times New Roman" w:cs="Times New Roman"/>
            <w:noProof/>
            <w:webHidden/>
            <w:sz w:val="24"/>
            <w:szCs w:val="24"/>
          </w:rPr>
          <w:fldChar w:fldCharType="end"/>
        </w:r>
      </w:hyperlink>
    </w:p>
    <w:p w14:paraId="13394E0C" w14:textId="0AE399B8"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496" w:history="1">
        <w:r w:rsidRPr="002F3CD0">
          <w:rPr>
            <w:rStyle w:val="Hyperlink"/>
            <w:rFonts w:ascii="Times New Roman" w:hAnsi="Times New Roman" w:cs="Times New Roman"/>
            <w:noProof/>
            <w:sz w:val="24"/>
            <w:szCs w:val="24"/>
          </w:rPr>
          <w:t>Figure 12: Comparison of support activities risks between primary biofuel and secondary biofuel companies.</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_Toc132974496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108</w:t>
        </w:r>
        <w:r w:rsidRPr="002F3CD0">
          <w:rPr>
            <w:rFonts w:ascii="Times New Roman" w:hAnsi="Times New Roman" w:cs="Times New Roman"/>
            <w:noProof/>
            <w:webHidden/>
            <w:sz w:val="24"/>
            <w:szCs w:val="24"/>
          </w:rPr>
          <w:fldChar w:fldCharType="end"/>
        </w:r>
      </w:hyperlink>
    </w:p>
    <w:p w14:paraId="1873CCEC" w14:textId="4B93EF7A"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497" w:history="1">
        <w:r w:rsidRPr="002F3CD0">
          <w:rPr>
            <w:rStyle w:val="Hyperlink"/>
            <w:rFonts w:ascii="Times New Roman" w:hAnsi="Times New Roman" w:cs="Times New Roman"/>
            <w:noProof/>
            <w:sz w:val="24"/>
            <w:szCs w:val="24"/>
          </w:rPr>
          <w:t>Figure 12 continued.</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_Toc132974497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109</w:t>
        </w:r>
        <w:r w:rsidRPr="002F3CD0">
          <w:rPr>
            <w:rFonts w:ascii="Times New Roman" w:hAnsi="Times New Roman" w:cs="Times New Roman"/>
            <w:noProof/>
            <w:webHidden/>
            <w:sz w:val="24"/>
            <w:szCs w:val="24"/>
          </w:rPr>
          <w:fldChar w:fldCharType="end"/>
        </w:r>
      </w:hyperlink>
    </w:p>
    <w:p w14:paraId="2D893F4F" w14:textId="35536C1E"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498" w:history="1">
        <w:r w:rsidRPr="002F3CD0">
          <w:rPr>
            <w:rStyle w:val="Hyperlink"/>
            <w:rFonts w:ascii="Times New Roman" w:hAnsi="Times New Roman" w:cs="Times New Roman"/>
            <w:noProof/>
            <w:sz w:val="24"/>
            <w:szCs w:val="24"/>
          </w:rPr>
          <w:t>Figure 13: Histograms of the selected financial ratios.</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_Toc132974498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112</w:t>
        </w:r>
        <w:r w:rsidRPr="002F3CD0">
          <w:rPr>
            <w:rFonts w:ascii="Times New Roman" w:hAnsi="Times New Roman" w:cs="Times New Roman"/>
            <w:noProof/>
            <w:webHidden/>
            <w:sz w:val="24"/>
            <w:szCs w:val="24"/>
          </w:rPr>
          <w:fldChar w:fldCharType="end"/>
        </w:r>
      </w:hyperlink>
    </w:p>
    <w:p w14:paraId="054E7310" w14:textId="0BAF8A77"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499" w:history="1">
        <w:r w:rsidRPr="002F3CD0">
          <w:rPr>
            <w:rStyle w:val="Hyperlink"/>
            <w:rFonts w:ascii="Times New Roman" w:hAnsi="Times New Roman" w:cs="Times New Roman"/>
            <w:noProof/>
            <w:sz w:val="24"/>
            <w:szCs w:val="24"/>
          </w:rPr>
          <w:t>Figure 13 continued.</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_Toc132974499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113</w:t>
        </w:r>
        <w:r w:rsidRPr="002F3CD0">
          <w:rPr>
            <w:rFonts w:ascii="Times New Roman" w:hAnsi="Times New Roman" w:cs="Times New Roman"/>
            <w:noProof/>
            <w:webHidden/>
            <w:sz w:val="24"/>
            <w:szCs w:val="24"/>
          </w:rPr>
          <w:fldChar w:fldCharType="end"/>
        </w:r>
      </w:hyperlink>
    </w:p>
    <w:p w14:paraId="2DA0CEDE" w14:textId="1B15ADE0"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500" w:history="1">
        <w:r w:rsidRPr="002F3CD0">
          <w:rPr>
            <w:rStyle w:val="Hyperlink"/>
            <w:rFonts w:ascii="Times New Roman" w:hAnsi="Times New Roman" w:cs="Times New Roman"/>
            <w:noProof/>
            <w:sz w:val="24"/>
            <w:szCs w:val="24"/>
          </w:rPr>
          <w:t>Figure 13 continued.</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_Toc132974500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114</w:t>
        </w:r>
        <w:r w:rsidRPr="002F3CD0">
          <w:rPr>
            <w:rFonts w:ascii="Times New Roman" w:hAnsi="Times New Roman" w:cs="Times New Roman"/>
            <w:noProof/>
            <w:webHidden/>
            <w:sz w:val="24"/>
            <w:szCs w:val="24"/>
          </w:rPr>
          <w:fldChar w:fldCharType="end"/>
        </w:r>
      </w:hyperlink>
    </w:p>
    <w:p w14:paraId="0D2CF6A0" w14:textId="5094B974"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501" w:history="1">
        <w:r w:rsidRPr="002F3CD0">
          <w:rPr>
            <w:rStyle w:val="Hyperlink"/>
            <w:rFonts w:ascii="Times New Roman" w:hAnsi="Times New Roman" w:cs="Times New Roman"/>
            <w:noProof/>
            <w:sz w:val="24"/>
            <w:szCs w:val="24"/>
          </w:rPr>
          <w:t>Figure 13 continued.</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_Toc132974501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115</w:t>
        </w:r>
        <w:r w:rsidRPr="002F3CD0">
          <w:rPr>
            <w:rFonts w:ascii="Times New Roman" w:hAnsi="Times New Roman" w:cs="Times New Roman"/>
            <w:noProof/>
            <w:webHidden/>
            <w:sz w:val="24"/>
            <w:szCs w:val="24"/>
          </w:rPr>
          <w:fldChar w:fldCharType="end"/>
        </w:r>
      </w:hyperlink>
    </w:p>
    <w:p w14:paraId="10FE1D66" w14:textId="7814D801"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502" w:history="1">
        <w:r w:rsidRPr="002F3CD0">
          <w:rPr>
            <w:rStyle w:val="Hyperlink"/>
            <w:rFonts w:ascii="Times New Roman" w:hAnsi="Times New Roman" w:cs="Times New Roman"/>
            <w:noProof/>
            <w:sz w:val="24"/>
            <w:szCs w:val="24"/>
          </w:rPr>
          <w:t>Figure 14: Trend analysis of financial ratios, median values from 2018 to 2021.</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_Toc132974502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121</w:t>
        </w:r>
        <w:r w:rsidRPr="002F3CD0">
          <w:rPr>
            <w:rFonts w:ascii="Times New Roman" w:hAnsi="Times New Roman" w:cs="Times New Roman"/>
            <w:noProof/>
            <w:webHidden/>
            <w:sz w:val="24"/>
            <w:szCs w:val="24"/>
          </w:rPr>
          <w:fldChar w:fldCharType="end"/>
        </w:r>
      </w:hyperlink>
    </w:p>
    <w:p w14:paraId="7FBA95E6" w14:textId="7589D76B"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503" w:history="1">
        <w:r w:rsidRPr="002F3CD0">
          <w:rPr>
            <w:rStyle w:val="Hyperlink"/>
            <w:rFonts w:ascii="Times New Roman" w:hAnsi="Times New Roman" w:cs="Times New Roman"/>
            <w:noProof/>
            <w:sz w:val="24"/>
            <w:szCs w:val="24"/>
          </w:rPr>
          <w:t>Figure 14 continued.</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_Toc132974503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122</w:t>
        </w:r>
        <w:r w:rsidRPr="002F3CD0">
          <w:rPr>
            <w:rFonts w:ascii="Times New Roman" w:hAnsi="Times New Roman" w:cs="Times New Roman"/>
            <w:noProof/>
            <w:webHidden/>
            <w:sz w:val="24"/>
            <w:szCs w:val="24"/>
          </w:rPr>
          <w:fldChar w:fldCharType="end"/>
        </w:r>
      </w:hyperlink>
    </w:p>
    <w:p w14:paraId="341597D2" w14:textId="37372620"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504" w:history="1">
        <w:r w:rsidRPr="002F3CD0">
          <w:rPr>
            <w:rStyle w:val="Hyperlink"/>
            <w:rFonts w:ascii="Times New Roman" w:hAnsi="Times New Roman" w:cs="Times New Roman"/>
            <w:noProof/>
            <w:sz w:val="24"/>
            <w:szCs w:val="24"/>
          </w:rPr>
          <w:t>Figure 14 continued.</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_Toc132974504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123</w:t>
        </w:r>
        <w:r w:rsidRPr="002F3CD0">
          <w:rPr>
            <w:rFonts w:ascii="Times New Roman" w:hAnsi="Times New Roman" w:cs="Times New Roman"/>
            <w:noProof/>
            <w:webHidden/>
            <w:sz w:val="24"/>
            <w:szCs w:val="24"/>
          </w:rPr>
          <w:fldChar w:fldCharType="end"/>
        </w:r>
      </w:hyperlink>
    </w:p>
    <w:p w14:paraId="3B6E2DE1" w14:textId="237DA09E"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505" w:history="1">
        <w:r w:rsidRPr="002F3CD0">
          <w:rPr>
            <w:rStyle w:val="Hyperlink"/>
            <w:rFonts w:ascii="Times New Roman" w:hAnsi="Times New Roman" w:cs="Times New Roman"/>
            <w:noProof/>
            <w:sz w:val="24"/>
            <w:szCs w:val="24"/>
          </w:rPr>
          <w:t>Figure 14 continued.</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_Toc132974505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124</w:t>
        </w:r>
        <w:r w:rsidRPr="002F3CD0">
          <w:rPr>
            <w:rFonts w:ascii="Times New Roman" w:hAnsi="Times New Roman" w:cs="Times New Roman"/>
            <w:noProof/>
            <w:webHidden/>
            <w:sz w:val="24"/>
            <w:szCs w:val="24"/>
          </w:rPr>
          <w:fldChar w:fldCharType="end"/>
        </w:r>
      </w:hyperlink>
    </w:p>
    <w:p w14:paraId="0CE2DB5F" w14:textId="7144CB2C"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506" w:history="1">
        <w:r w:rsidRPr="002F3CD0">
          <w:rPr>
            <w:rStyle w:val="Hyperlink"/>
            <w:rFonts w:ascii="Times New Roman" w:hAnsi="Times New Roman" w:cs="Times New Roman"/>
            <w:noProof/>
            <w:sz w:val="24"/>
            <w:szCs w:val="24"/>
          </w:rPr>
          <w:t>Figure 15: Average stock returns of PB, SB, ALL portfolio compared to S&amp;P500 from 2018 to 2021.</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_Toc132974506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125</w:t>
        </w:r>
        <w:r w:rsidRPr="002F3CD0">
          <w:rPr>
            <w:rFonts w:ascii="Times New Roman" w:hAnsi="Times New Roman" w:cs="Times New Roman"/>
            <w:noProof/>
            <w:webHidden/>
            <w:sz w:val="24"/>
            <w:szCs w:val="24"/>
          </w:rPr>
          <w:fldChar w:fldCharType="end"/>
        </w:r>
      </w:hyperlink>
    </w:p>
    <w:p w14:paraId="76067BB0" w14:textId="2A74945A" w:rsidR="002F3CD0" w:rsidRPr="002F3CD0" w:rsidRDefault="002F3CD0" w:rsidP="002F3CD0">
      <w:pPr>
        <w:pStyle w:val="TableofFigures"/>
        <w:tabs>
          <w:tab w:val="right" w:leader="dot" w:pos="9350"/>
        </w:tabs>
        <w:spacing w:line="480" w:lineRule="auto"/>
        <w:rPr>
          <w:rFonts w:ascii="Times New Roman" w:eastAsiaTheme="minorEastAsia" w:hAnsi="Times New Roman" w:cs="Times New Roman"/>
          <w:noProof/>
          <w:sz w:val="24"/>
          <w:szCs w:val="24"/>
        </w:rPr>
      </w:pPr>
      <w:hyperlink w:anchor="_Toc132974507" w:history="1">
        <w:r w:rsidRPr="002F3CD0">
          <w:rPr>
            <w:rStyle w:val="Hyperlink"/>
            <w:rFonts w:ascii="Times New Roman" w:hAnsi="Times New Roman" w:cs="Times New Roman"/>
            <w:noProof/>
            <w:sz w:val="24"/>
            <w:szCs w:val="24"/>
          </w:rPr>
          <w:t>Figure 15 continued.</w:t>
        </w:r>
        <w:r w:rsidRPr="002F3CD0">
          <w:rPr>
            <w:rFonts w:ascii="Times New Roman" w:hAnsi="Times New Roman" w:cs="Times New Roman"/>
            <w:noProof/>
            <w:webHidden/>
            <w:sz w:val="24"/>
            <w:szCs w:val="24"/>
          </w:rPr>
          <w:tab/>
        </w:r>
        <w:r w:rsidRPr="002F3CD0">
          <w:rPr>
            <w:rFonts w:ascii="Times New Roman" w:hAnsi="Times New Roman" w:cs="Times New Roman"/>
            <w:noProof/>
            <w:webHidden/>
            <w:sz w:val="24"/>
            <w:szCs w:val="24"/>
          </w:rPr>
          <w:fldChar w:fldCharType="begin"/>
        </w:r>
        <w:r w:rsidRPr="002F3CD0">
          <w:rPr>
            <w:rFonts w:ascii="Times New Roman" w:hAnsi="Times New Roman" w:cs="Times New Roman"/>
            <w:noProof/>
            <w:webHidden/>
            <w:sz w:val="24"/>
            <w:szCs w:val="24"/>
          </w:rPr>
          <w:instrText xml:space="preserve"> PAGEREF _Toc132974507 \h </w:instrText>
        </w:r>
        <w:r w:rsidRPr="002F3CD0">
          <w:rPr>
            <w:rFonts w:ascii="Times New Roman" w:hAnsi="Times New Roman" w:cs="Times New Roman"/>
            <w:noProof/>
            <w:webHidden/>
            <w:sz w:val="24"/>
            <w:szCs w:val="24"/>
          </w:rPr>
        </w:r>
        <w:r w:rsidRPr="002F3CD0">
          <w:rPr>
            <w:rFonts w:ascii="Times New Roman" w:hAnsi="Times New Roman" w:cs="Times New Roman"/>
            <w:noProof/>
            <w:webHidden/>
            <w:sz w:val="24"/>
            <w:szCs w:val="24"/>
          </w:rPr>
          <w:fldChar w:fldCharType="separate"/>
        </w:r>
        <w:r w:rsidRPr="002F3CD0">
          <w:rPr>
            <w:rFonts w:ascii="Times New Roman" w:hAnsi="Times New Roman" w:cs="Times New Roman"/>
            <w:noProof/>
            <w:webHidden/>
            <w:sz w:val="24"/>
            <w:szCs w:val="24"/>
          </w:rPr>
          <w:t>126</w:t>
        </w:r>
        <w:r w:rsidRPr="002F3CD0">
          <w:rPr>
            <w:rFonts w:ascii="Times New Roman" w:hAnsi="Times New Roman" w:cs="Times New Roman"/>
            <w:noProof/>
            <w:webHidden/>
            <w:sz w:val="24"/>
            <w:szCs w:val="24"/>
          </w:rPr>
          <w:fldChar w:fldCharType="end"/>
        </w:r>
      </w:hyperlink>
    </w:p>
    <w:p w14:paraId="0AF48B50" w14:textId="71C40745" w:rsidR="00AE08F3" w:rsidRPr="003C6DBD" w:rsidRDefault="003F6F35" w:rsidP="002F3CD0">
      <w:pPr>
        <w:pStyle w:val="Heading1"/>
        <w:spacing w:line="480" w:lineRule="auto"/>
        <w:rPr>
          <w:rFonts w:cs="Times New Roman"/>
          <w:color w:val="0D0D0D" w:themeColor="text1" w:themeTint="F2"/>
          <w:szCs w:val="24"/>
        </w:rPr>
      </w:pPr>
      <w:r w:rsidRPr="002F3CD0">
        <w:rPr>
          <w:rFonts w:cs="Times New Roman"/>
          <w:color w:val="0D0D0D" w:themeColor="text1" w:themeTint="F2"/>
          <w:szCs w:val="24"/>
        </w:rPr>
        <w:fldChar w:fldCharType="end"/>
      </w:r>
    </w:p>
    <w:p w14:paraId="62913F6C" w14:textId="77777777" w:rsidR="00A46B1A" w:rsidRPr="003C6DBD" w:rsidRDefault="00A46B1A" w:rsidP="002A7494">
      <w:pPr>
        <w:rPr>
          <w:rFonts w:ascii="Times New Roman" w:hAnsi="Times New Roman" w:cs="Times New Roman"/>
          <w:color w:val="0D0D0D" w:themeColor="text1" w:themeTint="F2"/>
          <w:sz w:val="24"/>
          <w:szCs w:val="24"/>
        </w:rPr>
      </w:pPr>
    </w:p>
    <w:p w14:paraId="630C838D" w14:textId="77777777" w:rsidR="00AD25FD" w:rsidRPr="003C6DBD" w:rsidRDefault="00AD25FD" w:rsidP="002A7494">
      <w:pPr>
        <w:rPr>
          <w:rFonts w:ascii="Times New Roman" w:hAnsi="Times New Roman" w:cs="Times New Roman"/>
          <w:color w:val="0D0D0D" w:themeColor="text1" w:themeTint="F2"/>
          <w:sz w:val="24"/>
          <w:szCs w:val="24"/>
        </w:rPr>
      </w:pPr>
    </w:p>
    <w:p w14:paraId="435A5978" w14:textId="7C273418" w:rsidR="00F6187E" w:rsidRPr="003C6DBD" w:rsidRDefault="00F6187E" w:rsidP="002A7494">
      <w:pPr>
        <w:rPr>
          <w:rFonts w:ascii="Times New Roman" w:hAnsi="Times New Roman" w:cs="Times New Roman"/>
          <w:color w:val="0D0D0D" w:themeColor="text1" w:themeTint="F2"/>
          <w:sz w:val="24"/>
          <w:szCs w:val="24"/>
        </w:rPr>
      </w:pPr>
    </w:p>
    <w:p w14:paraId="4543A638" w14:textId="36F2DF6F" w:rsidR="009C5FF7" w:rsidRPr="003C6DBD" w:rsidRDefault="009C5FF7" w:rsidP="002A7494">
      <w:pPr>
        <w:rPr>
          <w:rFonts w:ascii="Times New Roman" w:hAnsi="Times New Roman" w:cs="Times New Roman"/>
          <w:color w:val="0D0D0D" w:themeColor="text1" w:themeTint="F2"/>
          <w:sz w:val="24"/>
          <w:szCs w:val="24"/>
        </w:rPr>
      </w:pPr>
    </w:p>
    <w:p w14:paraId="1E726CCF" w14:textId="3E26E70E" w:rsidR="00A40824" w:rsidRPr="003C6DBD" w:rsidRDefault="00A40824" w:rsidP="002A7494">
      <w:pPr>
        <w:rPr>
          <w:rFonts w:ascii="Times New Roman" w:hAnsi="Times New Roman" w:cs="Times New Roman"/>
          <w:color w:val="0D0D0D" w:themeColor="text1" w:themeTint="F2"/>
          <w:sz w:val="24"/>
          <w:szCs w:val="24"/>
        </w:rPr>
      </w:pPr>
    </w:p>
    <w:p w14:paraId="757ACEC9" w14:textId="5DBFF72C" w:rsidR="00734171" w:rsidRPr="003C6DBD" w:rsidRDefault="00734171" w:rsidP="002A7494">
      <w:pPr>
        <w:rPr>
          <w:rFonts w:ascii="Times New Roman" w:hAnsi="Times New Roman" w:cs="Times New Roman"/>
          <w:color w:val="0D0D0D" w:themeColor="text1" w:themeTint="F2"/>
          <w:sz w:val="24"/>
          <w:szCs w:val="24"/>
        </w:rPr>
      </w:pPr>
    </w:p>
    <w:p w14:paraId="53FB3377" w14:textId="77777777" w:rsidR="009632CD" w:rsidRPr="003C6DBD" w:rsidRDefault="009632CD" w:rsidP="009632CD">
      <w:pPr>
        <w:pStyle w:val="Heading1"/>
        <w:spacing w:line="480" w:lineRule="auto"/>
        <w:jc w:val="left"/>
        <w:rPr>
          <w:rFonts w:cs="Times New Roman"/>
          <w:color w:val="0D0D0D" w:themeColor="text1" w:themeTint="F2"/>
          <w:szCs w:val="24"/>
        </w:rPr>
        <w:sectPr w:rsidR="009632CD" w:rsidRPr="003C6DBD" w:rsidSect="003850D6">
          <w:pgSz w:w="12240" w:h="15840"/>
          <w:pgMar w:top="1440" w:right="1440" w:bottom="1440" w:left="1440" w:header="720" w:footer="720" w:gutter="0"/>
          <w:pgNumType w:fmt="lowerRoman" w:start="1"/>
          <w:cols w:space="720"/>
          <w:docGrid w:linePitch="360"/>
        </w:sectPr>
      </w:pPr>
    </w:p>
    <w:p w14:paraId="34E6CA0C" w14:textId="77777777" w:rsidR="00A24DEA" w:rsidRPr="003C6DBD" w:rsidRDefault="003F6F35" w:rsidP="002A7494">
      <w:pPr>
        <w:pStyle w:val="Heading1"/>
        <w:spacing w:line="480" w:lineRule="auto"/>
        <w:rPr>
          <w:rFonts w:cs="Times New Roman"/>
          <w:color w:val="0D0D0D" w:themeColor="text1" w:themeTint="F2"/>
          <w:szCs w:val="24"/>
        </w:rPr>
      </w:pPr>
      <w:bookmarkStart w:id="1" w:name="_Toc132761824"/>
      <w:r w:rsidRPr="003C6DBD">
        <w:rPr>
          <w:rFonts w:cs="Times New Roman"/>
          <w:color w:val="0D0D0D" w:themeColor="text1" w:themeTint="F2"/>
          <w:szCs w:val="24"/>
        </w:rPr>
        <w:lastRenderedPageBreak/>
        <w:t>CHAPTER I</w:t>
      </w:r>
      <w:bookmarkEnd w:id="1"/>
    </w:p>
    <w:p w14:paraId="14E20AE6" w14:textId="6B73B877" w:rsidR="00A24DEA" w:rsidRPr="003C6DBD" w:rsidRDefault="00D10D7B" w:rsidP="002A7494">
      <w:pPr>
        <w:pStyle w:val="Heading2"/>
        <w:rPr>
          <w:color w:val="0D0D0D" w:themeColor="text1" w:themeTint="F2"/>
        </w:rPr>
      </w:pPr>
      <w:bookmarkStart w:id="2" w:name="_Toc132761825"/>
      <w:r w:rsidRPr="003C6DBD">
        <w:rPr>
          <w:color w:val="0D0D0D" w:themeColor="text1" w:themeTint="F2"/>
        </w:rPr>
        <w:t>I</w:t>
      </w:r>
      <w:r w:rsidR="003F6F35" w:rsidRPr="003C6DBD">
        <w:rPr>
          <w:color w:val="0D0D0D" w:themeColor="text1" w:themeTint="F2"/>
        </w:rPr>
        <w:t>NTRODUCTION</w:t>
      </w:r>
      <w:bookmarkEnd w:id="2"/>
    </w:p>
    <w:p w14:paraId="3EC8D98B" w14:textId="77777777" w:rsidR="00024072" w:rsidRPr="003C6DBD" w:rsidRDefault="003F6F35" w:rsidP="002A7494">
      <w:pPr>
        <w:pStyle w:val="Heading3"/>
        <w:spacing w:line="480" w:lineRule="auto"/>
        <w:rPr>
          <w:rFonts w:cs="Times New Roman"/>
          <w:b w:val="0"/>
          <w:color w:val="0D0D0D" w:themeColor="text1" w:themeTint="F2"/>
          <w:szCs w:val="24"/>
        </w:rPr>
      </w:pPr>
      <w:bookmarkStart w:id="3" w:name="_Toc132761826"/>
      <w:r w:rsidRPr="003C6DBD">
        <w:rPr>
          <w:rFonts w:cs="Times New Roman"/>
          <w:color w:val="0D0D0D" w:themeColor="text1" w:themeTint="F2"/>
          <w:szCs w:val="24"/>
        </w:rPr>
        <w:t>1.1 Background</w:t>
      </w:r>
      <w:bookmarkEnd w:id="3"/>
    </w:p>
    <w:p w14:paraId="636CA558" w14:textId="4A779603" w:rsidR="00057643" w:rsidRPr="003C6DBD" w:rsidRDefault="00057643" w:rsidP="002A7494">
      <w:pPr>
        <w:pStyle w:val="ListParagraph"/>
        <w:spacing w:line="480" w:lineRule="auto"/>
        <w:ind w:left="0"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The </w:t>
      </w:r>
      <w:r w:rsidR="00553EFC" w:rsidRPr="003C6DBD">
        <w:rPr>
          <w:rFonts w:ascii="Times New Roman" w:hAnsi="Times New Roman" w:cs="Times New Roman"/>
          <w:color w:val="0D0D0D" w:themeColor="text1" w:themeTint="F2"/>
          <w:sz w:val="24"/>
          <w:szCs w:val="24"/>
        </w:rPr>
        <w:t xml:space="preserve">increasing </w:t>
      </w:r>
      <w:r w:rsidRPr="003C6DBD">
        <w:rPr>
          <w:rFonts w:ascii="Times New Roman" w:hAnsi="Times New Roman" w:cs="Times New Roman"/>
          <w:color w:val="0D0D0D" w:themeColor="text1" w:themeTint="F2"/>
          <w:sz w:val="24"/>
          <w:szCs w:val="24"/>
        </w:rPr>
        <w:t xml:space="preserve">trend of fossil fuel consumption globally has raised concerns about the depletion of fossil fuels. Recent studies examining the fossil fuel consumption pattern have predicted that mainstream crude oil, at its present consumption rate, will not fulfill the worldwide demand in the next 50 years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{"citationID":"25wJoOIN","properties":{"formattedCitation":"(Azari Marhabi et al., 2022)","plainCitation":"(Azari Marhabi et al., 2022)","noteIndex":0},"citationItems":[{"id":548,"uris":["http://zotero.org/users/8949154/items/MKLSPF4P"],"itemData":{"id":548,"type":"article-journal","container-title":"International Journal of Environmental Science and Technology","issue":"7","note":"publisher: Springer","page":"5897–5910","source":"Google Scholar","title":"Sustainable energy development under uncertainty based on the real options theory approach","volume":"19","author":[{"family":"Azari Marhabi","given":"A."},{"family":"Arasteh","given":"A."},{"family":"Paydar","given":"M. M."}],"issued":{"date-parts":[["2022"]]}}}],"schema":"https://github.com/citation-style-language/schema/raw/master/csl-citation.json"}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(Azari Marhabi et al., 2022)</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Fossil fuel combustion is one of the major sources of Greenhouse Gas (GHG) emissions. Climate change, primarily driven by the emission of GHG from the burning of fossil fuels, is widely regarded as one of the most pressing environmental concern</w:t>
      </w:r>
      <w:r w:rsidR="008800BF" w:rsidRPr="003C6DBD">
        <w:rPr>
          <w:rFonts w:ascii="Times New Roman" w:hAnsi="Times New Roman" w:cs="Times New Roman"/>
          <w:color w:val="0D0D0D" w:themeColor="text1" w:themeTint="F2"/>
          <w:sz w:val="24"/>
          <w:szCs w:val="24"/>
        </w:rPr>
        <w:t xml:space="preserve"> in recent times</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{"citationID":"h6q7fsfc","properties":{"formattedCitation":"(Siddik et al., 2021)","plainCitation":"(Siddik et al., 2021)","noteIndex":0},"citationItems":[{"id":550,"uris":["http://zotero.org/users/8949154/items/SSSIXEK6"],"itemData":{"id":550,"type":"article-journal","container-title":"Int. J. Energy Environ. Econ","page":"103–119","source":"Google Scholar","title":"Current Status and Correlation of Fossil Fuels Consumption and Greenhouse Gas Emissions","volume":"28","author":[{"family":"Siddik","given":"M."},{"family":"Islam","given":"M."},{"family":"Zaman","given":"A."},{"family":"Hasan","given":"M."}],"issued":{"date-parts":[["2021"]]}}}],"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(Siddik et al., 2021)</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GHG emissions are expected to rise in the coming years because of growing population and consumption of fossil fuels. This situation has required the gradual replacement of fossil fuels and the use of alternative fuels like biofuel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{"citationID":"nj8a49Zn","properties":{"formattedCitation":"(Altieri &amp; Bravo, 2007; Huang et al., 2012)","plainCitation":"(Altieri &amp; Bravo, 2007; Huang et al., 2012)","noteIndex":0},"citationItems":[{"id":471,"uris":["http://zotero.org/users/8949154/items/I6TBJB6Z"],"itemData":{"id":471,"type":"article-journal","container-title":"Food First/Institute for Food &amp; Development Policy","source":"Google Scholar","title":"The ecological and social tragedy of crop-based biofuel production in the Americas","volume":"6","author":[{"family":"Altieri","given":"Miguel"},{"family":"Bravo","given":"Elizabeth"}],"issued":{"date-parts":[["2007"]]}}},{"id":472,"uris":["http://zotero.org/users/8949154/items/CXUBXNSP"],"itemData":{"id":472,"type":"article-journal","container-title":"Energy procedia","note":"publisher: Elsevier","page":"1874–1885","source":"Google Scholar","title":"Biodiesel: an alternative to conventional fuel","title-short":"Biodiesel","volume":"16","author":[{"family":"Huang","given":"Daming"},{"family":"Zhou","given":"Haining"},{"family":"Lin","given":"Lin"}],"issued":{"date-parts":[["2012"]]}}}],"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(Altieri &amp; Bravo, 2007; Huang et al., 2012)</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The Intergovernmental Panel on Climate Change (IPCC) has underscored the risks associated with climate change and recognized the gradual replacement of fossil fuels by renewable fuels to mitigate climate change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{"citationID":"Y8DOK6BH","properties":{"formattedCitation":"(IPCC, 2014)","plainCitation":"(IPCC, 2014)","noteIndex":0},"citationItems":[{"id":484,"uris":["http://zotero.org/users/8949154/items/6KVSR57Q"],"itemData":{"id":484,"type":"webpage","title":"IPCC. Climate Change 2014: Mitigation of Climate Change. In: Edenhofer O, Pichs- Madruga R, Sokona Y, Farahani E, Kadner S, Seyboth K, Adler A, Baum I, Brunner S, Eickemeier P, Kriemann B, Savolainen J, Schlömer S, von Stechow C, Zwickel T, Minx JC, editor. Contribution of working group III to the fifth assessment report of the intergovernmental panel on climate change. Cambridge, United Kingdom and New York, NY, USA: Cambridge University Press; 2014. - Google Search","URL":"https://www.ipcc.ch/site/assets/uploads/2018/02/ipcc_wg3_ar5_frontmatter.pdf","author":[{"family":"IPCC","given":""}],"accessed":{"date-parts":[["2022",5,26]]},"issued":{"date-parts":[["2014"]]}}}],"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(IPCC, 2014)</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Governments worldwide have implemented policies to transition </w:t>
      </w:r>
      <w:r w:rsidR="00553EFC" w:rsidRPr="003C6DBD">
        <w:rPr>
          <w:rFonts w:ascii="Times New Roman" w:hAnsi="Times New Roman" w:cs="Times New Roman"/>
          <w:color w:val="0D0D0D" w:themeColor="text1" w:themeTint="F2"/>
          <w:sz w:val="24"/>
          <w:szCs w:val="24"/>
        </w:rPr>
        <w:t xml:space="preserve">from </w:t>
      </w:r>
      <w:r w:rsidRPr="003C6DBD">
        <w:rPr>
          <w:rFonts w:ascii="Times New Roman" w:hAnsi="Times New Roman" w:cs="Times New Roman"/>
          <w:color w:val="0D0D0D" w:themeColor="text1" w:themeTint="F2"/>
          <w:sz w:val="24"/>
          <w:szCs w:val="24"/>
        </w:rPr>
        <w:t>fossil fu</w:t>
      </w:r>
      <w:r w:rsidR="00553EFC" w:rsidRPr="003C6DBD">
        <w:rPr>
          <w:rFonts w:ascii="Times New Roman" w:hAnsi="Times New Roman" w:cs="Times New Roman"/>
          <w:color w:val="0D0D0D" w:themeColor="text1" w:themeTint="F2"/>
          <w:sz w:val="24"/>
          <w:szCs w:val="24"/>
        </w:rPr>
        <w:t>e</w:t>
      </w:r>
      <w:r w:rsidRPr="003C6DBD">
        <w:rPr>
          <w:rFonts w:ascii="Times New Roman" w:hAnsi="Times New Roman" w:cs="Times New Roman"/>
          <w:color w:val="0D0D0D" w:themeColor="text1" w:themeTint="F2"/>
          <w:sz w:val="24"/>
          <w:szCs w:val="24"/>
        </w:rPr>
        <w:t>l</w:t>
      </w:r>
      <w:r w:rsidR="00553EFC" w:rsidRPr="003C6DBD">
        <w:rPr>
          <w:rFonts w:ascii="Times New Roman" w:hAnsi="Times New Roman" w:cs="Times New Roman"/>
          <w:color w:val="0D0D0D" w:themeColor="text1" w:themeTint="F2"/>
          <w:sz w:val="24"/>
          <w:szCs w:val="24"/>
        </w:rPr>
        <w:t>s</w:t>
      </w:r>
      <w:r w:rsidRPr="003C6DBD">
        <w:rPr>
          <w:rFonts w:ascii="Times New Roman" w:hAnsi="Times New Roman" w:cs="Times New Roman"/>
          <w:color w:val="0D0D0D" w:themeColor="text1" w:themeTint="F2"/>
          <w:sz w:val="24"/>
          <w:szCs w:val="24"/>
        </w:rPr>
        <w:t xml:space="preserve"> sector to renewable fuel</w:t>
      </w:r>
      <w:r w:rsidR="00553EFC" w:rsidRPr="003C6DBD">
        <w:rPr>
          <w:rFonts w:ascii="Times New Roman" w:hAnsi="Times New Roman" w:cs="Times New Roman"/>
          <w:color w:val="0D0D0D" w:themeColor="text1" w:themeTint="F2"/>
          <w:sz w:val="24"/>
          <w:szCs w:val="24"/>
        </w:rPr>
        <w:t>s</w:t>
      </w:r>
      <w:r w:rsidRPr="003C6DBD">
        <w:rPr>
          <w:rFonts w:ascii="Times New Roman" w:hAnsi="Times New Roman" w:cs="Times New Roman"/>
          <w:color w:val="0D0D0D" w:themeColor="text1" w:themeTint="F2"/>
          <w:sz w:val="24"/>
          <w:szCs w:val="24"/>
        </w:rPr>
        <w:t xml:space="preserve"> using market-based mechanisms and command-and-control approaches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{"citationID":"qZ6Yp8eb","properties":{"formattedCitation":"(Campbell et al., 2018)","plainCitation":"(Campbell et al., 2018)","noteIndex":0},"citationItems":[{"id":488,"uris":["http://zotero.org/users/8949154/items/SRXIUAV2"],"itemData":{"id":488,"type":"article-journal","container-title":"Applied energy","note":"publisher: Elsevier","page":"330–343","source":"Google Scholar","title":"Financial viability of biofuel and biochar production from forest biomass in the face of market price volatility and uncertainty","volume":"230","author":[{"family":"Campbell","given":"Robert M."},{"family":"Anderson","given":"Nathaniel M."},{"family":"Daugaard","given":"Daren E."},{"family":"Naughton","given":"Helen T."}],"issued":{"date-parts":[["2018"]]}}}],"schema":"https://github.com/citation-style-language/schema/raw/master/csl-citation.json"}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(Campbell et al., 2018)</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Globally, more than fifty countries have developed biofuel policies and mandates to promote the transition of energy consumption in sectors like transportation, heating, and power from fossil fuels to renewable fuels like biofuel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{"citationID":"UKfuTXYe","properties":{"formattedCitation":"(Petersen, 2008)","plainCitation":"(Petersen, 2008)","noteIndex":0},"citationItems":[{"id":490,"uris":["http://zotero.org/users/8949154/items/C3N9CS3T"],"itemData":{"id":490,"type":"article-journal","container-title":"European Review of Agricultural Economics","issue":"3","note":"publisher: Oxford University Press","page":"385–408","source":"Google Scholar","title":"Energy production with agricultural biomass: environmental implications and analytical challenges","title-short":"Energy production with agricultural biomass","volume":"35","author":[{"family":"Petersen","given":"Jan-Erik"}],"issued":{"date-parts":[["2008"]]}}}],"schema":"https://github.com/citation-style-language/schema/raw/master/csl-citation.json"}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(Petersen, 2008)</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w:t>
      </w:r>
    </w:p>
    <w:p w14:paraId="5A100C6A" w14:textId="1586AA8A" w:rsidR="00057643" w:rsidRPr="003C6DBD" w:rsidRDefault="00057643" w:rsidP="002A7494">
      <w:pPr>
        <w:pStyle w:val="ListParagraph"/>
        <w:spacing w:line="480" w:lineRule="auto"/>
        <w:ind w:left="0"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In the United States, biofuels have emerged as a promising alternative source of energy because of their renewable nature. Biofuels reduce GHG emissions to the atmosphere and at the same time promote fuel security for a country. In addition, the biofuel industry can contribute to </w:t>
      </w:r>
      <w:r w:rsidRPr="003C6DBD">
        <w:rPr>
          <w:rFonts w:ascii="Times New Roman" w:hAnsi="Times New Roman" w:cs="Times New Roman"/>
          <w:color w:val="0D0D0D" w:themeColor="text1" w:themeTint="F2"/>
          <w:sz w:val="24"/>
          <w:szCs w:val="24"/>
        </w:rPr>
        <w:lastRenderedPageBreak/>
        <w:t xml:space="preserve">socioeconomic development by creating jobs in the domestic market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{"citationID":"CKdpFXVB","properties":{"formattedCitation":"(McCarty &amp; Sesmero, 2015)","plainCitation":"(McCarty &amp; Sesmero, 2015)","noteIndex":0},"citationItems":[{"id":469,"uris":["http://zotero.org/users/8949154/items/TVKPKZHP"],"itemData":{"id":469,"type":"article-journal","container-title":"BioEnergy Research","issue":"2","note":"publisher: Springer","page":"675–687","source":"Google Scholar","title":"Uncertainty, irreversibility, and investment in second-generation biofuels","volume":"8","author":[{"family":"McCarty","given":"Tanner"},{"family":"Sesmero","given":"Juan"}],"issued":{"date-parts":[["2015"]]}}}],"schema":"https://github.com/citation-style-language/schema/raw/master/csl-citation.json"}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(McCarty &amp; Sesmero, 2015)</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Several policies and mandates have been formulated and implemented to promote the biofuel industry in the US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{"citationID":"SIdn81ID","properties":{"formattedCitation":"(Markel et al., 2018)","plainCitation":"(Markel et al., 2018)","noteIndex":0},"citationItems":[{"id":468,"uris":["http://zotero.org/users/8949154/items/XZBVMYXU"],"itemData":{"id":468,"type":"article-journal","container-title":"Energy Economics","note":"publisher: Elsevier","page":"89–100","source":"Google Scholar","title":"Policy uncertainty and the optimal investment decisions of second-generation biofuel producers","volume":"76","author":[{"family":"Markel","given":"Evan"},{"family":"Sims","given":"Charles"},{"family":"English","given":"Burton C."}],"issued":{"date-parts":[["2018"]]}}}],"schema":"https://github.com/citation-style-language/schema/raw/master/csl-citation.json"}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(Markel et al., 2018)</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The renewable fuel standard (RFS) was first started in 2005</w:t>
      </w:r>
      <w:r w:rsidR="00F67CE9" w:rsidRPr="003C6DBD">
        <w:rPr>
          <w:rFonts w:ascii="Times New Roman" w:hAnsi="Times New Roman" w:cs="Times New Roman"/>
          <w:color w:val="0D0D0D" w:themeColor="text1" w:themeTint="F2"/>
          <w:sz w:val="24"/>
          <w:szCs w:val="24"/>
        </w:rPr>
        <w:t>,</w:t>
      </w:r>
      <w:r w:rsidRPr="003C6DBD">
        <w:rPr>
          <w:rFonts w:ascii="Times New Roman" w:hAnsi="Times New Roman" w:cs="Times New Roman"/>
          <w:color w:val="0D0D0D" w:themeColor="text1" w:themeTint="F2"/>
          <w:sz w:val="24"/>
          <w:szCs w:val="24"/>
        </w:rPr>
        <w:t xml:space="preserve"> and</w:t>
      </w:r>
      <w:r w:rsidR="00F67CE9" w:rsidRPr="003C6DBD">
        <w:rPr>
          <w:rFonts w:ascii="Times New Roman" w:hAnsi="Times New Roman" w:cs="Times New Roman"/>
          <w:color w:val="0D0D0D" w:themeColor="text1" w:themeTint="F2"/>
          <w:sz w:val="24"/>
          <w:szCs w:val="24"/>
        </w:rPr>
        <w:t xml:space="preserve"> it</w:t>
      </w:r>
      <w:r w:rsidRPr="003C6DBD">
        <w:rPr>
          <w:rFonts w:ascii="Times New Roman" w:hAnsi="Times New Roman" w:cs="Times New Roman"/>
          <w:color w:val="0D0D0D" w:themeColor="text1" w:themeTint="F2"/>
          <w:sz w:val="24"/>
          <w:szCs w:val="24"/>
        </w:rPr>
        <w:t xml:space="preserve"> expanded the way it is today as the second renewable fuel standard (RFS2) in 2007</w:t>
      </w:r>
      <w:r w:rsidR="004F7CBC" w:rsidRPr="003C6DBD">
        <w:rPr>
          <w:rFonts w:ascii="Times New Roman" w:hAnsi="Times New Roman" w:cs="Times New Roman"/>
          <w:color w:val="0D0D0D" w:themeColor="text1" w:themeTint="F2"/>
          <w:sz w:val="24"/>
          <w:szCs w:val="24"/>
        </w:rPr>
        <w:t xml:space="preserve"> </w:t>
      </w:r>
      <w:r w:rsidR="004F7CBC" w:rsidRPr="003C6DBD">
        <w:rPr>
          <w:rFonts w:ascii="Times New Roman" w:hAnsi="Times New Roman" w:cs="Times New Roman"/>
          <w:color w:val="0D0D0D" w:themeColor="text1" w:themeTint="F2"/>
          <w:sz w:val="24"/>
          <w:szCs w:val="24"/>
        </w:rPr>
        <w:fldChar w:fldCharType="begin"/>
      </w:r>
      <w:r w:rsidR="004F7CBC" w:rsidRPr="003C6DBD">
        <w:rPr>
          <w:rFonts w:ascii="Times New Roman" w:hAnsi="Times New Roman" w:cs="Times New Roman"/>
          <w:color w:val="0D0D0D" w:themeColor="text1" w:themeTint="F2"/>
          <w:sz w:val="24"/>
          <w:szCs w:val="24"/>
        </w:rPr>
        <w:instrText xml:space="preserve"> ADDIN ZOTERO_ITEM CSL_CITATION {"citationID":"QWXkUNLx","properties":{"formattedCitation":"(CRS, 2022)","plainCitation":"(CRS, 2022)","noteIndex":0},"citationItems":[{"id":109,"uris":["http://zotero.org/users/8949154/items/NTFYMVAP"],"itemData":{"id":109,"type":"document","title":"The  Renewable Fuel Standard  (RFS): An Overview","author":[{"family":"CRS","given":""}],"issued":{"date-parts":[["2022"]]}}}],"schema":"https://github.com/citation-style-language/schema/raw/master/csl-citation.json"} </w:instrText>
      </w:r>
      <w:r w:rsidR="004F7CBC" w:rsidRPr="003C6DBD">
        <w:rPr>
          <w:rFonts w:ascii="Times New Roman" w:hAnsi="Times New Roman" w:cs="Times New Roman"/>
          <w:color w:val="0D0D0D" w:themeColor="text1" w:themeTint="F2"/>
          <w:sz w:val="24"/>
          <w:szCs w:val="24"/>
        </w:rPr>
        <w:fldChar w:fldCharType="separate"/>
      </w:r>
      <w:r w:rsidR="004F7CBC" w:rsidRPr="003C6DBD">
        <w:rPr>
          <w:rFonts w:ascii="Times New Roman" w:hAnsi="Times New Roman" w:cs="Times New Roman"/>
          <w:color w:val="0D0D0D" w:themeColor="text1" w:themeTint="F2"/>
          <w:sz w:val="24"/>
          <w:szCs w:val="24"/>
        </w:rPr>
        <w:t>(CRS, 2022)</w:t>
      </w:r>
      <w:r w:rsidR="004F7CBC"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RFS</w:t>
      </w:r>
      <w:r w:rsidR="003F5F58" w:rsidRPr="003C6DBD">
        <w:rPr>
          <w:rFonts w:ascii="Times New Roman" w:hAnsi="Times New Roman" w:cs="Times New Roman"/>
          <w:color w:val="0D0D0D" w:themeColor="text1" w:themeTint="F2"/>
          <w:sz w:val="24"/>
          <w:szCs w:val="24"/>
        </w:rPr>
        <w:t>2</w:t>
      </w:r>
      <w:r w:rsidRPr="003C6DBD">
        <w:rPr>
          <w:rFonts w:ascii="Times New Roman" w:hAnsi="Times New Roman" w:cs="Times New Roman"/>
          <w:color w:val="0D0D0D" w:themeColor="text1" w:themeTint="F2"/>
          <w:sz w:val="24"/>
          <w:szCs w:val="24"/>
        </w:rPr>
        <w:t xml:space="preserve"> is a federal program </w:t>
      </w:r>
      <w:r w:rsidR="00F67CE9" w:rsidRPr="003C6DBD">
        <w:rPr>
          <w:rFonts w:ascii="Times New Roman" w:hAnsi="Times New Roman" w:cs="Times New Roman"/>
          <w:color w:val="0D0D0D" w:themeColor="text1" w:themeTint="F2"/>
          <w:sz w:val="24"/>
          <w:szCs w:val="24"/>
        </w:rPr>
        <w:t xml:space="preserve">supervised </w:t>
      </w:r>
      <w:r w:rsidRPr="003C6DBD">
        <w:rPr>
          <w:rFonts w:ascii="Times New Roman" w:hAnsi="Times New Roman" w:cs="Times New Roman"/>
          <w:color w:val="0D0D0D" w:themeColor="text1" w:themeTint="F2"/>
          <w:sz w:val="24"/>
          <w:szCs w:val="24"/>
        </w:rPr>
        <w:t xml:space="preserve">by the US Environmental Protection Agency (EPA) that requires transportation fuel </w:t>
      </w:r>
      <w:r w:rsidR="00F67CE9" w:rsidRPr="003C6DBD">
        <w:rPr>
          <w:rFonts w:ascii="Times New Roman" w:hAnsi="Times New Roman" w:cs="Times New Roman"/>
          <w:color w:val="0D0D0D" w:themeColor="text1" w:themeTint="F2"/>
          <w:sz w:val="24"/>
          <w:szCs w:val="24"/>
        </w:rPr>
        <w:t xml:space="preserve">in US </w:t>
      </w:r>
      <w:r w:rsidRPr="003C6DBD">
        <w:rPr>
          <w:rFonts w:ascii="Times New Roman" w:hAnsi="Times New Roman" w:cs="Times New Roman"/>
          <w:color w:val="0D0D0D" w:themeColor="text1" w:themeTint="F2"/>
          <w:sz w:val="24"/>
          <w:szCs w:val="24"/>
        </w:rPr>
        <w:t>to contain a minimum volume of renewable fuel. EPA sets the limit for renewable fuels to be incorporated into transportation fuels in an increasing pattern each year and monitors the RFS</w:t>
      </w:r>
      <w:r w:rsidR="003F5F58" w:rsidRPr="003C6DBD">
        <w:rPr>
          <w:rFonts w:ascii="Times New Roman" w:hAnsi="Times New Roman" w:cs="Times New Roman"/>
          <w:color w:val="0D0D0D" w:themeColor="text1" w:themeTint="F2"/>
          <w:sz w:val="24"/>
          <w:szCs w:val="24"/>
        </w:rPr>
        <w:t>2</w:t>
      </w:r>
      <w:r w:rsidRPr="003C6DBD">
        <w:rPr>
          <w:rFonts w:ascii="Times New Roman" w:hAnsi="Times New Roman" w:cs="Times New Roman"/>
          <w:color w:val="0D0D0D" w:themeColor="text1" w:themeTint="F2"/>
          <w:sz w:val="24"/>
          <w:szCs w:val="24"/>
        </w:rPr>
        <w:t xml:space="preserve"> compliance by tracking renewable identification numbers (RIN)</w:t>
      </w:r>
      <w:r w:rsidR="008800BF" w:rsidRPr="003C6DBD">
        <w:rPr>
          <w:rFonts w:ascii="Times New Roman" w:hAnsi="Times New Roman" w:cs="Times New Roman"/>
          <w:color w:val="0D0D0D" w:themeColor="text1" w:themeTint="F2"/>
          <w:sz w:val="24"/>
          <w:szCs w:val="24"/>
        </w:rPr>
        <w:t xml:space="preserve"> </w:t>
      </w:r>
      <w:r w:rsidR="008800BF" w:rsidRPr="003C6DBD">
        <w:rPr>
          <w:rFonts w:ascii="Times New Roman" w:hAnsi="Times New Roman" w:cs="Times New Roman"/>
          <w:color w:val="0D0D0D" w:themeColor="text1" w:themeTint="F2"/>
          <w:sz w:val="24"/>
          <w:szCs w:val="24"/>
        </w:rPr>
        <w:fldChar w:fldCharType="begin"/>
      </w:r>
      <w:r w:rsidR="008800BF" w:rsidRPr="003C6DBD">
        <w:rPr>
          <w:rFonts w:ascii="Times New Roman" w:hAnsi="Times New Roman" w:cs="Times New Roman"/>
          <w:color w:val="0D0D0D" w:themeColor="text1" w:themeTint="F2"/>
          <w:sz w:val="24"/>
          <w:szCs w:val="24"/>
        </w:rPr>
        <w:instrText xml:space="preserve"> ADDIN ZOTERO_ITEM CSL_CITATION {"citationID":"zRkPLqdb","properties":{"formattedCitation":"(Markel et al., 2018)","plainCitation":"(Markel et al., 2018)","noteIndex":0},"citationItems":[{"id":468,"uris":["http://zotero.org/users/8949154/items/XZBVMYXU"],"itemData":{"id":468,"type":"article-journal","container-title":"Energy Economics","note":"publisher: Elsevier","page":"89–100","source":"Google Scholar","title":"Policy uncertainty and the optimal investment decisions of second-generation biofuel producers","volume":"76","author":[{"family":"Markel","given":"Evan"},{"family":"Sims","given":"Charles"},{"family":"English","given":"Burton C."}],"issued":{"date-parts":[["2018"]]}}}],"schema":"https://github.com/citation-style-language/schema/raw/master/csl-citation.json"} </w:instrText>
      </w:r>
      <w:r w:rsidR="008800BF" w:rsidRPr="003C6DBD">
        <w:rPr>
          <w:rFonts w:ascii="Times New Roman" w:hAnsi="Times New Roman" w:cs="Times New Roman"/>
          <w:color w:val="0D0D0D" w:themeColor="text1" w:themeTint="F2"/>
          <w:sz w:val="24"/>
          <w:szCs w:val="24"/>
        </w:rPr>
        <w:fldChar w:fldCharType="separate"/>
      </w:r>
      <w:r w:rsidR="008800BF" w:rsidRPr="003C6DBD">
        <w:rPr>
          <w:rFonts w:ascii="Times New Roman" w:hAnsi="Times New Roman" w:cs="Times New Roman"/>
          <w:color w:val="0D0D0D" w:themeColor="text1" w:themeTint="F2"/>
          <w:sz w:val="24"/>
          <w:szCs w:val="24"/>
        </w:rPr>
        <w:t>(Markel et al., 2018)</w:t>
      </w:r>
      <w:r w:rsidR="008800BF"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Although the RFS</w:t>
      </w:r>
      <w:r w:rsidR="003F5F58" w:rsidRPr="003C6DBD">
        <w:rPr>
          <w:rFonts w:ascii="Times New Roman" w:hAnsi="Times New Roman" w:cs="Times New Roman"/>
          <w:color w:val="0D0D0D" w:themeColor="text1" w:themeTint="F2"/>
          <w:sz w:val="24"/>
          <w:szCs w:val="24"/>
        </w:rPr>
        <w:t>2</w:t>
      </w:r>
      <w:r w:rsidRPr="003C6DBD">
        <w:rPr>
          <w:rFonts w:ascii="Times New Roman" w:hAnsi="Times New Roman" w:cs="Times New Roman"/>
          <w:color w:val="0D0D0D" w:themeColor="text1" w:themeTint="F2"/>
          <w:sz w:val="24"/>
          <w:szCs w:val="24"/>
        </w:rPr>
        <w:t xml:space="preserve"> program has not been able to bring all the intended progress to the biofuel industry, it has stimulated the growth and development of the biofuel industry in the US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{"citationID":"qYXj8qKD","properties":{"formattedCitation":"(Markel et al., 2018)","plainCitation":"(Markel et al., 2018)","noteIndex":0},"citationItems":[{"id":468,"uris":["http://zotero.org/users/8949154/items/XZBVMYXU"],"itemData":{"id":468,"type":"article-journal","container-title":"Energy Economics","note":"publisher: Elsevier","page":"89–100","source":"Google Scholar","title":"Policy uncertainty and the optimal investment decisions of second-generation biofuel producers","volume":"76","author":[{"family":"Markel","given":"Evan"},{"family":"Sims","given":"Charles"},{"family":"English","given":"Burton C."}],"issued":{"date-parts":[["2018"]]}}}],"schema":"https://github.com/citation-style-language/schema/raw/master/csl-citation.json"}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(Markel et al., 2018)</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The biofuel industry has transformed in several ways from its beginning phase to the present. The first-generation biofuels like corn ethanol and sugarcane ethanol </w:t>
      </w:r>
      <w:r w:rsidR="00E479A5" w:rsidRPr="003C6DBD">
        <w:rPr>
          <w:rFonts w:ascii="Times New Roman" w:hAnsi="Times New Roman" w:cs="Times New Roman"/>
          <w:color w:val="0D0D0D" w:themeColor="text1" w:themeTint="F2"/>
          <w:sz w:val="24"/>
          <w:szCs w:val="24"/>
        </w:rPr>
        <w:t>are</w:t>
      </w:r>
      <w:r w:rsidRPr="003C6DBD">
        <w:rPr>
          <w:rFonts w:ascii="Times New Roman" w:hAnsi="Times New Roman" w:cs="Times New Roman"/>
          <w:color w:val="0D0D0D" w:themeColor="text1" w:themeTint="F2"/>
          <w:sz w:val="24"/>
          <w:szCs w:val="24"/>
        </w:rPr>
        <w:t xml:space="preserve"> the </w:t>
      </w:r>
      <w:r w:rsidR="00AD33FC" w:rsidRPr="003C6DBD">
        <w:rPr>
          <w:rFonts w:ascii="Times New Roman" w:hAnsi="Times New Roman" w:cs="Times New Roman"/>
          <w:color w:val="0D0D0D" w:themeColor="text1" w:themeTint="F2"/>
          <w:sz w:val="24"/>
          <w:szCs w:val="24"/>
        </w:rPr>
        <w:t>pioneers</w:t>
      </w:r>
      <w:r w:rsidRPr="003C6DBD">
        <w:rPr>
          <w:rFonts w:ascii="Times New Roman" w:hAnsi="Times New Roman" w:cs="Times New Roman"/>
          <w:color w:val="0D0D0D" w:themeColor="text1" w:themeTint="F2"/>
          <w:sz w:val="24"/>
          <w:szCs w:val="24"/>
        </w:rPr>
        <w:t xml:space="preserve"> in the biofuel industry. The first-generation biofuels are extracted by fermentation or esterification of edible crops like sugarcane, corn, wheat, rapeseed, etc. For instance, ethanol can be obtained from the fermentation of corn</w:t>
      </w:r>
      <w:r w:rsidR="00D20AA1" w:rsidRPr="003C6DBD">
        <w:rPr>
          <w:rFonts w:ascii="Times New Roman" w:hAnsi="Times New Roman" w:cs="Times New Roman"/>
          <w:color w:val="0D0D0D" w:themeColor="text1" w:themeTint="F2"/>
          <w:sz w:val="24"/>
          <w:szCs w:val="24"/>
        </w:rPr>
        <w:t xml:space="preserve"> or </w:t>
      </w:r>
      <w:r w:rsidRPr="003C6DBD">
        <w:rPr>
          <w:rFonts w:ascii="Times New Roman" w:hAnsi="Times New Roman" w:cs="Times New Roman"/>
          <w:color w:val="0D0D0D" w:themeColor="text1" w:themeTint="F2"/>
          <w:sz w:val="24"/>
          <w:szCs w:val="24"/>
        </w:rPr>
        <w:t>sugarcane and the esterification of crops like soybean</w:t>
      </w:r>
      <w:r w:rsidR="006324B9" w:rsidRPr="003C6DBD">
        <w:rPr>
          <w:rFonts w:ascii="Times New Roman" w:hAnsi="Times New Roman" w:cs="Times New Roman"/>
          <w:color w:val="0D0D0D" w:themeColor="text1" w:themeTint="F2"/>
          <w:sz w:val="24"/>
          <w:szCs w:val="24"/>
        </w:rPr>
        <w:t xml:space="preserve"> or </w:t>
      </w:r>
      <w:r w:rsidRPr="003C6DBD">
        <w:rPr>
          <w:rFonts w:ascii="Times New Roman" w:hAnsi="Times New Roman" w:cs="Times New Roman"/>
          <w:color w:val="0D0D0D" w:themeColor="text1" w:themeTint="F2"/>
          <w:sz w:val="24"/>
          <w:szCs w:val="24"/>
        </w:rPr>
        <w:t xml:space="preserve">palm oil </w:t>
      </w:r>
      <w:r w:rsidR="00E52BD5" w:rsidRPr="003C6DBD">
        <w:rPr>
          <w:rFonts w:ascii="Times New Roman" w:hAnsi="Times New Roman" w:cs="Times New Roman"/>
          <w:color w:val="0D0D0D" w:themeColor="text1" w:themeTint="F2"/>
          <w:sz w:val="24"/>
          <w:szCs w:val="24"/>
        </w:rPr>
        <w:t>generate</w:t>
      </w:r>
      <w:r w:rsidR="006324B9" w:rsidRPr="003C6DBD">
        <w:rPr>
          <w:rFonts w:ascii="Times New Roman" w:hAnsi="Times New Roman" w:cs="Times New Roman"/>
          <w:color w:val="0D0D0D" w:themeColor="text1" w:themeTint="F2"/>
          <w:sz w:val="24"/>
          <w:szCs w:val="24"/>
        </w:rPr>
        <w:t xml:space="preserve">s </w:t>
      </w:r>
      <w:r w:rsidRPr="003C6DBD">
        <w:rPr>
          <w:rFonts w:ascii="Times New Roman" w:hAnsi="Times New Roman" w:cs="Times New Roman"/>
          <w:color w:val="0D0D0D" w:themeColor="text1" w:themeTint="F2"/>
          <w:sz w:val="24"/>
          <w:szCs w:val="24"/>
        </w:rPr>
        <w:t xml:space="preserve">biodiesel. The easy availability of feedstock, efficient conversion technology, and biofuel-suitable government mandates and regulations encouraged the first-generation biofuel industry in the early 2000s leading to an ethanol boom during that period. However, the regular vehicle could only operate under E10 meaning the combination of fuel with 90% of regular gasoline and 10% of ethanol. Thus, the ethanol fuel market was already saturated by 2012. At the same time, public concerns regarding food insecurity, increasing food prices, competition with food crops, and concern about cost-effectiveness compared to their use as food shifted the attention of the stakeholders </w:t>
      </w:r>
      <w:r w:rsidRPr="003C6DBD">
        <w:rPr>
          <w:rFonts w:ascii="Times New Roman" w:hAnsi="Times New Roman" w:cs="Times New Roman"/>
          <w:color w:val="0D0D0D" w:themeColor="text1" w:themeTint="F2"/>
          <w:sz w:val="24"/>
          <w:szCs w:val="24"/>
        </w:rPr>
        <w:lastRenderedPageBreak/>
        <w:t xml:space="preserve">towards other alternatives </w:t>
      </w:r>
      <w:r w:rsidR="000740CC" w:rsidRPr="003C6DBD">
        <w:rPr>
          <w:rFonts w:ascii="Times New Roman" w:hAnsi="Times New Roman" w:cs="Times New Roman"/>
          <w:color w:val="0D0D0D" w:themeColor="text1" w:themeTint="F2"/>
          <w:sz w:val="24"/>
          <w:szCs w:val="24"/>
        </w:rPr>
        <w:t xml:space="preserve">referred to as </w:t>
      </w:r>
      <w:r w:rsidRPr="003C6DBD">
        <w:rPr>
          <w:rFonts w:ascii="Times New Roman" w:hAnsi="Times New Roman" w:cs="Times New Roman"/>
          <w:color w:val="0D0D0D" w:themeColor="text1" w:themeTint="F2"/>
          <w:sz w:val="24"/>
          <w:szCs w:val="24"/>
        </w:rPr>
        <w:t xml:space="preserve">second and third generation biofuels </w:t>
      </w:r>
      <w:r w:rsidRPr="003C6DBD">
        <w:rPr>
          <w:rFonts w:ascii="Times New Roman" w:hAnsi="Times New Roman" w:cs="Times New Roman"/>
          <w:color w:val="0D0D0D" w:themeColor="text1" w:themeTint="F2"/>
          <w:sz w:val="24"/>
          <w:szCs w:val="24"/>
        </w:rPr>
        <w:fldChar w:fldCharType="begin"/>
      </w:r>
      <w:r w:rsidR="00AD54C8" w:rsidRPr="003C6DBD">
        <w:rPr>
          <w:rFonts w:ascii="Times New Roman" w:hAnsi="Times New Roman" w:cs="Times New Roman"/>
          <w:color w:val="0D0D0D" w:themeColor="text1" w:themeTint="F2"/>
          <w:sz w:val="24"/>
          <w:szCs w:val="24"/>
        </w:rPr>
        <w:instrText xml:space="preserve"> ADDIN ZOTERO_ITEM CSL_CITATION {"citationID":"Dohx4J4F","properties":{"formattedCitation":"(Ng et al., 2017; Voloshin et al., 2016)","plainCitation":"(Ng et al., 2017; Voloshin et al., 2016)","noteIndex":0},"citationItems":[{"id":"cVBQBHGu/fajczUnc","uris":["http://zotero.org/users/local/FDZmrISf/items/9BJVW4G4"],"itemData":{"id":"9DQVfeYn/Did5atkx","type":"paper-conference","abstract":"The share of renewable energy resources has been surging in the overall global energy mix, as energy consumption continues to rise due to the global population growth. Fears of the non-renewable resources depletion aside, fossil fuels have also been proven to be one of the main causes of global warming. Whilst in search of alternative fuels worldwide, biodiesel has emerged as one of the most viable candidates. This study aims to provide an overview on the feasibility of biodiesel to supplant fossil diesel through detailed analysis of feedstock readiness and economic viabilities of the implementations of three generations of biodiesel, i.e. edible, non-edible and algae-based biodiesel. In this paper, the global total production of biodiesel of 176 countries is calculated. At 85 billion litres, the first and second generation biodiesel production has the potential to exceed its current production by three times. The profitability of the biodiesel production relies heavily on the crude oil price. When the crude oil price peaked at 133.9 USD/bbl, 74% of the global potential biodiesel production can be made profitably, contributing 135.45 GW into the renewable energy mix. With business as usual scenario, edible oil biodiesel will remain to be the dominant category of feedstock. Nonetheless, 15 countries are able to replace portions of diesel consumption with second generation non-edible biodiesel, with two being able to entirely supplant fossil diesel with it The implementation of third generation algae-based biodiesel can save up to 93% of arable land. In all, biodiesel represents a great alternative to the unsustainable fossil diesel usage and contributes to the renewable energy mix.","DOI":"10.1109/PGSRET.2017.8251817","page":"142-147","title":"On the economic feasibility of the first, second and third generations biodiesel feedstock","author":[{"family":"Ng","given":"Jo-Han"},{"family":"Tan","given":"Jian An"},{"family":"Lim","given":"Wee Lis"},{"family":"Chong","given":"Cheng Tung"},{"family":"Chong","given":"Wen Tong"}],"issued":{"date-parts":[["2017",4]]}}},{"id":603,"uris":["http://zotero.org/users/8949154/items/ZXHNBIDW"],"itemData":{"id":603,"type":"article-journal","container-title":"International journal of hydrogen energy","issue":"39","note":"publisher: Elsevier","page":"17257–17273","source":"Google Scholar","title":"Biofuel production from plant and algal biomass","volume":"41","author":[{"family":"Voloshin","given":"Roman A."},{"family":"Rodionova","given":"Margarita V."},{"family":"Zharmukhamedov","given":"Sergey K."},{"family":"Veziroglu","given":"T. Nejat"},{"family":"Allakhverdiev","given":"Suleyman I."}],"issued":{"date-parts":[["2016"]]}}}],"schema":"https://github.com/citation-style-language/schema/raw/master/csl-citation.json"}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002D1660" w:rsidRPr="003C6DBD">
        <w:rPr>
          <w:rFonts w:ascii="Times New Roman" w:hAnsi="Times New Roman" w:cs="Times New Roman"/>
          <w:color w:val="0D0D0D" w:themeColor="text1" w:themeTint="F2"/>
          <w:sz w:val="24"/>
          <w:szCs w:val="24"/>
        </w:rPr>
        <w:t>(Ng et al., 2017; Voloshin et al., 2016)</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The second-generation biofuels include bioethanol and biodiesel obtained from non-edible feedstocks like </w:t>
      </w:r>
      <w:r w:rsidR="008D4ED1" w:rsidRPr="003C6DBD">
        <w:rPr>
          <w:rFonts w:ascii="Times New Roman" w:hAnsi="Times New Roman" w:cs="Times New Roman"/>
          <w:color w:val="0D0D0D" w:themeColor="text1" w:themeTint="F2"/>
          <w:sz w:val="24"/>
          <w:szCs w:val="24"/>
        </w:rPr>
        <w:t xml:space="preserve">woodchips, agricultural waste, </w:t>
      </w:r>
      <w:r w:rsidRPr="003C6DBD">
        <w:rPr>
          <w:rFonts w:ascii="Times New Roman" w:hAnsi="Times New Roman" w:cs="Times New Roman"/>
          <w:color w:val="0D0D0D" w:themeColor="text1" w:themeTint="F2"/>
          <w:sz w:val="24"/>
          <w:szCs w:val="24"/>
        </w:rPr>
        <w:t>jatropha</w:t>
      </w:r>
      <w:r w:rsidR="008D4ED1" w:rsidRPr="003C6DBD">
        <w:rPr>
          <w:rFonts w:ascii="Times New Roman" w:hAnsi="Times New Roman" w:cs="Times New Roman"/>
          <w:color w:val="0D0D0D" w:themeColor="text1" w:themeTint="F2"/>
          <w:sz w:val="24"/>
          <w:szCs w:val="24"/>
        </w:rPr>
        <w:t>,</w:t>
      </w:r>
      <w:r w:rsidR="009E179C" w:rsidRPr="003C6DBD">
        <w:rPr>
          <w:rFonts w:ascii="Times New Roman" w:hAnsi="Times New Roman" w:cs="Times New Roman"/>
          <w:color w:val="0D0D0D" w:themeColor="text1" w:themeTint="F2"/>
          <w:sz w:val="24"/>
          <w:szCs w:val="24"/>
        </w:rPr>
        <w:t xml:space="preserve"> and </w:t>
      </w:r>
      <w:r w:rsidRPr="003C6DBD">
        <w:rPr>
          <w:rFonts w:ascii="Times New Roman" w:hAnsi="Times New Roman" w:cs="Times New Roman"/>
          <w:color w:val="0D0D0D" w:themeColor="text1" w:themeTint="F2"/>
          <w:sz w:val="24"/>
          <w:szCs w:val="24"/>
        </w:rPr>
        <w:t>switchgrass etc. Although the problem generated by first-generation biofuel is solved by second-generation biofuel, the availability of raw materials to produce second-generation biofuel is still a challenge. Several studies have explored feedstock availability, the scope of cultivating the feedstocks, the conversion processes, and the financial feasibility of producing second-generation biofuels</w:t>
      </w:r>
      <w:r w:rsidR="00D20578" w:rsidRPr="003C6DBD">
        <w:rPr>
          <w:rFonts w:ascii="Times New Roman" w:hAnsi="Times New Roman" w:cs="Times New Roman"/>
          <w:color w:val="0D0D0D" w:themeColor="text1" w:themeTint="F2"/>
          <w:sz w:val="24"/>
          <w:szCs w:val="24"/>
        </w:rPr>
        <w:t xml:space="preserve"> </w:t>
      </w:r>
      <w:r w:rsidR="00E479A5" w:rsidRPr="003C6DBD">
        <w:rPr>
          <w:rFonts w:ascii="Times New Roman" w:hAnsi="Times New Roman" w:cs="Times New Roman"/>
          <w:color w:val="0D0D0D" w:themeColor="text1" w:themeTint="F2"/>
          <w:sz w:val="24"/>
          <w:szCs w:val="24"/>
        </w:rPr>
        <w:t xml:space="preserve">as a challenge </w:t>
      </w:r>
      <w:r w:rsidR="00BE1623" w:rsidRPr="003C6DBD">
        <w:rPr>
          <w:rFonts w:ascii="Times New Roman" w:hAnsi="Times New Roman" w:cs="Times New Roman"/>
          <w:color w:val="0D0D0D" w:themeColor="text1" w:themeTint="F2"/>
          <w:sz w:val="24"/>
          <w:szCs w:val="24"/>
        </w:rPr>
        <w:fldChar w:fldCharType="begin"/>
      </w:r>
      <w:r w:rsidR="00AD54C8" w:rsidRPr="003C6DBD">
        <w:rPr>
          <w:rFonts w:ascii="Times New Roman" w:hAnsi="Times New Roman" w:cs="Times New Roman"/>
          <w:color w:val="0D0D0D" w:themeColor="text1" w:themeTint="F2"/>
          <w:sz w:val="24"/>
          <w:szCs w:val="24"/>
        </w:rPr>
        <w:instrText xml:space="preserve"> ADDIN ZOTERO_ITEM CSL_CITATION {"citationID":"VwbO6DHF","properties":{"formattedCitation":"(Markel et al., 2018; McCarty &amp; Sesmero, 2015; Miller et al., 2013; Ng et al., 2017)","plainCitation":"(Markel et al., 2018; McCarty &amp; Sesmero, 2015; Miller et al., 2013; Ng et al., 2017)","noteIndex":0},"citationItems":[{"id":468,"uris":["http://zotero.org/users/8949154/items/XZBVMYXU"],"itemData":{"id":468,"type":"article-journal","container-title":"Energy Economics","note":"publisher: Elsevier","page":"89–100","source":"Google Scholar","title":"Policy uncertainty and the optimal investment decisions of second-generation biofuel producers","volume":"76","author":[{"family":"Markel","given":"Evan"},{"family":"Sims","given":"Charles"},{"family":"English","given":"Burton C."}],"issued":{"date-parts":[["2018"]]}}},{"id":469,"uris":["http://zotero.org/users/8949154/items/TVKPKZHP"],"itemData":{"id":469,"type":"article-journal","container-title":"BioEnergy Research","issue":"2","note":"publisher: Springer","page":"675–687","source":"Google Scholar","title":"Uncertainty, irreversibility, and investment in second-generation biofuels","volume":"8","author":[{"family":"McCarty","given":"Tanner"},{"family":"Sesmero","given":"Juan"}],"issued":{"date-parts":[["2015"]]}}},{"id":7,"uris":["http://zotero.org/users/8949154/items/VHMNS63T"],"itemData":{"id":7,"type":"article-journal","container-title":"The International Council on Clean Transportation: Washington, DC","source":"Google Scholar","title":"Measuring and addressing investment risk in the second-generation biofuels industry","author":[{"family":"Miller","given":"Nathan"},{"family":"Christensen","given":"Adam"},{"family":"Park","given":"Ji Eun"},{"family":"Baral","given":"A."},{"family":"Malins","given":"C."},{"family":"Searle","given":"S."}],"issued":{"date-parts":[["2013"]]}}},{"id":"cVBQBHGu/fajczUnc","uris":["http://zotero.org/users/local/FDZmrISf/items/9BJVW4G4"],"itemData":{"id":"ClYVQseT/cocfkWzK","type":"paper-conference","abstract":"The share of renewable energy resources has been surging in the overall global energy mix, as energy consumption continues to rise due to the global population growth. Fears of the non-renewable resources depletion aside, fossil fuels have also been proven to be one of the main causes of global warming. Whilst in search of alternative fuels worldwide, biodiesel has emerged as one of the most viable candidates. This study aims to provide an overview on the feasibility of biodiesel to supplant fossil diesel through detailed analysis of feedstock readiness and economic viabilities of the implementations of three generations of biodiesel, i.e. edible, non-edible and algae-based biodiesel. In this paper, the global total production of biodiesel of 176 countries is calculated. At 85 billion litres, the first and second generation biodiesel production has the potential to exceed its current production by three times. The profitability of the biodiesel production relies heavily on the crude oil price. When the crude oil price peaked at 133.9 USD/bbl, 74% of the global potential biodiesel production can be made profitably, contributing 135.45 GW into the renewable energy mix. With business as usual scenario, edible oil biodiesel will remain to be the dominant category of feedstock. Nonetheless, 15 countries are able to replace portions of diesel consumption with second generation non-edible biodiesel, with two being able to entirely supplant fossil diesel with it The implementation of third generation algae-based biodiesel can save up to 93% of arable land. In all, biodiesel represents a great alternative to the unsustainable fossil diesel usage and contributes to the renewable energy mix.","DOI":"10.1109/PGSRET.2017.8251817","page":"142-147","title":"On the economic feasibility of the first, second and third generations biodiesel feedstock","author":[{"family":"Ng","given":"Jo-Han"},{"family":"Tan","given":"Jian An"},{"family":"Lim","given":"Wee Lis"},{"family":"Chong","given":"Cheng Tung"},{"family":"Chong","given":"Wen Tong"}],"issued":{"date-parts":[["2017",4]]}}}],"schema":"https://github.com/citation-style-language/schema/raw/master/csl-citation.json"} </w:instrText>
      </w:r>
      <w:r w:rsidR="00BE1623" w:rsidRPr="003C6DBD">
        <w:rPr>
          <w:rFonts w:ascii="Times New Roman" w:hAnsi="Times New Roman" w:cs="Times New Roman"/>
          <w:color w:val="0D0D0D" w:themeColor="text1" w:themeTint="F2"/>
          <w:sz w:val="24"/>
          <w:szCs w:val="24"/>
        </w:rPr>
        <w:fldChar w:fldCharType="separate"/>
      </w:r>
      <w:r w:rsidR="008D6477" w:rsidRPr="003C6DBD">
        <w:rPr>
          <w:rFonts w:ascii="Times New Roman" w:hAnsi="Times New Roman" w:cs="Times New Roman"/>
          <w:color w:val="0D0D0D" w:themeColor="text1" w:themeTint="F2"/>
          <w:sz w:val="24"/>
          <w:szCs w:val="24"/>
        </w:rPr>
        <w:t>(Markel et al., 2018; McCarty &amp; Sesmero, 2015; Miller et al., 2013; Ng et al., 2017)</w:t>
      </w:r>
      <w:r w:rsidR="00BE1623"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The third-generation </w:t>
      </w:r>
      <w:r w:rsidR="00E479A5" w:rsidRPr="003C6DBD">
        <w:rPr>
          <w:rFonts w:ascii="Times New Roman" w:hAnsi="Times New Roman" w:cs="Times New Roman"/>
          <w:color w:val="0D0D0D" w:themeColor="text1" w:themeTint="F2"/>
          <w:sz w:val="24"/>
          <w:szCs w:val="24"/>
        </w:rPr>
        <w:t xml:space="preserve">biofuel is a current hot topic in </w:t>
      </w:r>
      <w:r w:rsidR="003F5B66" w:rsidRPr="003C6DBD">
        <w:rPr>
          <w:rFonts w:ascii="Times New Roman" w:hAnsi="Times New Roman" w:cs="Times New Roman"/>
          <w:color w:val="0D0D0D" w:themeColor="text1" w:themeTint="F2"/>
          <w:sz w:val="24"/>
          <w:szCs w:val="24"/>
        </w:rPr>
        <w:t xml:space="preserve">the </w:t>
      </w:r>
      <w:r w:rsidRPr="003C6DBD">
        <w:rPr>
          <w:rFonts w:ascii="Times New Roman" w:hAnsi="Times New Roman" w:cs="Times New Roman"/>
          <w:color w:val="0D0D0D" w:themeColor="text1" w:themeTint="F2"/>
          <w:sz w:val="24"/>
          <w:szCs w:val="24"/>
        </w:rPr>
        <w:t xml:space="preserve">biofuel </w:t>
      </w:r>
      <w:r w:rsidR="003F5B66" w:rsidRPr="003C6DBD">
        <w:rPr>
          <w:rFonts w:ascii="Times New Roman" w:hAnsi="Times New Roman" w:cs="Times New Roman"/>
          <w:color w:val="0D0D0D" w:themeColor="text1" w:themeTint="F2"/>
          <w:sz w:val="24"/>
          <w:szCs w:val="24"/>
        </w:rPr>
        <w:t>industry,</w:t>
      </w:r>
      <w:r w:rsidR="00E479A5" w:rsidRPr="003C6DBD">
        <w:rPr>
          <w:rFonts w:ascii="Times New Roman" w:hAnsi="Times New Roman" w:cs="Times New Roman"/>
          <w:color w:val="0D0D0D" w:themeColor="text1" w:themeTint="F2"/>
          <w:sz w:val="24"/>
          <w:szCs w:val="24"/>
        </w:rPr>
        <w:t xml:space="preserve"> and it </w:t>
      </w:r>
      <w:r w:rsidRPr="003C6DBD">
        <w:rPr>
          <w:rFonts w:ascii="Times New Roman" w:hAnsi="Times New Roman" w:cs="Times New Roman"/>
          <w:color w:val="0D0D0D" w:themeColor="text1" w:themeTint="F2"/>
          <w:sz w:val="24"/>
          <w:szCs w:val="24"/>
        </w:rPr>
        <w:t>use</w:t>
      </w:r>
      <w:r w:rsidR="00E479A5" w:rsidRPr="003C6DBD">
        <w:rPr>
          <w:rFonts w:ascii="Times New Roman" w:hAnsi="Times New Roman" w:cs="Times New Roman"/>
          <w:color w:val="0D0D0D" w:themeColor="text1" w:themeTint="F2"/>
          <w:sz w:val="24"/>
          <w:szCs w:val="24"/>
        </w:rPr>
        <w:t>s</w:t>
      </w:r>
      <w:r w:rsidRPr="003C6DBD">
        <w:rPr>
          <w:rFonts w:ascii="Times New Roman" w:hAnsi="Times New Roman" w:cs="Times New Roman"/>
          <w:color w:val="0D0D0D" w:themeColor="text1" w:themeTint="F2"/>
          <w:sz w:val="24"/>
          <w:szCs w:val="24"/>
        </w:rPr>
        <w:t xml:space="preserve"> microalgae</w:t>
      </w:r>
      <w:r w:rsidR="00E479A5" w:rsidRPr="003C6DBD">
        <w:rPr>
          <w:rFonts w:ascii="Times New Roman" w:hAnsi="Times New Roman" w:cs="Times New Roman"/>
          <w:color w:val="0D0D0D" w:themeColor="text1" w:themeTint="F2"/>
          <w:sz w:val="24"/>
          <w:szCs w:val="24"/>
        </w:rPr>
        <w:t xml:space="preserve"> and</w:t>
      </w:r>
      <w:r w:rsidRPr="003C6DBD">
        <w:rPr>
          <w:rFonts w:ascii="Times New Roman" w:hAnsi="Times New Roman" w:cs="Times New Roman"/>
          <w:color w:val="0D0D0D" w:themeColor="text1" w:themeTint="F2"/>
          <w:sz w:val="24"/>
          <w:szCs w:val="24"/>
        </w:rPr>
        <w:t xml:space="preserve"> seaweeds</w:t>
      </w:r>
      <w:r w:rsidR="00E479A5" w:rsidRPr="003C6DBD">
        <w:rPr>
          <w:rFonts w:ascii="Times New Roman" w:hAnsi="Times New Roman" w:cs="Times New Roman"/>
          <w:color w:val="0D0D0D" w:themeColor="text1" w:themeTint="F2"/>
          <w:sz w:val="24"/>
          <w:szCs w:val="24"/>
        </w:rPr>
        <w:t xml:space="preserve"> to produce biofuel. It </w:t>
      </w:r>
      <w:r w:rsidRPr="003C6DBD">
        <w:rPr>
          <w:rFonts w:ascii="Times New Roman" w:hAnsi="Times New Roman" w:cs="Times New Roman"/>
          <w:color w:val="0D0D0D" w:themeColor="text1" w:themeTint="F2"/>
          <w:sz w:val="24"/>
          <w:szCs w:val="24"/>
        </w:rPr>
        <w:t>seems to be a promising alternative to first and second-generation biofuel because it does not compete with the farmland as it can be grown in saltwater and brackish water. Also, there is</w:t>
      </w:r>
      <w:r w:rsidR="00E479A5" w:rsidRPr="003C6DBD">
        <w:rPr>
          <w:rFonts w:ascii="Times New Roman" w:hAnsi="Times New Roman" w:cs="Times New Roman"/>
          <w:color w:val="0D0D0D" w:themeColor="text1" w:themeTint="F2"/>
          <w:sz w:val="24"/>
          <w:szCs w:val="24"/>
        </w:rPr>
        <w:t xml:space="preserve"> enormous potential to grow feedstock for third-generation biofuel</w:t>
      </w:r>
      <w:r w:rsidRPr="003C6DBD">
        <w:rPr>
          <w:rFonts w:ascii="Times New Roman" w:hAnsi="Times New Roman" w:cs="Times New Roman"/>
          <w:color w:val="0D0D0D" w:themeColor="text1" w:themeTint="F2"/>
          <w:sz w:val="24"/>
          <w:szCs w:val="24"/>
        </w:rPr>
        <w:t xml:space="preserve">. However, the economic viability of </w:t>
      </w:r>
      <w:r w:rsidR="00F8792C" w:rsidRPr="003C6DBD">
        <w:rPr>
          <w:rFonts w:ascii="Times New Roman" w:hAnsi="Times New Roman" w:cs="Times New Roman"/>
          <w:color w:val="0D0D0D" w:themeColor="text1" w:themeTint="F2"/>
          <w:sz w:val="24"/>
          <w:szCs w:val="24"/>
        </w:rPr>
        <w:t xml:space="preserve">third-generation </w:t>
      </w:r>
      <w:r w:rsidRPr="003C6DBD">
        <w:rPr>
          <w:rFonts w:ascii="Times New Roman" w:hAnsi="Times New Roman" w:cs="Times New Roman"/>
          <w:color w:val="0D0D0D" w:themeColor="text1" w:themeTint="F2"/>
          <w:sz w:val="24"/>
          <w:szCs w:val="24"/>
        </w:rPr>
        <w:t>biofuels is still a major question.</w:t>
      </w:r>
    </w:p>
    <w:p w14:paraId="74A7CE9E" w14:textId="77777777" w:rsidR="00B67888" w:rsidRPr="003C6DBD" w:rsidRDefault="003F6F35" w:rsidP="002A7494">
      <w:pPr>
        <w:pStyle w:val="Heading3"/>
        <w:spacing w:line="480" w:lineRule="auto"/>
        <w:rPr>
          <w:rFonts w:cs="Times New Roman"/>
          <w:color w:val="0D0D0D" w:themeColor="text1" w:themeTint="F2"/>
          <w:szCs w:val="24"/>
        </w:rPr>
      </w:pPr>
      <w:bookmarkStart w:id="4" w:name="_Toc132761827"/>
      <w:r w:rsidRPr="003C6DBD">
        <w:rPr>
          <w:rFonts w:cs="Times New Roman"/>
          <w:color w:val="0D0D0D" w:themeColor="text1" w:themeTint="F2"/>
          <w:szCs w:val="24"/>
        </w:rPr>
        <w:t>1.2 Research Problem</w:t>
      </w:r>
      <w:bookmarkEnd w:id="0"/>
      <w:bookmarkEnd w:id="4"/>
    </w:p>
    <w:p w14:paraId="64AE68ED" w14:textId="7DFBBA6E" w:rsidR="0089604F" w:rsidRPr="003C6DBD" w:rsidRDefault="003F6F35" w:rsidP="002A7494">
      <w:pPr>
        <w:pStyle w:val="BodyText"/>
        <w:spacing w:line="480" w:lineRule="auto"/>
        <w:ind w:firstLine="720"/>
        <w:rPr>
          <w:color w:val="0D0D0D" w:themeColor="text1" w:themeTint="F2"/>
          <w:sz w:val="24"/>
          <w:szCs w:val="24"/>
        </w:rPr>
      </w:pPr>
      <w:r w:rsidRPr="003C6DBD">
        <w:rPr>
          <w:color w:val="0D0D0D" w:themeColor="text1" w:themeTint="F2"/>
          <w:sz w:val="24"/>
          <w:szCs w:val="24"/>
        </w:rPr>
        <w:t xml:space="preserve">Global warming and climate change </w:t>
      </w:r>
      <w:r w:rsidR="0060550C" w:rsidRPr="003C6DBD">
        <w:rPr>
          <w:color w:val="0D0D0D" w:themeColor="text1" w:themeTint="F2"/>
          <w:sz w:val="24"/>
          <w:szCs w:val="24"/>
        </w:rPr>
        <w:t xml:space="preserve">resulting </w:t>
      </w:r>
      <w:r w:rsidRPr="003C6DBD">
        <w:rPr>
          <w:color w:val="0D0D0D" w:themeColor="text1" w:themeTint="F2"/>
          <w:sz w:val="24"/>
          <w:szCs w:val="24"/>
        </w:rPr>
        <w:t>from carbon dioxide and GHG emissions by using fossil fuels is a growing concern</w:t>
      </w:r>
      <w:r w:rsidR="005E198D" w:rsidRPr="003C6DBD">
        <w:rPr>
          <w:color w:val="0D0D0D" w:themeColor="text1" w:themeTint="F2"/>
          <w:sz w:val="24"/>
          <w:szCs w:val="24"/>
        </w:rPr>
        <w:t xml:space="preserve">. </w:t>
      </w:r>
      <w:r w:rsidRPr="003C6DBD">
        <w:rPr>
          <w:color w:val="0D0D0D" w:themeColor="text1" w:themeTint="F2"/>
          <w:sz w:val="24"/>
          <w:szCs w:val="24"/>
        </w:rPr>
        <w:t xml:space="preserve">This </w:t>
      </w:r>
      <w:r w:rsidR="00465A97" w:rsidRPr="003C6DBD">
        <w:rPr>
          <w:color w:val="0D0D0D" w:themeColor="text1" w:themeTint="F2"/>
          <w:sz w:val="24"/>
          <w:szCs w:val="24"/>
        </w:rPr>
        <w:t xml:space="preserve">situation </w:t>
      </w:r>
      <w:r w:rsidRPr="003C6DBD">
        <w:rPr>
          <w:color w:val="0D0D0D" w:themeColor="text1" w:themeTint="F2"/>
          <w:sz w:val="24"/>
          <w:szCs w:val="24"/>
        </w:rPr>
        <w:t>has required the gradual replacement of fossil fuels and the use of alternative fuel</w:t>
      </w:r>
      <w:r w:rsidR="0074075E" w:rsidRPr="003C6DBD">
        <w:rPr>
          <w:color w:val="0D0D0D" w:themeColor="text1" w:themeTint="F2"/>
          <w:sz w:val="24"/>
          <w:szCs w:val="24"/>
        </w:rPr>
        <w:t>s</w:t>
      </w:r>
      <w:r w:rsidRPr="003C6DBD">
        <w:rPr>
          <w:color w:val="0D0D0D" w:themeColor="text1" w:themeTint="F2"/>
          <w:sz w:val="24"/>
          <w:szCs w:val="24"/>
        </w:rPr>
        <w:t xml:space="preserve"> like biofuel </w:t>
      </w:r>
      <w:r w:rsidRPr="003C6DBD">
        <w:rPr>
          <w:color w:val="0D0D0D" w:themeColor="text1" w:themeTint="F2"/>
          <w:sz w:val="24"/>
          <w:szCs w:val="24"/>
        </w:rPr>
        <w:fldChar w:fldCharType="begin"/>
      </w:r>
      <w:r w:rsidR="00563C81" w:rsidRPr="003C6DBD">
        <w:rPr>
          <w:color w:val="0D0D0D" w:themeColor="text1" w:themeTint="F2"/>
          <w:sz w:val="24"/>
          <w:szCs w:val="24"/>
        </w:rPr>
        <w:instrText xml:space="preserve"> ADDIN ZOTERO_ITEM CSL_CITATION {"citationID":"HWDGsMkr","properties":{"formattedCitation":"(Altieri &amp; Bravo, 2007; Huang et al., 2012)","plainCitation":"(Altieri &amp; Bravo, 2007; Huang et al., 2012)","noteIndex":0},"citationItems":[{"id":471,"uris":["http://zotero.org/users/8949154/items/I6TBJB6Z"],"itemData":{"id":471,"type":"article-journal","container-title":"Food First/Institute for Food &amp; Development Policy","source":"Google Scholar","title":"The ecological and social tragedy of crop-based biofuel production in the Americas","volume":"6","author":[{"family":"Altieri","given":"Miguel"},{"family":"Bravo","given":"Elizabeth"}],"issued":{"date-parts":[["2007"]]}}},{"id":472,"uris":["http://zotero.org/users/8949154/items/CXUBXNSP"],"itemData":{"id":472,"type":"article-journal","container-title":"Energy procedia","note":"publisher: Elsevier","page":"1874–1885","source":"Google Scholar","title":"Biodiesel: an alternative to conventional fuel","title-short":"Biodiesel","volume":"16","author":[{"family":"Huang","given":"Daming"},{"family":"Zhou","given":"Haining"},{"family":"Lin","given":"Lin"}],"issued":{"date-parts":[["2012"]]}}}],"schema":"https://github.com/citation-style-language/schema/raw/master/csl-citation.json"} </w:instrText>
      </w:r>
      <w:r w:rsidRPr="003C6DBD">
        <w:rPr>
          <w:color w:val="0D0D0D" w:themeColor="text1" w:themeTint="F2"/>
          <w:sz w:val="24"/>
          <w:szCs w:val="24"/>
        </w:rPr>
        <w:fldChar w:fldCharType="separate"/>
      </w:r>
      <w:r w:rsidR="00524A8E" w:rsidRPr="003C6DBD">
        <w:rPr>
          <w:color w:val="0D0D0D" w:themeColor="text1" w:themeTint="F2"/>
          <w:sz w:val="24"/>
          <w:szCs w:val="24"/>
        </w:rPr>
        <w:t>(Altieri &amp; Bravo, 2007; Huang et al., 2012)</w:t>
      </w:r>
      <w:r w:rsidRPr="003C6DBD">
        <w:rPr>
          <w:color w:val="0D0D0D" w:themeColor="text1" w:themeTint="F2"/>
          <w:sz w:val="24"/>
          <w:szCs w:val="24"/>
        </w:rPr>
        <w:fldChar w:fldCharType="end"/>
      </w:r>
      <w:r w:rsidRPr="003C6DBD">
        <w:rPr>
          <w:color w:val="0D0D0D" w:themeColor="text1" w:themeTint="F2"/>
          <w:sz w:val="24"/>
          <w:szCs w:val="24"/>
        </w:rPr>
        <w:t xml:space="preserve">. </w:t>
      </w:r>
    </w:p>
    <w:p w14:paraId="7F663F36" w14:textId="0C260CF5" w:rsidR="00BE2910" w:rsidRPr="003C6DBD" w:rsidRDefault="00BE2910" w:rsidP="002A7494">
      <w:pPr>
        <w:pStyle w:val="BodyText"/>
        <w:spacing w:line="480" w:lineRule="auto"/>
        <w:ind w:firstLine="720"/>
        <w:rPr>
          <w:color w:val="0D0D0D" w:themeColor="text1" w:themeTint="F2"/>
          <w:sz w:val="24"/>
          <w:szCs w:val="24"/>
        </w:rPr>
      </w:pPr>
      <w:r w:rsidRPr="003C6DBD">
        <w:rPr>
          <w:color w:val="0D0D0D" w:themeColor="text1" w:themeTint="F2"/>
          <w:sz w:val="24"/>
          <w:szCs w:val="24"/>
        </w:rPr>
        <w:t>The recent advancements in electric vehicle technology</w:t>
      </w:r>
      <w:r w:rsidR="000E50F5" w:rsidRPr="003C6DBD">
        <w:rPr>
          <w:color w:val="0D0D0D" w:themeColor="text1" w:themeTint="F2"/>
          <w:sz w:val="24"/>
          <w:szCs w:val="24"/>
        </w:rPr>
        <w:t>, an alternative to conventional fossil fuels,</w:t>
      </w:r>
      <w:r w:rsidRPr="003C6DBD">
        <w:rPr>
          <w:color w:val="0D0D0D" w:themeColor="text1" w:themeTint="F2"/>
          <w:sz w:val="24"/>
          <w:szCs w:val="24"/>
        </w:rPr>
        <w:t xml:space="preserve"> have provided significant environmental benefits, particularly in terms of reducing greenhouse gas emissions. As a result, electric vehicles have gained increasing popularity and are now widely recognized as a more sustainable alternative to conventional gasoline-powered vehicles. Electric cars have made significant progress in recent years, with battery technology </w:t>
      </w:r>
      <w:r w:rsidRPr="003C6DBD">
        <w:rPr>
          <w:color w:val="0D0D0D" w:themeColor="text1" w:themeTint="F2"/>
          <w:sz w:val="24"/>
          <w:szCs w:val="24"/>
        </w:rPr>
        <w:lastRenderedPageBreak/>
        <w:t>improving rapidly, resulting in longer ranges and faster charging times. However, despite these advancements, the adoption of electric vehicles in some sectors, such as aviation, large transportation, and agriculture, has been slow. Biofuels remain relevant in these sectors due to the significant challenges facing the development of electric airplanes and electric large transportation vehicles.</w:t>
      </w:r>
    </w:p>
    <w:p w14:paraId="69A61A86" w14:textId="3D2C18CE" w:rsidR="00715748" w:rsidRPr="003C6DBD" w:rsidRDefault="00BE2910" w:rsidP="002A7494">
      <w:pPr>
        <w:pStyle w:val="BodyText"/>
        <w:spacing w:line="480" w:lineRule="auto"/>
        <w:ind w:firstLine="720"/>
        <w:rPr>
          <w:color w:val="0D0D0D" w:themeColor="text1" w:themeTint="F2"/>
          <w:sz w:val="24"/>
          <w:szCs w:val="24"/>
        </w:rPr>
      </w:pPr>
      <w:bookmarkStart w:id="5" w:name="_Hlk121582310"/>
      <w:r w:rsidRPr="003C6DBD">
        <w:rPr>
          <w:color w:val="0D0D0D" w:themeColor="text1" w:themeTint="F2"/>
          <w:sz w:val="24"/>
          <w:szCs w:val="24"/>
        </w:rPr>
        <w:t xml:space="preserve">Biofuel has advantages over conventional fossil fuel because of its renewable nature, lower GHG emissions, and promoting rural farm income </w:t>
      </w:r>
      <w:r w:rsidRPr="003C6DBD">
        <w:rPr>
          <w:color w:val="0D0D0D" w:themeColor="text1" w:themeTint="F2"/>
          <w:sz w:val="24"/>
          <w:szCs w:val="24"/>
        </w:rPr>
        <w:fldChar w:fldCharType="begin"/>
      </w:r>
      <w:r w:rsidRPr="003C6DBD">
        <w:rPr>
          <w:color w:val="0D0D0D" w:themeColor="text1" w:themeTint="F2"/>
          <w:sz w:val="24"/>
          <w:szCs w:val="24"/>
        </w:rPr>
        <w:instrText xml:space="preserve"> ADDIN ZOTERO_ITEM CSL_CITATION {"citationID":"sNZolpm7","properties":{"formattedCitation":"(Altieri &amp; Bravo, 2007)","plainCitation":"(Altieri &amp; Bravo, 2007)","noteIndex":0},"citationItems":[{"id":471,"uris":["http://zotero.org/users/8949154/items/I6TBJB6Z"],"itemData":{"id":471,"type":"article-journal","container-title":"Food First/Institute for Food &amp; Development Policy","source":"Google Scholar","title":"The ecological and social tragedy of crop-based biofuel production in the Americas","volume":"6","author":[{"family":"Altieri","given":"Miguel"},{"family":"Bravo","given":"Elizabeth"}],"issued":{"date-parts":[["2007"]]}}}],"schema":"https://github.com/citation-style-language/schema/raw/master/csl-citation.json"} </w:instrText>
      </w:r>
      <w:r w:rsidRPr="003C6DBD">
        <w:rPr>
          <w:color w:val="0D0D0D" w:themeColor="text1" w:themeTint="F2"/>
          <w:sz w:val="24"/>
          <w:szCs w:val="24"/>
        </w:rPr>
        <w:fldChar w:fldCharType="separate"/>
      </w:r>
      <w:r w:rsidRPr="003C6DBD">
        <w:rPr>
          <w:color w:val="0D0D0D" w:themeColor="text1" w:themeTint="F2"/>
          <w:sz w:val="24"/>
          <w:szCs w:val="24"/>
        </w:rPr>
        <w:t>(Altieri &amp; Bravo, 2007)</w:t>
      </w:r>
      <w:r w:rsidRPr="003C6DBD">
        <w:rPr>
          <w:color w:val="0D0D0D" w:themeColor="text1" w:themeTint="F2"/>
          <w:sz w:val="24"/>
          <w:szCs w:val="24"/>
        </w:rPr>
        <w:fldChar w:fldCharType="end"/>
      </w:r>
      <w:r w:rsidRPr="003C6DBD">
        <w:rPr>
          <w:color w:val="0D0D0D" w:themeColor="text1" w:themeTint="F2"/>
          <w:sz w:val="24"/>
          <w:szCs w:val="24"/>
        </w:rPr>
        <w:t xml:space="preserve">. Thus, governments around the globe have made efforts to promote biofuel as an alternative to fossil fuels. </w:t>
      </w:r>
      <w:r w:rsidR="00101EB8" w:rsidRPr="003C6DBD">
        <w:rPr>
          <w:color w:val="0D0D0D" w:themeColor="text1" w:themeTint="F2"/>
          <w:sz w:val="24"/>
          <w:szCs w:val="24"/>
        </w:rPr>
        <w:t>The first-generation ethanol industry grew 10 fold during the 2000 to 2010</w:t>
      </w:r>
      <w:r w:rsidR="00B61E0E" w:rsidRPr="003C6DBD">
        <w:rPr>
          <w:color w:val="0D0D0D" w:themeColor="text1" w:themeTint="F2"/>
          <w:sz w:val="24"/>
          <w:szCs w:val="24"/>
        </w:rPr>
        <w:t xml:space="preserve"> period</w:t>
      </w:r>
      <w:r w:rsidR="00092FB0" w:rsidRPr="003C6DBD">
        <w:rPr>
          <w:color w:val="0D0D0D" w:themeColor="text1" w:themeTint="F2"/>
          <w:sz w:val="24"/>
          <w:szCs w:val="24"/>
        </w:rPr>
        <w:t xml:space="preserve"> </w:t>
      </w:r>
      <w:r w:rsidR="00DE7DFC" w:rsidRPr="003C6DBD">
        <w:rPr>
          <w:color w:val="0D0D0D" w:themeColor="text1" w:themeTint="F2"/>
          <w:sz w:val="24"/>
          <w:szCs w:val="24"/>
        </w:rPr>
        <w:fldChar w:fldCharType="begin"/>
      </w:r>
      <w:r w:rsidR="00563C81" w:rsidRPr="003C6DBD">
        <w:rPr>
          <w:color w:val="0D0D0D" w:themeColor="text1" w:themeTint="F2"/>
          <w:sz w:val="24"/>
          <w:szCs w:val="24"/>
        </w:rPr>
        <w:instrText xml:space="preserve"> ADDIN ZOTERO_ITEM CSL_CITATION {"citationID":"ojXIBKNM","properties":{"formattedCitation":"(Lynd, 2017)","plainCitation":"(Lynd, 2017)","noteIndex":0},"citationItems":[{"id":554,"uris":["http://zotero.org/users/8949154/items/B4QJM2B5"],"itemData":{"id":554,"type":"article-journal","container-title":"Nature biotechnology","issue":"10","note":"publisher: Nature Publishing Group","page":"912–915","source":"Google Scholar","title":"The grand challenge of cellulosic biofuels","volume":"35","author":[{"family":"Lynd","given":"Lee R."}],"issued":{"date-parts":[["2017"]]}}}],"schema":"https://github.com/citation-style-language/schema/raw/master/csl-citation.json"} </w:instrText>
      </w:r>
      <w:r w:rsidR="00DE7DFC" w:rsidRPr="003C6DBD">
        <w:rPr>
          <w:color w:val="0D0D0D" w:themeColor="text1" w:themeTint="F2"/>
          <w:sz w:val="24"/>
          <w:szCs w:val="24"/>
        </w:rPr>
        <w:fldChar w:fldCharType="separate"/>
      </w:r>
      <w:r w:rsidR="00DE7DFC" w:rsidRPr="003C6DBD">
        <w:rPr>
          <w:color w:val="0D0D0D" w:themeColor="text1" w:themeTint="F2"/>
          <w:sz w:val="24"/>
          <w:szCs w:val="24"/>
        </w:rPr>
        <w:t>(Lynd, 2017)</w:t>
      </w:r>
      <w:r w:rsidR="00DE7DFC" w:rsidRPr="003C6DBD">
        <w:rPr>
          <w:color w:val="0D0D0D" w:themeColor="text1" w:themeTint="F2"/>
          <w:sz w:val="24"/>
          <w:szCs w:val="24"/>
        </w:rPr>
        <w:fldChar w:fldCharType="end"/>
      </w:r>
      <w:r w:rsidR="00101EB8" w:rsidRPr="003C6DBD">
        <w:rPr>
          <w:color w:val="0D0D0D" w:themeColor="text1" w:themeTint="F2"/>
          <w:sz w:val="24"/>
          <w:szCs w:val="24"/>
        </w:rPr>
        <w:t xml:space="preserve">. However, the food vs fuel debate prompted the shift of biofuel industry’s focus </w:t>
      </w:r>
      <w:r w:rsidR="00DE7DFC" w:rsidRPr="003C6DBD">
        <w:rPr>
          <w:color w:val="0D0D0D" w:themeColor="text1" w:themeTint="F2"/>
          <w:sz w:val="24"/>
          <w:szCs w:val="24"/>
        </w:rPr>
        <w:t xml:space="preserve">from first-generation ethanol </w:t>
      </w:r>
      <w:r w:rsidR="00101EB8" w:rsidRPr="003C6DBD">
        <w:rPr>
          <w:color w:val="0D0D0D" w:themeColor="text1" w:themeTint="F2"/>
          <w:sz w:val="24"/>
          <w:szCs w:val="24"/>
        </w:rPr>
        <w:t xml:space="preserve">to cellulosic biofuels </w:t>
      </w:r>
      <w:r w:rsidR="00F61FA7" w:rsidRPr="003C6DBD">
        <w:rPr>
          <w:color w:val="0D0D0D" w:themeColor="text1" w:themeTint="F2"/>
          <w:sz w:val="24"/>
          <w:szCs w:val="24"/>
        </w:rPr>
        <w:t xml:space="preserve">arguably due to </w:t>
      </w:r>
      <w:r w:rsidR="00101EB8" w:rsidRPr="003C6DBD">
        <w:rPr>
          <w:color w:val="0D0D0D" w:themeColor="text1" w:themeTint="F2"/>
          <w:sz w:val="24"/>
          <w:szCs w:val="24"/>
        </w:rPr>
        <w:t xml:space="preserve">the large-scale availability of cheap, sustainable feedstock, and technology ready for use. </w:t>
      </w:r>
      <w:r w:rsidR="006F3299" w:rsidRPr="003C6DBD">
        <w:rPr>
          <w:color w:val="0D0D0D" w:themeColor="text1" w:themeTint="F2"/>
          <w:sz w:val="24"/>
          <w:szCs w:val="24"/>
        </w:rPr>
        <w:t>However, the biofuel landscape did not turn out to be the way imagined by the policymakers. S</w:t>
      </w:r>
      <w:r w:rsidR="002656FB" w:rsidRPr="003C6DBD">
        <w:rPr>
          <w:color w:val="0D0D0D" w:themeColor="text1" w:themeTint="F2"/>
          <w:sz w:val="24"/>
          <w:szCs w:val="24"/>
        </w:rPr>
        <w:t>e</w:t>
      </w:r>
      <w:r w:rsidR="00831341" w:rsidRPr="003C6DBD">
        <w:rPr>
          <w:color w:val="0D0D0D" w:themeColor="text1" w:themeTint="F2"/>
          <w:sz w:val="24"/>
          <w:szCs w:val="24"/>
        </w:rPr>
        <w:t xml:space="preserve">veral biofuel startups have failed and those that survived are focusing on other high value products than biofuels </w:t>
      </w:r>
      <w:r w:rsidR="00831341" w:rsidRPr="003C6DBD">
        <w:rPr>
          <w:color w:val="0D0D0D" w:themeColor="text1" w:themeTint="F2"/>
          <w:sz w:val="24"/>
          <w:szCs w:val="24"/>
        </w:rPr>
        <w:fldChar w:fldCharType="begin"/>
      </w:r>
      <w:r w:rsidR="00563C81" w:rsidRPr="003C6DBD">
        <w:rPr>
          <w:color w:val="0D0D0D" w:themeColor="text1" w:themeTint="F2"/>
          <w:sz w:val="24"/>
          <w:szCs w:val="24"/>
        </w:rPr>
        <w:instrText xml:space="preserve"> ADDIN ZOTERO_ITEM CSL_CITATION {"citationID":"aLLWII76","properties":{"formattedCitation":"(Lynd, 2017)","plainCitation":"(Lynd, 2017)","noteIndex":0},"citationItems":[{"id":554,"uris":["http://zotero.org/users/8949154/items/B4QJM2B5"],"itemData":{"id":554,"type":"article-journal","container-title":"Nature biotechnology","issue":"10","note":"publisher: Nature Publishing Group","page":"912–915","source":"Google Scholar","title":"The grand challenge of cellulosic biofuels","volume":"35","author":[{"family":"Lynd","given":"Lee R."}],"issued":{"date-parts":[["2017"]]}}}],"schema":"https://github.com/citation-style-language/schema/raw/master/csl-citation.json"} </w:instrText>
      </w:r>
      <w:r w:rsidR="00831341" w:rsidRPr="003C6DBD">
        <w:rPr>
          <w:color w:val="0D0D0D" w:themeColor="text1" w:themeTint="F2"/>
          <w:sz w:val="24"/>
          <w:szCs w:val="24"/>
        </w:rPr>
        <w:fldChar w:fldCharType="separate"/>
      </w:r>
      <w:r w:rsidR="00831341" w:rsidRPr="003C6DBD">
        <w:rPr>
          <w:color w:val="0D0D0D" w:themeColor="text1" w:themeTint="F2"/>
          <w:sz w:val="24"/>
          <w:szCs w:val="24"/>
        </w:rPr>
        <w:t>(Lynd, 2017)</w:t>
      </w:r>
      <w:r w:rsidR="00831341" w:rsidRPr="003C6DBD">
        <w:rPr>
          <w:color w:val="0D0D0D" w:themeColor="text1" w:themeTint="F2"/>
          <w:sz w:val="24"/>
          <w:szCs w:val="24"/>
        </w:rPr>
        <w:fldChar w:fldCharType="end"/>
      </w:r>
      <w:r w:rsidR="00831341" w:rsidRPr="003C6DBD">
        <w:rPr>
          <w:color w:val="0D0D0D" w:themeColor="text1" w:themeTint="F2"/>
          <w:sz w:val="24"/>
          <w:szCs w:val="24"/>
        </w:rPr>
        <w:t xml:space="preserve">. </w:t>
      </w:r>
      <w:bookmarkEnd w:id="5"/>
      <w:r w:rsidR="00715748" w:rsidRPr="003C6DBD">
        <w:rPr>
          <w:color w:val="0D0D0D" w:themeColor="text1" w:themeTint="F2"/>
          <w:sz w:val="24"/>
          <w:szCs w:val="24"/>
        </w:rPr>
        <w:t xml:space="preserve">This could be attributed to the limited growth and development of the biofuel industry caused by the risks and uncertainties prevalent in the industry. Risks and uncertainties like high initial capital investment, rapid generation of novel technologies making the older ones less attractive, continuous adjustments and changes in biofuel policy, price variation, feedstock availability, </w:t>
      </w:r>
      <w:r w:rsidR="000667C3" w:rsidRPr="003C6DBD">
        <w:rPr>
          <w:color w:val="0D0D0D" w:themeColor="text1" w:themeTint="F2"/>
          <w:sz w:val="24"/>
          <w:szCs w:val="24"/>
        </w:rPr>
        <w:t>among others</w:t>
      </w:r>
      <w:r w:rsidR="00715748" w:rsidRPr="003C6DBD">
        <w:rPr>
          <w:color w:val="0D0D0D" w:themeColor="text1" w:themeTint="F2"/>
          <w:sz w:val="24"/>
          <w:szCs w:val="24"/>
        </w:rPr>
        <w:t xml:space="preserve">, are major caveats discouraging investments in the biofuel industry and are downside for the growth of the industry </w:t>
      </w:r>
      <w:r w:rsidR="00715748" w:rsidRPr="003C6DBD">
        <w:rPr>
          <w:color w:val="0D0D0D" w:themeColor="text1" w:themeTint="F2"/>
          <w:sz w:val="24"/>
          <w:szCs w:val="24"/>
        </w:rPr>
        <w:fldChar w:fldCharType="begin"/>
      </w:r>
      <w:r w:rsidR="00715748" w:rsidRPr="003C6DBD">
        <w:rPr>
          <w:color w:val="0D0D0D" w:themeColor="text1" w:themeTint="F2"/>
          <w:sz w:val="24"/>
          <w:szCs w:val="24"/>
        </w:rPr>
        <w:instrText xml:space="preserve"> ADDIN ZOTERO_ITEM CSL_CITATION {"citationID":"2khR1cvz","properties":{"formattedCitation":"(Miller et al., 2013)","plainCitation":"(Miller et al., 2013)","noteIndex":0},"citationItems":[{"id":7,"uris":["http://zotero.org/users/8949154/items/VHMNS63T"],"itemData":{"id":7,"type":"article-journal","container-title":"The International Council on Clean Transportation: Washington, DC","source":"Google Scholar","title":"Measuring and addressing investment risk in the second-generation biofuels industry","author":[{"family":"Miller","given":"Nathan"},{"family":"Christensen","given":"Adam"},{"family":"Park","given":"Ji Eun"},{"family":"Baral","given":"A."},{"family":"Malins","given":"C."},{"family":"Searle","given":"S."}],"issued":{"date-parts":[["2013"]]}}}],"schema":"https://github.com/citation-style-language/schema/raw/master/csl-citation.json"} </w:instrText>
      </w:r>
      <w:r w:rsidR="00715748" w:rsidRPr="003C6DBD">
        <w:rPr>
          <w:color w:val="0D0D0D" w:themeColor="text1" w:themeTint="F2"/>
          <w:sz w:val="24"/>
          <w:szCs w:val="24"/>
        </w:rPr>
        <w:fldChar w:fldCharType="separate"/>
      </w:r>
      <w:r w:rsidR="00715748" w:rsidRPr="003C6DBD">
        <w:rPr>
          <w:color w:val="0D0D0D" w:themeColor="text1" w:themeTint="F2"/>
          <w:sz w:val="24"/>
          <w:szCs w:val="24"/>
        </w:rPr>
        <w:t>(Miller et al., 2013)</w:t>
      </w:r>
      <w:r w:rsidR="00715748" w:rsidRPr="003C6DBD">
        <w:rPr>
          <w:color w:val="0D0D0D" w:themeColor="text1" w:themeTint="F2"/>
          <w:sz w:val="24"/>
          <w:szCs w:val="24"/>
        </w:rPr>
        <w:fldChar w:fldCharType="end"/>
      </w:r>
      <w:r w:rsidR="00715748" w:rsidRPr="003C6DBD">
        <w:rPr>
          <w:color w:val="0D0D0D" w:themeColor="text1" w:themeTint="F2"/>
          <w:sz w:val="24"/>
          <w:szCs w:val="24"/>
        </w:rPr>
        <w:t xml:space="preserve">. In addition, the irreversible nature of investment in biofuel combined with uncertain </w:t>
      </w:r>
      <w:r w:rsidR="00F83BE6" w:rsidRPr="003C6DBD">
        <w:rPr>
          <w:color w:val="0D0D0D" w:themeColor="text1" w:themeTint="F2"/>
          <w:sz w:val="24"/>
          <w:szCs w:val="24"/>
        </w:rPr>
        <w:t xml:space="preserve">profitability </w:t>
      </w:r>
      <w:r w:rsidR="00715748" w:rsidRPr="003C6DBD">
        <w:rPr>
          <w:color w:val="0D0D0D" w:themeColor="text1" w:themeTint="F2"/>
          <w:sz w:val="24"/>
          <w:szCs w:val="24"/>
        </w:rPr>
        <w:t xml:space="preserve">from the investment has been identified as one of the major factors making investors hesitant to invest in biofuel ventures </w:t>
      </w:r>
      <w:r w:rsidR="00715748" w:rsidRPr="003C6DBD">
        <w:rPr>
          <w:color w:val="0D0D0D" w:themeColor="text1" w:themeTint="F2"/>
          <w:sz w:val="24"/>
          <w:szCs w:val="24"/>
        </w:rPr>
        <w:fldChar w:fldCharType="begin"/>
      </w:r>
      <w:r w:rsidR="00715748" w:rsidRPr="003C6DBD">
        <w:rPr>
          <w:color w:val="0D0D0D" w:themeColor="text1" w:themeTint="F2"/>
          <w:sz w:val="24"/>
          <w:szCs w:val="24"/>
        </w:rPr>
        <w:instrText xml:space="preserve"> ADDIN ZOTERO_ITEM CSL_CITATION {"citationID":"aHyPjSO7","properties":{"formattedCitation":"(Markel et al., 2018; McCarty &amp; Sesmero, 2015)","plainCitation":"(Markel et al., 2018; McCarty &amp; Sesmero, 2015)","noteIndex":0},"citationItems":[{"id":468,"uris":["http://zotero.org/users/8949154/items/XZBVMYXU"],"itemData":{"id":468,"type":"article-journal","container-title":"Energy Economics","note":"publisher: Elsevier","page":"89–100","source":"Google Scholar","title":"Policy uncertainty and the optimal investment decisions of second-generation biofuel producers","volume":"76","author":[{"family":"Markel","given":"Evan"},{"family":"Sims","given":"Charles"},{"family":"English","given":"Burton C."}],"issued":{"date-parts":[["2018"]]}}},{"id":469,"uris":["http://zotero.org/users/8949154/items/TVKPKZHP"],"itemData":{"id":469,"type":"article-journal","container-title":"BioEnergy Research","issue":"2","note":"publisher: Springer","page":"675–687","source":"Google Scholar","title":"Uncertainty, irreversibility, and investment in second-generation biofuels","volume":"8","author":[{"family":"McCarty","given":"Tanner"},{"family":"Sesmero","given":"Juan"}],"issued":{"date-parts":[["2015"]]}}}],"schema":"https://github.com/citation-style-language/schema/raw/master/csl-citation.json"} </w:instrText>
      </w:r>
      <w:r w:rsidR="00715748" w:rsidRPr="003C6DBD">
        <w:rPr>
          <w:color w:val="0D0D0D" w:themeColor="text1" w:themeTint="F2"/>
          <w:sz w:val="24"/>
          <w:szCs w:val="24"/>
        </w:rPr>
        <w:fldChar w:fldCharType="separate"/>
      </w:r>
      <w:r w:rsidR="00715748" w:rsidRPr="003C6DBD">
        <w:rPr>
          <w:color w:val="0D0D0D" w:themeColor="text1" w:themeTint="F2"/>
          <w:sz w:val="24"/>
          <w:szCs w:val="24"/>
        </w:rPr>
        <w:t>(Markel et al., 2018; McCarty &amp; Sesmero, 2015)</w:t>
      </w:r>
      <w:r w:rsidR="00715748" w:rsidRPr="003C6DBD">
        <w:rPr>
          <w:color w:val="0D0D0D" w:themeColor="text1" w:themeTint="F2"/>
          <w:sz w:val="24"/>
          <w:szCs w:val="24"/>
        </w:rPr>
        <w:fldChar w:fldCharType="end"/>
      </w:r>
      <w:r w:rsidR="00715748" w:rsidRPr="003C6DBD">
        <w:rPr>
          <w:color w:val="0D0D0D" w:themeColor="text1" w:themeTint="F2"/>
          <w:sz w:val="24"/>
          <w:szCs w:val="24"/>
        </w:rPr>
        <w:t>.</w:t>
      </w:r>
    </w:p>
    <w:p w14:paraId="79EB5FAD" w14:textId="61DCBAB2" w:rsidR="000129B9" w:rsidRPr="003C6DBD" w:rsidRDefault="00023E8C" w:rsidP="000129B9">
      <w:pPr>
        <w:pStyle w:val="BodyText"/>
        <w:spacing w:line="480" w:lineRule="auto"/>
        <w:ind w:firstLine="720"/>
        <w:rPr>
          <w:color w:val="0D0D0D" w:themeColor="text1" w:themeTint="F2"/>
          <w:sz w:val="24"/>
          <w:szCs w:val="24"/>
        </w:rPr>
      </w:pPr>
      <w:r w:rsidRPr="003C6DBD">
        <w:rPr>
          <w:color w:val="0D0D0D" w:themeColor="text1" w:themeTint="F2"/>
          <w:sz w:val="24"/>
          <w:szCs w:val="24"/>
        </w:rPr>
        <w:lastRenderedPageBreak/>
        <w:t xml:space="preserve">This study seeks to evaluate the financial performance of firms in the biofuel industry and the risks faced by the biofuel firms. This study is </w:t>
      </w:r>
      <w:r w:rsidR="003F4DF6" w:rsidRPr="003C6DBD">
        <w:rPr>
          <w:color w:val="0D0D0D" w:themeColor="text1" w:themeTint="F2"/>
          <w:sz w:val="24"/>
          <w:szCs w:val="24"/>
        </w:rPr>
        <w:t xml:space="preserve">of current relevance </w:t>
      </w:r>
      <w:r w:rsidRPr="003C6DBD">
        <w:rPr>
          <w:color w:val="0D0D0D" w:themeColor="text1" w:themeTint="F2"/>
          <w:sz w:val="24"/>
          <w:szCs w:val="24"/>
        </w:rPr>
        <w:t xml:space="preserve">because the biofuel industry is still developing and transitioning to become a more economically viable and sustainable alternative to fossil fuel. Several biofuel startups have failed and filed for bankruptcy because of the high risks and lower returns associated with the biofuel industry. This context, therefore, requires conducting </w:t>
      </w:r>
      <w:r w:rsidR="003F4DF6" w:rsidRPr="003C6DBD">
        <w:rPr>
          <w:color w:val="0D0D0D" w:themeColor="text1" w:themeTint="F2"/>
          <w:sz w:val="24"/>
          <w:szCs w:val="24"/>
        </w:rPr>
        <w:t xml:space="preserve">a </w:t>
      </w:r>
      <w:r w:rsidRPr="003C6DBD">
        <w:rPr>
          <w:color w:val="0D0D0D" w:themeColor="text1" w:themeTint="F2"/>
          <w:sz w:val="24"/>
          <w:szCs w:val="24"/>
        </w:rPr>
        <w:t xml:space="preserve">financial analysis and </w:t>
      </w:r>
      <w:r w:rsidR="003F4DF6" w:rsidRPr="003C6DBD">
        <w:rPr>
          <w:color w:val="0D0D0D" w:themeColor="text1" w:themeTint="F2"/>
          <w:sz w:val="24"/>
          <w:szCs w:val="24"/>
        </w:rPr>
        <w:t xml:space="preserve">identifying </w:t>
      </w:r>
      <w:r w:rsidRPr="003C6DBD">
        <w:rPr>
          <w:color w:val="0D0D0D" w:themeColor="text1" w:themeTint="F2"/>
          <w:sz w:val="24"/>
          <w:szCs w:val="24"/>
        </w:rPr>
        <w:t>the drivers of profitability in the biofuel industry. Also, there has been limited research in the past identifying and evaluating the risk factors affecting the biofuel industry. Assessing the risks affecting the biofuel industry will help us understand the major caveats for the development of the biofuel industry and will provide the direction to mitigate those risks</w:t>
      </w:r>
      <w:r w:rsidR="00220806" w:rsidRPr="003C6DBD">
        <w:rPr>
          <w:color w:val="0D0D0D" w:themeColor="text1" w:themeTint="F2"/>
          <w:sz w:val="24"/>
          <w:szCs w:val="24"/>
        </w:rPr>
        <w:t>.</w:t>
      </w:r>
      <w:bookmarkStart w:id="6" w:name="_Toc102229877"/>
    </w:p>
    <w:p w14:paraId="3D015DA7" w14:textId="19B46408" w:rsidR="000129B9" w:rsidRPr="003C6DBD" w:rsidRDefault="000129B9" w:rsidP="000129B9">
      <w:pPr>
        <w:pStyle w:val="Heading3"/>
        <w:spacing w:line="480" w:lineRule="auto"/>
        <w:rPr>
          <w:rFonts w:cs="Times New Roman"/>
          <w:color w:val="0D0D0D" w:themeColor="text1" w:themeTint="F2"/>
          <w:szCs w:val="24"/>
        </w:rPr>
      </w:pPr>
      <w:bookmarkStart w:id="7" w:name="_Toc132761828"/>
      <w:r w:rsidRPr="003C6DBD">
        <w:rPr>
          <w:rFonts w:cs="Times New Roman"/>
          <w:color w:val="0D0D0D" w:themeColor="text1" w:themeTint="F2"/>
          <w:szCs w:val="24"/>
        </w:rPr>
        <w:t>1.3 Significance of the Research</w:t>
      </w:r>
      <w:bookmarkEnd w:id="7"/>
      <w:r w:rsidRPr="003C6DBD">
        <w:rPr>
          <w:rFonts w:cs="Times New Roman"/>
          <w:color w:val="0D0D0D" w:themeColor="text1" w:themeTint="F2"/>
          <w:szCs w:val="24"/>
        </w:rPr>
        <w:t xml:space="preserve"> </w:t>
      </w:r>
    </w:p>
    <w:p w14:paraId="6F21EEB2" w14:textId="20BCE4AE" w:rsidR="000129B9" w:rsidRPr="003C6DBD" w:rsidRDefault="00BE2910" w:rsidP="000129B9">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This study aims to identify and evaluate the major risks affecting the growth and development of the biofuel industry and assist policymakers and governments to develop an effective policy mix that could boost the biofuel industry. </w:t>
      </w:r>
      <w:r w:rsidR="000129B9" w:rsidRPr="003C6DBD">
        <w:rPr>
          <w:rFonts w:ascii="Times New Roman" w:hAnsi="Times New Roman" w:cs="Times New Roman"/>
          <w:color w:val="0D0D0D" w:themeColor="text1" w:themeTint="F2"/>
          <w:sz w:val="24"/>
          <w:szCs w:val="24"/>
        </w:rPr>
        <w:t xml:space="preserve">This study can contribute to the previous research by Pries et al. (2016) that identified the prevalence and significance of risks reported by publicly-traded biofuel companies. Unlike the previous research by Pries et al. (2016) that identified the prevalence and significance of risks for just one year, we identified the prevalence and significance of risks for four years (2018-2021). In addition, the sample companies used in our study are different than the previous study. The sample in the study by Pries et al. (2016) was identified by searching for terms like biofuel, ethanol, and biodiesel in the Electronic Document Analysis, and Retrieval system (EDGAR), and System for Electronic Document Analysis (SEDAR) databases. This study employed a different method to select the sample companies described in the data and method section. So, our study provides updated and </w:t>
      </w:r>
      <w:r w:rsidR="000129B9" w:rsidRPr="003C6DBD">
        <w:rPr>
          <w:rFonts w:ascii="Times New Roman" w:hAnsi="Times New Roman" w:cs="Times New Roman"/>
          <w:color w:val="0D0D0D" w:themeColor="text1" w:themeTint="F2"/>
          <w:sz w:val="24"/>
          <w:szCs w:val="24"/>
        </w:rPr>
        <w:lastRenderedPageBreak/>
        <w:t>comprehensive results about the risks faced by the biofuel industry. In addition, we examine the financial performance of biofuel revenue dominant companies with the companies with less share of biofuel revenue. This could help us understand whether the investment in biofuel ventures is profitable to the investors.</w:t>
      </w:r>
    </w:p>
    <w:p w14:paraId="20A8AF41" w14:textId="580100FC" w:rsidR="00B67888" w:rsidRPr="003C6DBD" w:rsidRDefault="003F6F35" w:rsidP="002A7494">
      <w:pPr>
        <w:pStyle w:val="Heading3"/>
        <w:spacing w:line="480" w:lineRule="auto"/>
        <w:rPr>
          <w:rFonts w:cs="Times New Roman"/>
          <w:color w:val="0D0D0D" w:themeColor="text1" w:themeTint="F2"/>
          <w:szCs w:val="24"/>
        </w:rPr>
      </w:pPr>
      <w:bookmarkStart w:id="8" w:name="_Toc132761829"/>
      <w:r w:rsidRPr="003C6DBD">
        <w:rPr>
          <w:rFonts w:cs="Times New Roman"/>
          <w:color w:val="0D0D0D" w:themeColor="text1" w:themeTint="F2"/>
          <w:szCs w:val="24"/>
        </w:rPr>
        <w:t>1.4 Objectives</w:t>
      </w:r>
      <w:bookmarkEnd w:id="6"/>
      <w:r w:rsidR="00566BCA" w:rsidRPr="003C6DBD">
        <w:rPr>
          <w:rFonts w:cs="Times New Roman"/>
          <w:color w:val="0D0D0D" w:themeColor="text1" w:themeTint="F2"/>
          <w:szCs w:val="24"/>
        </w:rPr>
        <w:t xml:space="preserve"> of the Research</w:t>
      </w:r>
      <w:bookmarkEnd w:id="8"/>
    </w:p>
    <w:p w14:paraId="02580E35" w14:textId="77777777" w:rsidR="0094792E" w:rsidRPr="003C6DBD" w:rsidRDefault="003F6F35" w:rsidP="002A7494">
      <w:pPr>
        <w:pStyle w:val="comp"/>
        <w:spacing w:before="0" w:beforeAutospacing="0" w:after="160" w:afterAutospacing="0" w:line="480" w:lineRule="auto"/>
        <w:ind w:firstLine="720"/>
        <w:rPr>
          <w:color w:val="0D0D0D" w:themeColor="text1" w:themeTint="F2"/>
        </w:rPr>
      </w:pPr>
      <w:bookmarkStart w:id="9" w:name="_Hlk128399637"/>
      <w:r w:rsidRPr="003C6DBD">
        <w:rPr>
          <w:rFonts w:eastAsiaTheme="minorHAnsi"/>
          <w:color w:val="0D0D0D" w:themeColor="text1" w:themeTint="F2"/>
        </w:rPr>
        <w:t>The objectives of this study are</w:t>
      </w:r>
      <w:r w:rsidR="00566BCA" w:rsidRPr="003C6DBD">
        <w:rPr>
          <w:rFonts w:eastAsiaTheme="minorHAnsi"/>
          <w:color w:val="0D0D0D" w:themeColor="text1" w:themeTint="F2"/>
        </w:rPr>
        <w:t>:</w:t>
      </w:r>
      <w:bookmarkStart w:id="10" w:name="_Hlk128399625"/>
    </w:p>
    <w:bookmarkEnd w:id="9"/>
    <w:p w14:paraId="0725C692" w14:textId="337854BD" w:rsidR="0094792E" w:rsidRPr="003C6DBD" w:rsidRDefault="003F6F35" w:rsidP="002A7494">
      <w:pPr>
        <w:pStyle w:val="BodyText"/>
        <w:spacing w:after="160" w:line="480" w:lineRule="auto"/>
        <w:rPr>
          <w:color w:val="0D0D0D" w:themeColor="text1" w:themeTint="F2"/>
          <w:sz w:val="24"/>
          <w:szCs w:val="24"/>
        </w:rPr>
      </w:pPr>
      <w:r w:rsidRPr="003C6DBD">
        <w:rPr>
          <w:color w:val="0D0D0D" w:themeColor="text1" w:themeTint="F2"/>
          <w:sz w:val="24"/>
          <w:szCs w:val="24"/>
        </w:rPr>
        <w:t xml:space="preserve">1. To </w:t>
      </w:r>
      <w:r w:rsidR="001A4BCF" w:rsidRPr="003C6DBD">
        <w:rPr>
          <w:color w:val="0D0D0D" w:themeColor="text1" w:themeTint="F2"/>
          <w:sz w:val="24"/>
          <w:szCs w:val="24"/>
        </w:rPr>
        <w:t xml:space="preserve">identify and evaluate </w:t>
      </w:r>
      <w:r w:rsidR="000F75B5" w:rsidRPr="003C6DBD">
        <w:rPr>
          <w:color w:val="0D0D0D" w:themeColor="text1" w:themeTint="F2"/>
          <w:sz w:val="24"/>
          <w:szCs w:val="24"/>
        </w:rPr>
        <w:t>the risk</w:t>
      </w:r>
      <w:r w:rsidR="001A4BCF" w:rsidRPr="003C6DBD">
        <w:rPr>
          <w:color w:val="0D0D0D" w:themeColor="text1" w:themeTint="F2"/>
          <w:sz w:val="24"/>
          <w:szCs w:val="24"/>
        </w:rPr>
        <w:t xml:space="preserve"> factor</w:t>
      </w:r>
      <w:r w:rsidR="000F75B5" w:rsidRPr="003C6DBD">
        <w:rPr>
          <w:color w:val="0D0D0D" w:themeColor="text1" w:themeTint="F2"/>
          <w:sz w:val="24"/>
          <w:szCs w:val="24"/>
        </w:rPr>
        <w:t xml:space="preserve">s </w:t>
      </w:r>
      <w:r w:rsidR="003758FB" w:rsidRPr="003C6DBD">
        <w:rPr>
          <w:color w:val="0D0D0D" w:themeColor="text1" w:themeTint="F2"/>
          <w:sz w:val="24"/>
          <w:szCs w:val="24"/>
        </w:rPr>
        <w:t>faced by a sample of publicly</w:t>
      </w:r>
      <w:r w:rsidR="00E940B9" w:rsidRPr="003C6DBD">
        <w:rPr>
          <w:color w:val="0D0D0D" w:themeColor="text1" w:themeTint="F2"/>
          <w:sz w:val="24"/>
          <w:szCs w:val="24"/>
        </w:rPr>
        <w:t xml:space="preserve"> </w:t>
      </w:r>
      <w:r w:rsidR="003758FB" w:rsidRPr="003C6DBD">
        <w:rPr>
          <w:color w:val="0D0D0D" w:themeColor="text1" w:themeTint="F2"/>
          <w:sz w:val="24"/>
          <w:szCs w:val="24"/>
        </w:rPr>
        <w:t xml:space="preserve">traded biofuel firms from 2018 to </w:t>
      </w:r>
      <w:r w:rsidR="00A13244" w:rsidRPr="003C6DBD">
        <w:rPr>
          <w:color w:val="0D0D0D" w:themeColor="text1" w:themeTint="F2"/>
          <w:sz w:val="24"/>
          <w:szCs w:val="24"/>
        </w:rPr>
        <w:t>202</w:t>
      </w:r>
      <w:r w:rsidR="00563C4E" w:rsidRPr="003C6DBD">
        <w:rPr>
          <w:color w:val="0D0D0D" w:themeColor="text1" w:themeTint="F2"/>
          <w:sz w:val="24"/>
          <w:szCs w:val="24"/>
        </w:rPr>
        <w:t>1</w:t>
      </w:r>
      <w:r w:rsidR="004C1092" w:rsidRPr="003C6DBD">
        <w:rPr>
          <w:color w:val="0D0D0D" w:themeColor="text1" w:themeTint="F2"/>
          <w:sz w:val="24"/>
          <w:szCs w:val="24"/>
        </w:rPr>
        <w:t>.</w:t>
      </w:r>
    </w:p>
    <w:p w14:paraId="77FB56F8" w14:textId="3A7558C2" w:rsidR="002C445E" w:rsidRPr="003C6DBD" w:rsidRDefault="003F6F35" w:rsidP="002A7494">
      <w:pPr>
        <w:pStyle w:val="BodyText"/>
        <w:spacing w:after="160" w:line="480" w:lineRule="auto"/>
        <w:rPr>
          <w:color w:val="0D0D0D" w:themeColor="text1" w:themeTint="F2"/>
          <w:sz w:val="24"/>
          <w:szCs w:val="24"/>
        </w:rPr>
      </w:pPr>
      <w:r w:rsidRPr="003C6DBD">
        <w:rPr>
          <w:color w:val="0D0D0D" w:themeColor="text1" w:themeTint="F2"/>
          <w:sz w:val="24"/>
          <w:szCs w:val="24"/>
        </w:rPr>
        <w:t xml:space="preserve">2. </w:t>
      </w:r>
      <w:r w:rsidR="0094792E" w:rsidRPr="003C6DBD">
        <w:rPr>
          <w:color w:val="0D0D0D" w:themeColor="text1" w:themeTint="F2"/>
          <w:sz w:val="24"/>
          <w:szCs w:val="24"/>
        </w:rPr>
        <w:t>To analyze the financial performance of publicly</w:t>
      </w:r>
      <w:r w:rsidR="00E940B9" w:rsidRPr="003C6DBD">
        <w:rPr>
          <w:color w:val="0D0D0D" w:themeColor="text1" w:themeTint="F2"/>
          <w:sz w:val="24"/>
          <w:szCs w:val="24"/>
        </w:rPr>
        <w:t xml:space="preserve"> </w:t>
      </w:r>
      <w:r w:rsidR="0094792E" w:rsidRPr="003C6DBD">
        <w:rPr>
          <w:color w:val="0D0D0D" w:themeColor="text1" w:themeTint="F2"/>
          <w:sz w:val="24"/>
          <w:szCs w:val="24"/>
        </w:rPr>
        <w:t xml:space="preserve">traded biofuel firms from </w:t>
      </w:r>
      <w:r w:rsidR="00A13244" w:rsidRPr="003C6DBD">
        <w:rPr>
          <w:color w:val="0D0D0D" w:themeColor="text1" w:themeTint="F2"/>
          <w:sz w:val="24"/>
          <w:szCs w:val="24"/>
        </w:rPr>
        <w:t>201</w:t>
      </w:r>
      <w:r w:rsidR="00563C4E" w:rsidRPr="003C6DBD">
        <w:rPr>
          <w:color w:val="0D0D0D" w:themeColor="text1" w:themeTint="F2"/>
          <w:sz w:val="24"/>
          <w:szCs w:val="24"/>
        </w:rPr>
        <w:t>8</w:t>
      </w:r>
      <w:r w:rsidR="00A13244" w:rsidRPr="003C6DBD">
        <w:rPr>
          <w:color w:val="0D0D0D" w:themeColor="text1" w:themeTint="F2"/>
          <w:sz w:val="24"/>
          <w:szCs w:val="24"/>
        </w:rPr>
        <w:t xml:space="preserve"> </w:t>
      </w:r>
      <w:r w:rsidR="0094792E" w:rsidRPr="003C6DBD">
        <w:rPr>
          <w:color w:val="0D0D0D" w:themeColor="text1" w:themeTint="F2"/>
          <w:sz w:val="24"/>
          <w:szCs w:val="24"/>
        </w:rPr>
        <w:t>to 202</w:t>
      </w:r>
      <w:r w:rsidR="00B12685" w:rsidRPr="003C6DBD">
        <w:rPr>
          <w:color w:val="0D0D0D" w:themeColor="text1" w:themeTint="F2"/>
          <w:sz w:val="24"/>
          <w:szCs w:val="24"/>
        </w:rPr>
        <w:t>1</w:t>
      </w:r>
      <w:bookmarkEnd w:id="10"/>
      <w:r w:rsidR="00D8284B" w:rsidRPr="003C6DBD">
        <w:rPr>
          <w:color w:val="0D0D0D" w:themeColor="text1" w:themeTint="F2"/>
          <w:sz w:val="24"/>
          <w:szCs w:val="24"/>
        </w:rPr>
        <w:t>.</w:t>
      </w:r>
    </w:p>
    <w:p w14:paraId="1D9E2704" w14:textId="77777777" w:rsidR="00AE64D7" w:rsidRPr="003C6DBD" w:rsidRDefault="00AE64D7" w:rsidP="002A7494">
      <w:pPr>
        <w:pStyle w:val="Heading1"/>
        <w:spacing w:line="480" w:lineRule="auto"/>
        <w:rPr>
          <w:rFonts w:cs="Times New Roman"/>
          <w:color w:val="0D0D0D" w:themeColor="text1" w:themeTint="F2"/>
          <w:szCs w:val="24"/>
        </w:rPr>
      </w:pPr>
    </w:p>
    <w:p w14:paraId="066CC9D1" w14:textId="77777777" w:rsidR="00AE64D7" w:rsidRPr="003C6DBD" w:rsidRDefault="00AE64D7" w:rsidP="002A7494">
      <w:pPr>
        <w:pStyle w:val="Heading1"/>
        <w:spacing w:line="480" w:lineRule="auto"/>
        <w:rPr>
          <w:rFonts w:cs="Times New Roman"/>
          <w:color w:val="0D0D0D" w:themeColor="text1" w:themeTint="F2"/>
          <w:szCs w:val="24"/>
        </w:rPr>
      </w:pPr>
    </w:p>
    <w:p w14:paraId="5536C822" w14:textId="77777777" w:rsidR="00AE64D7" w:rsidRPr="003C6DBD" w:rsidRDefault="00AE64D7" w:rsidP="002A7494">
      <w:pPr>
        <w:pStyle w:val="Heading1"/>
        <w:spacing w:line="480" w:lineRule="auto"/>
        <w:rPr>
          <w:rFonts w:cs="Times New Roman"/>
          <w:color w:val="0D0D0D" w:themeColor="text1" w:themeTint="F2"/>
          <w:szCs w:val="24"/>
        </w:rPr>
      </w:pPr>
    </w:p>
    <w:p w14:paraId="2D35AFB5" w14:textId="77777777" w:rsidR="00AE64D7" w:rsidRPr="003C6DBD" w:rsidRDefault="00AE64D7" w:rsidP="002A7494">
      <w:pPr>
        <w:pStyle w:val="Heading1"/>
        <w:spacing w:line="480" w:lineRule="auto"/>
        <w:rPr>
          <w:rFonts w:cs="Times New Roman"/>
          <w:color w:val="0D0D0D" w:themeColor="text1" w:themeTint="F2"/>
          <w:szCs w:val="24"/>
        </w:rPr>
      </w:pPr>
    </w:p>
    <w:p w14:paraId="15720903" w14:textId="77777777" w:rsidR="00AE64D7" w:rsidRPr="003C6DBD" w:rsidRDefault="00AE64D7" w:rsidP="002A7494">
      <w:pPr>
        <w:pStyle w:val="Heading1"/>
        <w:spacing w:line="480" w:lineRule="auto"/>
        <w:rPr>
          <w:rFonts w:cs="Times New Roman"/>
          <w:color w:val="0D0D0D" w:themeColor="text1" w:themeTint="F2"/>
          <w:szCs w:val="24"/>
        </w:rPr>
      </w:pPr>
    </w:p>
    <w:p w14:paraId="225958BA" w14:textId="77777777" w:rsidR="00AE64D7" w:rsidRPr="003C6DBD" w:rsidRDefault="00AE64D7" w:rsidP="002A7494">
      <w:pPr>
        <w:pStyle w:val="Heading1"/>
        <w:spacing w:line="480" w:lineRule="auto"/>
        <w:rPr>
          <w:rFonts w:cs="Times New Roman"/>
          <w:color w:val="0D0D0D" w:themeColor="text1" w:themeTint="F2"/>
          <w:szCs w:val="24"/>
        </w:rPr>
      </w:pPr>
    </w:p>
    <w:p w14:paraId="17B8BAA2" w14:textId="77777777" w:rsidR="00AE64D7" w:rsidRPr="003C6DBD" w:rsidRDefault="00AE64D7" w:rsidP="002A7494">
      <w:pPr>
        <w:pStyle w:val="Heading1"/>
        <w:spacing w:line="480" w:lineRule="auto"/>
        <w:rPr>
          <w:rFonts w:cs="Times New Roman"/>
          <w:color w:val="0D0D0D" w:themeColor="text1" w:themeTint="F2"/>
          <w:szCs w:val="24"/>
        </w:rPr>
      </w:pPr>
    </w:p>
    <w:p w14:paraId="3E61A8C5" w14:textId="77777777" w:rsidR="00AE64D7" w:rsidRPr="003C6DBD" w:rsidRDefault="00AE64D7" w:rsidP="002A7494">
      <w:pPr>
        <w:pStyle w:val="Heading1"/>
        <w:spacing w:line="480" w:lineRule="auto"/>
        <w:rPr>
          <w:rFonts w:cs="Times New Roman"/>
          <w:color w:val="0D0D0D" w:themeColor="text1" w:themeTint="F2"/>
          <w:szCs w:val="24"/>
        </w:rPr>
      </w:pPr>
    </w:p>
    <w:p w14:paraId="3650CFFF" w14:textId="77777777" w:rsidR="00AE64D7" w:rsidRPr="003C6DBD" w:rsidRDefault="00AE64D7" w:rsidP="00AE64D7">
      <w:pPr>
        <w:rPr>
          <w:rFonts w:ascii="Times New Roman" w:hAnsi="Times New Roman" w:cs="Times New Roman"/>
          <w:color w:val="0D0D0D" w:themeColor="text1" w:themeTint="F2"/>
          <w:sz w:val="24"/>
          <w:szCs w:val="24"/>
        </w:rPr>
      </w:pPr>
    </w:p>
    <w:p w14:paraId="5AE46EC0" w14:textId="77777777" w:rsidR="00AE64D7" w:rsidRPr="003C6DBD" w:rsidRDefault="00AE64D7" w:rsidP="00AE64D7">
      <w:pPr>
        <w:rPr>
          <w:rFonts w:ascii="Times New Roman" w:hAnsi="Times New Roman" w:cs="Times New Roman"/>
          <w:color w:val="0D0D0D" w:themeColor="text1" w:themeTint="F2"/>
          <w:sz w:val="24"/>
          <w:szCs w:val="24"/>
        </w:rPr>
      </w:pPr>
    </w:p>
    <w:p w14:paraId="5DB57982" w14:textId="068B0582" w:rsidR="00244E6C" w:rsidRPr="003C6DBD" w:rsidRDefault="003F6F35" w:rsidP="002A7494">
      <w:pPr>
        <w:pStyle w:val="Heading1"/>
        <w:spacing w:line="480" w:lineRule="auto"/>
        <w:rPr>
          <w:rFonts w:cs="Times New Roman"/>
          <w:color w:val="0D0D0D" w:themeColor="text1" w:themeTint="F2"/>
          <w:szCs w:val="24"/>
        </w:rPr>
      </w:pPr>
      <w:bookmarkStart w:id="11" w:name="_Toc132761830"/>
      <w:r w:rsidRPr="003C6DBD">
        <w:rPr>
          <w:rFonts w:cs="Times New Roman"/>
          <w:color w:val="0D0D0D" w:themeColor="text1" w:themeTint="F2"/>
          <w:szCs w:val="24"/>
        </w:rPr>
        <w:lastRenderedPageBreak/>
        <w:t xml:space="preserve">CHAPTER </w:t>
      </w:r>
      <w:r w:rsidR="002100AF" w:rsidRPr="003C6DBD">
        <w:rPr>
          <w:rFonts w:cs="Times New Roman"/>
          <w:color w:val="0D0D0D" w:themeColor="text1" w:themeTint="F2"/>
          <w:szCs w:val="24"/>
        </w:rPr>
        <w:t>II</w:t>
      </w:r>
      <w:bookmarkEnd w:id="11"/>
    </w:p>
    <w:p w14:paraId="16036BB6" w14:textId="5157B5D4" w:rsidR="00244E6C" w:rsidRPr="003C6DBD" w:rsidRDefault="003A191B" w:rsidP="002A7494">
      <w:pPr>
        <w:pStyle w:val="Heading2"/>
        <w:rPr>
          <w:color w:val="0D0D0D" w:themeColor="text1" w:themeTint="F2"/>
        </w:rPr>
      </w:pPr>
      <w:bookmarkStart w:id="12" w:name="_Toc132761831"/>
      <w:r w:rsidRPr="003C6DBD">
        <w:rPr>
          <w:color w:val="0D0D0D" w:themeColor="text1" w:themeTint="F2"/>
        </w:rPr>
        <w:t>LITERATURE REVIEW</w:t>
      </w:r>
      <w:bookmarkEnd w:id="12"/>
    </w:p>
    <w:p w14:paraId="7B8BF078" w14:textId="46E9A258" w:rsidR="00EC5F87" w:rsidRPr="003C6DBD" w:rsidRDefault="00EC5F87" w:rsidP="002A7494">
      <w:pPr>
        <w:pStyle w:val="Heading3"/>
        <w:spacing w:line="480" w:lineRule="auto"/>
        <w:rPr>
          <w:rFonts w:cs="Times New Roman"/>
          <w:color w:val="0D0D0D" w:themeColor="text1" w:themeTint="F2"/>
          <w:szCs w:val="24"/>
        </w:rPr>
      </w:pPr>
      <w:bookmarkStart w:id="13" w:name="_Toc132761832"/>
      <w:r w:rsidRPr="003C6DBD">
        <w:rPr>
          <w:rFonts w:cs="Times New Roman"/>
          <w:color w:val="0D0D0D" w:themeColor="text1" w:themeTint="F2"/>
          <w:szCs w:val="24"/>
        </w:rPr>
        <w:t>2.1 Literature Review for Risk Analysis</w:t>
      </w:r>
      <w:bookmarkEnd w:id="13"/>
    </w:p>
    <w:p w14:paraId="4453F171" w14:textId="72DFA1A8" w:rsidR="009855B3" w:rsidRPr="003C6DBD" w:rsidRDefault="009855B3" w:rsidP="002A7494">
      <w:pPr>
        <w:pStyle w:val="BodyTextIndent3"/>
        <w:rPr>
          <w:color w:val="0D0D0D" w:themeColor="text1" w:themeTint="F2"/>
        </w:rPr>
      </w:pPr>
      <w:r w:rsidRPr="003C6DBD">
        <w:rPr>
          <w:color w:val="0D0D0D" w:themeColor="text1" w:themeTint="F2"/>
        </w:rPr>
        <w:t xml:space="preserve">Any novel product or technology faces several challenges </w:t>
      </w:r>
      <w:r w:rsidR="00FE6C15" w:rsidRPr="003C6DBD">
        <w:rPr>
          <w:color w:val="0D0D0D" w:themeColor="text1" w:themeTint="F2"/>
        </w:rPr>
        <w:t xml:space="preserve">including </w:t>
      </w:r>
      <w:r w:rsidRPr="003C6DBD">
        <w:rPr>
          <w:color w:val="0D0D0D" w:themeColor="text1" w:themeTint="F2"/>
        </w:rPr>
        <w:t xml:space="preserve">cost, supply chain establishment, technical uncertainties, regulatory approval, political uncertainty, policy failures etc. </w:t>
      </w:r>
      <w:r w:rsidRPr="003C6DBD">
        <w:rPr>
          <w:color w:val="0D0D0D" w:themeColor="text1" w:themeTint="F2"/>
        </w:rPr>
        <w:fldChar w:fldCharType="begin"/>
      </w:r>
      <w:r w:rsidRPr="003C6DBD">
        <w:rPr>
          <w:color w:val="0D0D0D" w:themeColor="text1" w:themeTint="F2"/>
        </w:rPr>
        <w:instrText xml:space="preserve"> ADDIN ZOTERO_ITEM CSL_CITATION {"citationID":"fSTKqZgA","properties":{"formattedCitation":"(Dodd et al., 2018)","plainCitation":"(Dodd et al., 2018)","noteIndex":0},"citationItems":[{"id":422,"uris":["http://zotero.org/users/8949154/items/NYCT2KMB"],"itemData":{"id":422,"type":"article-journal","container-title":"Energy Policy","note":"publisher: Elsevier","page":"92–103","source":"Google Scholar","title":"What stalls a renewable energy industry? Industry outlook of the aviation biofuels industry in Australia, Germany, and the USA","title-short":"What stalls a renewable energy industry?","volume":"123","author":[{"family":"Dodd","given":"Tracey"},{"family":"Orlitzky","given":"Marc"},{"family":"Nelson","given":"Tim"}],"issued":{"date-parts":[["2018"]]}}}],"schema":"https://github.com/citation-style-language/schema/raw/master/csl-citation.json"} </w:instrText>
      </w:r>
      <w:r w:rsidRPr="003C6DBD">
        <w:rPr>
          <w:color w:val="0D0D0D" w:themeColor="text1" w:themeTint="F2"/>
        </w:rPr>
        <w:fldChar w:fldCharType="separate"/>
      </w:r>
      <w:r w:rsidRPr="003C6DBD">
        <w:rPr>
          <w:color w:val="0D0D0D" w:themeColor="text1" w:themeTint="F2"/>
        </w:rPr>
        <w:t>(Dodd et al., 2018)</w:t>
      </w:r>
      <w:r w:rsidRPr="003C6DBD">
        <w:rPr>
          <w:color w:val="0D0D0D" w:themeColor="text1" w:themeTint="F2"/>
        </w:rPr>
        <w:fldChar w:fldCharType="end"/>
      </w:r>
      <w:r w:rsidRPr="003C6DBD">
        <w:rPr>
          <w:color w:val="0D0D0D" w:themeColor="text1" w:themeTint="F2"/>
        </w:rPr>
        <w:t>. In this section, we review studies relevant to our study about risks of the biofuel industry.</w:t>
      </w:r>
    </w:p>
    <w:p w14:paraId="0D46FA22" w14:textId="59298C0F" w:rsidR="00244E6C" w:rsidRPr="003C6DBD" w:rsidRDefault="003F6F35" w:rsidP="002A7494">
      <w:pPr>
        <w:pStyle w:val="Heading4"/>
        <w:rPr>
          <w:color w:val="0D0D0D" w:themeColor="text1" w:themeTint="F2"/>
        </w:rPr>
      </w:pPr>
      <w:r w:rsidRPr="003C6DBD">
        <w:rPr>
          <w:color w:val="0D0D0D" w:themeColor="text1" w:themeTint="F2"/>
        </w:rPr>
        <w:t>2.1</w:t>
      </w:r>
      <w:r w:rsidR="00EC5F87" w:rsidRPr="003C6DBD">
        <w:rPr>
          <w:color w:val="0D0D0D" w:themeColor="text1" w:themeTint="F2"/>
        </w:rPr>
        <w:t>.1</w:t>
      </w:r>
      <w:r w:rsidRPr="003C6DBD">
        <w:rPr>
          <w:color w:val="0D0D0D" w:themeColor="text1" w:themeTint="F2"/>
        </w:rPr>
        <w:t xml:space="preserve"> Biofuel Policies</w:t>
      </w:r>
    </w:p>
    <w:p w14:paraId="240BC670" w14:textId="11356F7F" w:rsidR="00FE7EA9" w:rsidRPr="003C6DBD" w:rsidRDefault="009855B3" w:rsidP="00A9098C">
      <w:pPr>
        <w:pStyle w:val="BodyTextIndent"/>
        <w:ind w:firstLine="720"/>
        <w:rPr>
          <w:color w:val="0D0D0D" w:themeColor="text1" w:themeTint="F2"/>
        </w:rPr>
      </w:pPr>
      <w:r w:rsidRPr="003C6DBD">
        <w:rPr>
          <w:color w:val="0D0D0D" w:themeColor="text1" w:themeTint="F2"/>
        </w:rPr>
        <w:t xml:space="preserve">Reducing dependency on foreign fuel along with environmental conservation is a general-purpose of government policies that </w:t>
      </w:r>
      <w:r w:rsidR="00C14D59" w:rsidRPr="003C6DBD">
        <w:rPr>
          <w:color w:val="0D0D0D" w:themeColor="text1" w:themeTint="F2"/>
        </w:rPr>
        <w:t xml:space="preserve">intend to </w:t>
      </w:r>
      <w:r w:rsidRPr="003C6DBD">
        <w:rPr>
          <w:color w:val="0D0D0D" w:themeColor="text1" w:themeTint="F2"/>
        </w:rPr>
        <w:t>create a conducive environment for the growth of the biofuel industry. On the other hand, there is a growing concern that policy-level efforts for technological innovation are more focused on the economic aspects of the</w:t>
      </w:r>
      <w:r w:rsidR="00C14D59" w:rsidRPr="003C6DBD">
        <w:rPr>
          <w:color w:val="0D0D0D" w:themeColor="text1" w:themeTint="F2"/>
        </w:rPr>
        <w:t xml:space="preserve"> biofuel</w:t>
      </w:r>
      <w:r w:rsidRPr="003C6DBD">
        <w:rPr>
          <w:color w:val="0D0D0D" w:themeColor="text1" w:themeTint="F2"/>
        </w:rPr>
        <w:t xml:space="preserve"> industry</w:t>
      </w:r>
      <w:r w:rsidR="00C14D59" w:rsidRPr="003C6DBD">
        <w:rPr>
          <w:color w:val="0D0D0D" w:themeColor="text1" w:themeTint="F2"/>
        </w:rPr>
        <w:t xml:space="preserve"> rather than environmental conservation</w:t>
      </w:r>
      <w:r w:rsidRPr="003C6DBD">
        <w:rPr>
          <w:color w:val="0D0D0D" w:themeColor="text1" w:themeTint="F2"/>
        </w:rPr>
        <w:t xml:space="preserve"> </w:t>
      </w:r>
      <w:r w:rsidRPr="003C6DBD">
        <w:rPr>
          <w:color w:val="0D0D0D" w:themeColor="text1" w:themeTint="F2"/>
        </w:rPr>
        <w:fldChar w:fldCharType="begin"/>
      </w:r>
      <w:r w:rsidRPr="003C6DBD">
        <w:rPr>
          <w:color w:val="0D0D0D" w:themeColor="text1" w:themeTint="F2"/>
        </w:rPr>
        <w:instrText xml:space="preserve"> ADDIN ZOTERO_ITEM CSL_CITATION {"citationID":"oTbAPRUt","properties":{"formattedCitation":"(Costantini et al., 2015)","plainCitation":"(Costantini et al., 2015)","noteIndex":0},"citationItems":[{"id":424,"uris":["http://zotero.org/users/8949154/items/N26BS2EG"],"itemData":{"id":424,"type":"article-journal","container-title":"Research Policy","issue":"3","note":"publisher: Elsevier","page":"577–595","source":"Google Scholar","title":"Demand-pull and technology-push public support for eco-innovation: The case of the biofuels sector","title-short":"Demand-pull and technology-push public support for eco-innovation","volume":"44","author":[{"family":"Costantini","given":"Valeria"},{"family":"Crespi","given":"Francesco"},{"family":"Martini","given":"Chiara"},{"family":"Pennacchio","given":"Luca"}],"issued":{"date-parts":[["2015"]]}}}],"schema":"https://github.com/citation-style-language/schema/raw/master/csl-citation.json"} </w:instrText>
      </w:r>
      <w:r w:rsidRPr="003C6DBD">
        <w:rPr>
          <w:color w:val="0D0D0D" w:themeColor="text1" w:themeTint="F2"/>
        </w:rPr>
        <w:fldChar w:fldCharType="separate"/>
      </w:r>
      <w:r w:rsidRPr="003C6DBD">
        <w:rPr>
          <w:color w:val="0D0D0D" w:themeColor="text1" w:themeTint="F2"/>
        </w:rPr>
        <w:t>(Costantini et al., 2015)</w:t>
      </w:r>
      <w:r w:rsidRPr="003C6DBD">
        <w:rPr>
          <w:color w:val="0D0D0D" w:themeColor="text1" w:themeTint="F2"/>
        </w:rPr>
        <w:fldChar w:fldCharType="end"/>
      </w:r>
      <w:r w:rsidRPr="003C6DBD">
        <w:rPr>
          <w:color w:val="0D0D0D" w:themeColor="text1" w:themeTint="F2"/>
        </w:rPr>
        <w:t xml:space="preserve">. </w:t>
      </w:r>
      <w:r w:rsidR="00C14D59" w:rsidRPr="003C6DBD">
        <w:rPr>
          <w:color w:val="0D0D0D" w:themeColor="text1" w:themeTint="F2"/>
        </w:rPr>
        <w:t xml:space="preserve">Some studies examining the policy level efforts in </w:t>
      </w:r>
      <w:r w:rsidR="0039134D" w:rsidRPr="003C6DBD">
        <w:rPr>
          <w:color w:val="0D0D0D" w:themeColor="text1" w:themeTint="F2"/>
        </w:rPr>
        <w:t xml:space="preserve">the </w:t>
      </w:r>
      <w:r w:rsidR="00C14D59" w:rsidRPr="003C6DBD">
        <w:rPr>
          <w:color w:val="0D0D0D" w:themeColor="text1" w:themeTint="F2"/>
        </w:rPr>
        <w:t>biofuel industry are discussed below.</w:t>
      </w:r>
    </w:p>
    <w:p w14:paraId="70E1C082" w14:textId="2DBBE0E3" w:rsidR="003611CE" w:rsidRPr="003C6DBD" w:rsidRDefault="00AD54C8" w:rsidP="003611CE">
      <w:pPr>
        <w:pStyle w:val="BodyTextIndent"/>
        <w:ind w:firstLine="720"/>
        <w:rPr>
          <w:color w:val="0D0D0D" w:themeColor="text1" w:themeTint="F2"/>
        </w:rPr>
      </w:pPr>
      <w:r w:rsidRPr="003C6DBD">
        <w:rPr>
          <w:color w:val="0D0D0D" w:themeColor="text1" w:themeTint="F2"/>
        </w:rPr>
        <w:fldChar w:fldCharType="begin"/>
      </w:r>
      <w:r w:rsidRPr="003C6DBD">
        <w:rPr>
          <w:color w:val="0D0D0D" w:themeColor="text1" w:themeTint="F2"/>
        </w:rPr>
        <w:instrText xml:space="preserve"> ADDIN ZOTERO_ITEM CSL_CITATION {"citationID":"26PJl9Lp","properties":{"custom":"Kesan et al. (2009)","formattedCitation":"Kesan et al. (2009)","plainCitation":"Kesan et al. (2009)","noteIndex":0},"citationItems":[{"id":794,"uris":["http://zotero.org/users/8949154/items/N6ID4ARE"],"itemData":{"id":794,"type":"article-journal","container-title":"U Illinois Law &amp; Economics Research Paper No. LE09-035, Illinois Public Law Research Paper","issue":"09-11","source":"Google Scholar","title":"An Economic Evaluation of the Renewable Fuel Standard (RFS) Biofuel Program: An Industrial Policy Approach","title-short":"An Economic Evaluation of the Renewable Fuel Standard (RFS) Biofuel Program","author":[{"family":"Kesan","given":"Jay P."},{"family":"Ohyama","given":"Atsushi"},{"family":"Yang","given":"Hsiao-Shan"}],"issued":{"date-parts":[["2009"]]}}}],"schema":"https://github.com/citation-style-language/schema/raw/master/csl-citation.json"} </w:instrText>
      </w:r>
      <w:r w:rsidRPr="003C6DBD">
        <w:rPr>
          <w:color w:val="0D0D0D" w:themeColor="text1" w:themeTint="F2"/>
        </w:rPr>
        <w:fldChar w:fldCharType="separate"/>
      </w:r>
      <w:r w:rsidRPr="003C6DBD">
        <w:rPr>
          <w:color w:val="0D0D0D" w:themeColor="text1" w:themeTint="F2"/>
        </w:rPr>
        <w:t>Kesan et al. (2009)</w:t>
      </w:r>
      <w:r w:rsidRPr="003C6DBD">
        <w:rPr>
          <w:color w:val="0D0D0D" w:themeColor="text1" w:themeTint="F2"/>
        </w:rPr>
        <w:fldChar w:fldCharType="end"/>
      </w:r>
      <w:r w:rsidR="005B3286" w:rsidRPr="003C6DBD">
        <w:rPr>
          <w:color w:val="0D0D0D" w:themeColor="text1" w:themeTint="F2"/>
        </w:rPr>
        <w:t xml:space="preserve"> </w:t>
      </w:r>
      <w:r w:rsidR="003611CE" w:rsidRPr="003C6DBD">
        <w:rPr>
          <w:color w:val="0D0D0D" w:themeColor="text1" w:themeTint="F2"/>
        </w:rPr>
        <w:t xml:space="preserve">examined the impact of renewable fuel standard (RFS) on the growth and development of the US ethanol industry using data from 216 ethanol plants that entered </w:t>
      </w:r>
      <w:r w:rsidR="0039134D" w:rsidRPr="003C6DBD">
        <w:rPr>
          <w:color w:val="0D0D0D" w:themeColor="text1" w:themeTint="F2"/>
        </w:rPr>
        <w:t xml:space="preserve">the </w:t>
      </w:r>
      <w:r w:rsidR="003611CE" w:rsidRPr="003C6DBD">
        <w:rPr>
          <w:color w:val="0D0D0D" w:themeColor="text1" w:themeTint="F2"/>
        </w:rPr>
        <w:t>ethanol market after 2000. The study period ranged from 2000 to 2010. The analysis revealed that the RFS program contributes to increasing economies of scale and promoting the competitiveness of existing firms. The OLS regression using plant capacity as the dependent variable and RFS as the dummy</w:t>
      </w:r>
      <w:r w:rsidR="005B3286" w:rsidRPr="003C6DBD">
        <w:rPr>
          <w:color w:val="0D0D0D" w:themeColor="text1" w:themeTint="F2"/>
        </w:rPr>
        <w:t>, ethanol price, and number of ethanol plants in state</w:t>
      </w:r>
      <w:r w:rsidR="003611CE" w:rsidRPr="003C6DBD">
        <w:rPr>
          <w:color w:val="0D0D0D" w:themeColor="text1" w:themeTint="F2"/>
        </w:rPr>
        <w:t xml:space="preserve"> </w:t>
      </w:r>
      <w:r w:rsidR="005B3286" w:rsidRPr="003C6DBD">
        <w:rPr>
          <w:color w:val="0D0D0D" w:themeColor="text1" w:themeTint="F2"/>
        </w:rPr>
        <w:t xml:space="preserve">as </w:t>
      </w:r>
      <w:r w:rsidR="003611CE" w:rsidRPr="003C6DBD">
        <w:rPr>
          <w:color w:val="0D0D0D" w:themeColor="text1" w:themeTint="F2"/>
        </w:rPr>
        <w:t>independent variable</w:t>
      </w:r>
      <w:r w:rsidR="005B3286" w:rsidRPr="003C6DBD">
        <w:rPr>
          <w:color w:val="0D0D0D" w:themeColor="text1" w:themeTint="F2"/>
        </w:rPr>
        <w:t>s</w:t>
      </w:r>
      <w:r w:rsidR="003611CE" w:rsidRPr="003C6DBD">
        <w:rPr>
          <w:color w:val="0D0D0D" w:themeColor="text1" w:themeTint="F2"/>
        </w:rPr>
        <w:t xml:space="preserve"> suggests a statistically significant relationship among them. This result stresses the importance of biofuel policy for the viability and growth of biofuel businesses. </w:t>
      </w:r>
    </w:p>
    <w:p w14:paraId="752C2341" w14:textId="5D660D82" w:rsidR="003611CE" w:rsidRPr="003C6DBD" w:rsidRDefault="003611CE" w:rsidP="003611CE">
      <w:pPr>
        <w:pStyle w:val="BodyTextIndent"/>
        <w:ind w:firstLine="720"/>
        <w:rPr>
          <w:color w:val="0D0D0D" w:themeColor="text1" w:themeTint="F2"/>
        </w:rPr>
      </w:pPr>
      <w:r w:rsidRPr="003C6DBD">
        <w:rPr>
          <w:color w:val="0D0D0D" w:themeColor="text1" w:themeTint="F2"/>
        </w:rPr>
        <w:lastRenderedPageBreak/>
        <w:t xml:space="preserve">A study by Naylor &amp; Higgins (2017) examined the economic and policy factors that promote the expansion of biodiesel and </w:t>
      </w:r>
      <w:r w:rsidR="0039134D" w:rsidRPr="003C6DBD">
        <w:rPr>
          <w:color w:val="0D0D0D" w:themeColor="text1" w:themeTint="F2"/>
        </w:rPr>
        <w:t xml:space="preserve">studied </w:t>
      </w:r>
      <w:r w:rsidRPr="003C6DBD">
        <w:rPr>
          <w:color w:val="0D0D0D" w:themeColor="text1" w:themeTint="F2"/>
        </w:rPr>
        <w:t xml:space="preserve">the prospect of biodiesel growth in </w:t>
      </w:r>
      <w:r w:rsidR="0039134D" w:rsidRPr="003C6DBD">
        <w:rPr>
          <w:color w:val="0D0D0D" w:themeColor="text1" w:themeTint="F2"/>
        </w:rPr>
        <w:t>a</w:t>
      </w:r>
      <w:r w:rsidRPr="003C6DBD">
        <w:rPr>
          <w:color w:val="0D0D0D" w:themeColor="text1" w:themeTint="F2"/>
        </w:rPr>
        <w:t xml:space="preserve"> low crude oil prices</w:t>
      </w:r>
      <w:r w:rsidR="0039134D" w:rsidRPr="003C6DBD">
        <w:rPr>
          <w:color w:val="0D0D0D" w:themeColor="text1" w:themeTint="F2"/>
        </w:rPr>
        <w:t xml:space="preserve"> scenario</w:t>
      </w:r>
      <w:r w:rsidRPr="003C6DBD">
        <w:rPr>
          <w:color w:val="0D0D0D" w:themeColor="text1" w:themeTint="F2"/>
        </w:rPr>
        <w:t xml:space="preserve">. The </w:t>
      </w:r>
      <w:r w:rsidR="0039134D" w:rsidRPr="003C6DBD">
        <w:rPr>
          <w:color w:val="0D0D0D" w:themeColor="text1" w:themeTint="F2"/>
        </w:rPr>
        <w:t xml:space="preserve">authors </w:t>
      </w:r>
      <w:r w:rsidRPr="003C6DBD">
        <w:rPr>
          <w:color w:val="0D0D0D" w:themeColor="text1" w:themeTint="F2"/>
        </w:rPr>
        <w:t xml:space="preserve">used the case </w:t>
      </w:r>
      <w:r w:rsidR="0039134D" w:rsidRPr="003C6DBD">
        <w:rPr>
          <w:color w:val="0D0D0D" w:themeColor="text1" w:themeTint="F2"/>
        </w:rPr>
        <w:t xml:space="preserve">study </w:t>
      </w:r>
      <w:r w:rsidRPr="003C6DBD">
        <w:rPr>
          <w:color w:val="0D0D0D" w:themeColor="text1" w:themeTint="F2"/>
        </w:rPr>
        <w:t xml:space="preserve">method to explore the major biofuel-producing countries (Argentina, Brazil, Canada, Colombia, European Union, Indonesia, Malaysia, Thailand, and USA) as key elements for analysis. The key takeaways from the case studies were: 1) the expansion of biodiesel output in all the major producing countries was a result of explicit policy intervention, 2) vegetable oil prices have rarely been low enough for biodiesel to break even with conventional diesel in the absence of subsidies, 3) all large biodiesel producing countries use domestic agricultural commodities as the leading feedstock for biodiesel development, 4) The ratio of crude oil to vegetable oil prices influences the profitability of biodiesel investments, and provides </w:t>
      </w:r>
      <w:r w:rsidR="00734E30" w:rsidRPr="003C6DBD">
        <w:rPr>
          <w:color w:val="0D0D0D" w:themeColor="text1" w:themeTint="F2"/>
        </w:rPr>
        <w:t xml:space="preserve">an indication </w:t>
      </w:r>
      <w:r w:rsidRPr="003C6DBD">
        <w:rPr>
          <w:color w:val="0D0D0D" w:themeColor="text1" w:themeTint="F2"/>
        </w:rPr>
        <w:t xml:space="preserve">of the magnitude of government subsidies that will be needed to achieve biodiesel targets, </w:t>
      </w:r>
      <w:r w:rsidR="00734E30" w:rsidRPr="003C6DBD">
        <w:rPr>
          <w:color w:val="0D0D0D" w:themeColor="text1" w:themeTint="F2"/>
        </w:rPr>
        <w:t xml:space="preserve">and </w:t>
      </w:r>
      <w:r w:rsidRPr="003C6DBD">
        <w:rPr>
          <w:color w:val="0D0D0D" w:themeColor="text1" w:themeTint="F2"/>
        </w:rPr>
        <w:t xml:space="preserve">5)  The objectives that are often promoted to be a "win-win" strategy are frequently in conflict and have unintended consequences. </w:t>
      </w:r>
    </w:p>
    <w:p w14:paraId="1B364AC3" w14:textId="70DA5101" w:rsidR="0076146F" w:rsidRPr="003C6DBD" w:rsidRDefault="00FE7EA9" w:rsidP="003537C6">
      <w:pPr>
        <w:pStyle w:val="BodyTextIndent"/>
        <w:ind w:firstLine="720"/>
        <w:rPr>
          <w:color w:val="0D0D0D" w:themeColor="text1" w:themeTint="F2"/>
        </w:rPr>
      </w:pPr>
      <w:r w:rsidRPr="003C6DBD">
        <w:rPr>
          <w:color w:val="0D0D0D" w:themeColor="text1" w:themeTint="F2"/>
        </w:rPr>
        <w:t>Similarly</w:t>
      </w:r>
      <w:r w:rsidR="00B32D72" w:rsidRPr="003C6DBD">
        <w:rPr>
          <w:color w:val="0D0D0D" w:themeColor="text1" w:themeTint="F2"/>
        </w:rPr>
        <w:t xml:space="preserve"> to Naylor &amp; Higgins (2017)</w:t>
      </w:r>
      <w:r w:rsidRPr="003C6DBD">
        <w:rPr>
          <w:color w:val="0D0D0D" w:themeColor="text1" w:themeTint="F2"/>
        </w:rPr>
        <w:t xml:space="preserve">, a </w:t>
      </w:r>
      <w:r w:rsidR="009855B3" w:rsidRPr="003C6DBD">
        <w:rPr>
          <w:color w:val="0D0D0D" w:themeColor="text1" w:themeTint="F2"/>
        </w:rPr>
        <w:t xml:space="preserve">study by </w:t>
      </w:r>
      <w:r w:rsidR="009855B3" w:rsidRPr="003C6DBD">
        <w:rPr>
          <w:color w:val="0D0D0D" w:themeColor="text1" w:themeTint="F2"/>
        </w:rPr>
        <w:fldChar w:fldCharType="begin"/>
      </w:r>
      <w:r w:rsidR="009855B3" w:rsidRPr="003C6DBD">
        <w:rPr>
          <w:color w:val="0D0D0D" w:themeColor="text1" w:themeTint="F2"/>
        </w:rPr>
        <w:instrText xml:space="preserve"> ADDIN ZOTERO_ITEM CSL_CITATION {"citationID":"hVmTBrbk","properties":{"custom":"Ebadian et al. (2020)","formattedCitation":"Ebadian et al. (2020)","plainCitation":"Ebadian et al. (2020)","noteIndex":0},"citationItems":[{"id":556,"uris":["http://zotero.org/users/8949154/items/IBCWVPQH"],"itemData":{"id":556,"type":"article-journal","container-title":"Energy Policy","note":"publisher: Elsevier","page":"111906","source":"Google Scholar","title":"Biofuels policies that have encouraged their production and use: An international perspective","title-short":"Biofuels policies that have encouraged their production and use","volume":"147","author":[{"family":"Ebadian","given":"Mahmood"},{"family":"Dyk","given":"Susan","non-dropping-particle":"van"},{"family":"McMillan","given":"James D."},{"family":"Saddler","given":"Jack"}],"issued":{"date-parts":[["2020"]]}}}],"schema":"https://github.com/citation-style-language/schema/raw/master/csl-citation.json"} </w:instrText>
      </w:r>
      <w:r w:rsidR="009855B3" w:rsidRPr="003C6DBD">
        <w:rPr>
          <w:color w:val="0D0D0D" w:themeColor="text1" w:themeTint="F2"/>
        </w:rPr>
        <w:fldChar w:fldCharType="separate"/>
      </w:r>
      <w:r w:rsidR="009855B3" w:rsidRPr="003C6DBD">
        <w:rPr>
          <w:color w:val="0D0D0D" w:themeColor="text1" w:themeTint="F2"/>
        </w:rPr>
        <w:t>Ebadian et al. (2020)</w:t>
      </w:r>
      <w:r w:rsidR="009855B3" w:rsidRPr="003C6DBD">
        <w:rPr>
          <w:color w:val="0D0D0D" w:themeColor="text1" w:themeTint="F2"/>
        </w:rPr>
        <w:fldChar w:fldCharType="end"/>
      </w:r>
      <w:r w:rsidR="009855B3" w:rsidRPr="003C6DBD">
        <w:rPr>
          <w:color w:val="0D0D0D" w:themeColor="text1" w:themeTint="F2"/>
        </w:rPr>
        <w:t xml:space="preserve"> evaluated the effectiveness of technology-push and market-pull policies to promote biofuels in 15 major biofuel producing countries.</w:t>
      </w:r>
      <w:r w:rsidR="003611CE" w:rsidRPr="003C6DBD">
        <w:rPr>
          <w:color w:val="0D0D0D" w:themeColor="text1" w:themeTint="F2"/>
        </w:rPr>
        <w:t xml:space="preserve"> Technology-push policies are the policies that promote the early-stage research and development, demonstration, and commercialization of biofuel technology and reduce the financial burden at the initial phase of technology development. For example, rebates on R&amp;D expenses, funding for construction of demonstration facilities, loan guarantee programs to </w:t>
      </w:r>
      <w:r w:rsidR="00B32D72" w:rsidRPr="003C6DBD">
        <w:rPr>
          <w:color w:val="0D0D0D" w:themeColor="text1" w:themeTint="F2"/>
        </w:rPr>
        <w:t>reduce</w:t>
      </w:r>
      <w:r w:rsidR="003611CE" w:rsidRPr="003C6DBD">
        <w:rPr>
          <w:color w:val="0D0D0D" w:themeColor="text1" w:themeTint="F2"/>
        </w:rPr>
        <w:t xml:space="preserve"> the risk of </w:t>
      </w:r>
      <w:r w:rsidR="00B32D72" w:rsidRPr="003C6DBD">
        <w:rPr>
          <w:color w:val="0D0D0D" w:themeColor="text1" w:themeTint="F2"/>
        </w:rPr>
        <w:t xml:space="preserve">investment on </w:t>
      </w:r>
      <w:r w:rsidR="003611CE" w:rsidRPr="003C6DBD">
        <w:rPr>
          <w:color w:val="0D0D0D" w:themeColor="text1" w:themeTint="F2"/>
        </w:rPr>
        <w:t xml:space="preserve">commercial facilities, etc. On the other hand, market-pull policies are motivated to support matured technology and create demand for biofuels. </w:t>
      </w:r>
      <w:r w:rsidR="00B32D72" w:rsidRPr="003C6DBD">
        <w:rPr>
          <w:color w:val="0D0D0D" w:themeColor="text1" w:themeTint="F2"/>
        </w:rPr>
        <w:t>E</w:t>
      </w:r>
      <w:r w:rsidR="003611CE" w:rsidRPr="003C6DBD">
        <w:rPr>
          <w:color w:val="0D0D0D" w:themeColor="text1" w:themeTint="F2"/>
        </w:rPr>
        <w:t>xample</w:t>
      </w:r>
      <w:r w:rsidR="00B32D72" w:rsidRPr="003C6DBD">
        <w:rPr>
          <w:color w:val="0D0D0D" w:themeColor="text1" w:themeTint="F2"/>
        </w:rPr>
        <w:t>s include</w:t>
      </w:r>
      <w:r w:rsidR="003611CE" w:rsidRPr="003C6DBD">
        <w:rPr>
          <w:color w:val="0D0D0D" w:themeColor="text1" w:themeTint="F2"/>
        </w:rPr>
        <w:t xml:space="preserve"> blending mandates, fuel excise tax exemption, the tariff on imported ethanol, etc</w:t>
      </w:r>
      <w:r w:rsidR="00C9795A" w:rsidRPr="003C6DBD">
        <w:rPr>
          <w:color w:val="0D0D0D" w:themeColor="text1" w:themeTint="F2"/>
        </w:rPr>
        <w:t xml:space="preserve">. </w:t>
      </w:r>
      <w:r w:rsidR="009855B3" w:rsidRPr="003C6DBD">
        <w:rPr>
          <w:color w:val="0D0D0D" w:themeColor="text1" w:themeTint="F2"/>
        </w:rPr>
        <w:t xml:space="preserve">The results revealed that biofuel policies are important for developing and growing </w:t>
      </w:r>
      <w:r w:rsidR="009855B3" w:rsidRPr="003C6DBD">
        <w:rPr>
          <w:color w:val="0D0D0D" w:themeColor="text1" w:themeTint="F2"/>
        </w:rPr>
        <w:lastRenderedPageBreak/>
        <w:t xml:space="preserve">biofuel markets. In addition, countries with a policy mix of market-pull and technology push instruments were found to be more successful at increasing biofuel production. </w:t>
      </w:r>
    </w:p>
    <w:p w14:paraId="02C3F7C3" w14:textId="4D95477B" w:rsidR="00DD2AA4" w:rsidRPr="003C6DBD" w:rsidRDefault="003F6F35" w:rsidP="002A7494">
      <w:pPr>
        <w:pStyle w:val="Heading4"/>
        <w:rPr>
          <w:color w:val="0D0D0D" w:themeColor="text1" w:themeTint="F2"/>
        </w:rPr>
      </w:pPr>
      <w:r w:rsidRPr="003C6DBD">
        <w:rPr>
          <w:color w:val="0D0D0D" w:themeColor="text1" w:themeTint="F2"/>
        </w:rPr>
        <w:t>2.</w:t>
      </w:r>
      <w:r w:rsidR="00EC5F87" w:rsidRPr="003C6DBD">
        <w:rPr>
          <w:color w:val="0D0D0D" w:themeColor="text1" w:themeTint="F2"/>
        </w:rPr>
        <w:t>1.</w:t>
      </w:r>
      <w:r w:rsidRPr="003C6DBD">
        <w:rPr>
          <w:color w:val="0D0D0D" w:themeColor="text1" w:themeTint="F2"/>
        </w:rPr>
        <w:t xml:space="preserve">2 </w:t>
      </w:r>
      <w:r w:rsidR="00106F35" w:rsidRPr="003C6DBD">
        <w:rPr>
          <w:color w:val="0D0D0D" w:themeColor="text1" w:themeTint="F2"/>
        </w:rPr>
        <w:t>Biofuel Industry Analyses</w:t>
      </w:r>
    </w:p>
    <w:p w14:paraId="69D3492C" w14:textId="57DFD9D0" w:rsidR="00D0484F" w:rsidRPr="003C6DBD" w:rsidRDefault="00D0484F" w:rsidP="002A7494">
      <w:pPr>
        <w:pStyle w:val="BodyTextIndent"/>
        <w:ind w:firstLine="720"/>
        <w:rPr>
          <w:color w:val="0D0D0D" w:themeColor="text1" w:themeTint="F2"/>
        </w:rPr>
      </w:pPr>
      <w:bookmarkStart w:id="14" w:name="_Hlk121582713"/>
      <w:r w:rsidRPr="003C6DBD">
        <w:rPr>
          <w:color w:val="0D0D0D" w:themeColor="text1" w:themeTint="F2"/>
        </w:rPr>
        <w:t xml:space="preserve">The biofuel industry is still a nascent industry that prioritizes research and development activities to solve the technical and economic challenges with biofuel production. First-generation ethanol, particularly corn ethanol, was the biofuel produced initially on a commercial scale to mitigate the environmental concerns raised by fossil fuels. Ethanol has been used to support the US fuel industry since the beginning of this century </w:t>
      </w:r>
      <w:r w:rsidRPr="003C6DBD">
        <w:rPr>
          <w:color w:val="0D0D0D" w:themeColor="text1" w:themeTint="F2"/>
        </w:rPr>
        <w:fldChar w:fldCharType="begin"/>
      </w:r>
      <w:r w:rsidRPr="003C6DBD">
        <w:rPr>
          <w:color w:val="0D0D0D" w:themeColor="text1" w:themeTint="F2"/>
        </w:rPr>
        <w:instrText xml:space="preserve"> ADDIN ZOTERO_ITEM CSL_CITATION {"citationID":"PlbH0Sv0","properties":{"formattedCitation":"(Bothast &amp; Schlicher, 2005)","plainCitation":"(Bothast &amp; Schlicher, 2005)","noteIndex":0},"citationItems":[{"id":596,"uris":["http://zotero.org/users/8949154/items/9FS7LDV7"],"itemData":{"id":596,"type":"article-journal","container-title":"Applied microbiology and biotechnology","issue":"1","note":"publisher: Springer","page":"19–25","source":"Google Scholar","title":"Biotechnological processes for conversion of corn into ethanol","volume":"67","author":[{"family":"Bothast","given":"R. J."},{"family":"Schlicher","given":"M. A."}],"issued":{"date-parts":[["2005"]]}}}],"schema":"https://github.com/citation-style-language/schema/raw/master/csl-citation.json"} </w:instrText>
      </w:r>
      <w:r w:rsidRPr="003C6DBD">
        <w:rPr>
          <w:color w:val="0D0D0D" w:themeColor="text1" w:themeTint="F2"/>
        </w:rPr>
        <w:fldChar w:fldCharType="separate"/>
      </w:r>
      <w:r w:rsidRPr="003C6DBD">
        <w:rPr>
          <w:color w:val="0D0D0D" w:themeColor="text1" w:themeTint="F2"/>
        </w:rPr>
        <w:t>(Bothast &amp; Schlicher, 2005)</w:t>
      </w:r>
      <w:r w:rsidRPr="003C6DBD">
        <w:rPr>
          <w:color w:val="0D0D0D" w:themeColor="text1" w:themeTint="F2"/>
        </w:rPr>
        <w:fldChar w:fldCharType="end"/>
      </w:r>
      <w:r w:rsidRPr="003C6DBD">
        <w:rPr>
          <w:color w:val="0D0D0D" w:themeColor="text1" w:themeTint="F2"/>
        </w:rPr>
        <w:t xml:space="preserve">. Governments and private stakeholders made several efforts for the growth of this industry in the early 2000s resulting in a boom in ethanol and other biofuel production. </w:t>
      </w:r>
      <w:r w:rsidRPr="003C6DBD">
        <w:rPr>
          <w:color w:val="0D0D0D" w:themeColor="text1" w:themeTint="F2"/>
        </w:rPr>
        <w:fldChar w:fldCharType="begin"/>
      </w:r>
      <w:r w:rsidRPr="003C6DBD">
        <w:rPr>
          <w:color w:val="0D0D0D" w:themeColor="text1" w:themeTint="F2"/>
        </w:rPr>
        <w:instrText xml:space="preserve"> ADDIN ZOTERO_ITEM CSL_CITATION {"citationID":"cj75wDya","properties":{"custom":"Tyner (2008)","formattedCitation":"Tyner (2008)","plainCitation":"Tyner (2008)","noteIndex":0},"citationItems":[{"id":598,"uris":["http://zotero.org/users/8949154/items/NQXAUTX2"],"itemData":{"id":598,"type":"article-journal","container-title":"BioScience","issue":"7","note":"publisher: American Institute of Biological Sciences","page":"646–653","source":"Google Scholar","title":"The US ethanol and biofuels boom: its origins, current status, and future prospects","title-short":"The US ethanol and biofuels boom","volume":"58","author":[{"family":"Tyner","given":"Wallace E."}],"issued":{"date-parts":[["2008"]]}}}],"schema":"https://github.com/citation-style-language/schema/raw/master/csl-citation.json"} </w:instrText>
      </w:r>
      <w:r w:rsidRPr="003C6DBD">
        <w:rPr>
          <w:color w:val="0D0D0D" w:themeColor="text1" w:themeTint="F2"/>
        </w:rPr>
        <w:fldChar w:fldCharType="separate"/>
      </w:r>
      <w:r w:rsidRPr="003C6DBD">
        <w:rPr>
          <w:color w:val="0D0D0D" w:themeColor="text1" w:themeTint="F2"/>
        </w:rPr>
        <w:t>Tyner (2008)</w:t>
      </w:r>
      <w:r w:rsidRPr="003C6DBD">
        <w:rPr>
          <w:color w:val="0D0D0D" w:themeColor="text1" w:themeTint="F2"/>
        </w:rPr>
        <w:fldChar w:fldCharType="end"/>
      </w:r>
      <w:r w:rsidRPr="003C6DBD">
        <w:rPr>
          <w:color w:val="0D0D0D" w:themeColor="text1" w:themeTint="F2"/>
        </w:rPr>
        <w:t xml:space="preserve"> argued that the ethanol boom during that period was a consequence of fixed ethanol subsidies and the prospects relied upon the price of crude oil, the price of corn and distillers’ grains, ethanol pricing, plant capital and operating costs, and biofuels mandates and policies. The ethanol market </w:t>
      </w:r>
      <w:r w:rsidR="00E44F49" w:rsidRPr="003C6DBD">
        <w:rPr>
          <w:color w:val="0D0D0D" w:themeColor="text1" w:themeTint="F2"/>
        </w:rPr>
        <w:t>was</w:t>
      </w:r>
      <w:r w:rsidRPr="003C6DBD">
        <w:rPr>
          <w:color w:val="0D0D0D" w:themeColor="text1" w:themeTint="F2"/>
        </w:rPr>
        <w:t xml:space="preserve"> already saturated by 2012 and hit the blend wall (E10) by producing more than 50 billion liters of corn ethanol </w:t>
      </w:r>
      <w:r w:rsidRPr="003C6DBD">
        <w:rPr>
          <w:color w:val="0D0D0D" w:themeColor="text1" w:themeTint="F2"/>
        </w:rPr>
        <w:fldChar w:fldCharType="begin"/>
      </w:r>
      <w:r w:rsidRPr="003C6DBD">
        <w:rPr>
          <w:color w:val="0D0D0D" w:themeColor="text1" w:themeTint="F2"/>
        </w:rPr>
        <w:instrText xml:space="preserve"> ADDIN ZOTERO_ITEM CSL_CITATION {"citationID":"auEIiapy","properties":{"formattedCitation":"(Peplow, 2014)","plainCitation":"(Peplow, 2014)","noteIndex":0},"citationItems":[{"id":601,"uris":["http://zotero.org/users/8949154/items/8M35RQGI"],"itemData":{"id":601,"type":"article-journal","container-title":"Nature","issue":"7491","note":"publisher: Nature Publishing Group","page":"152","source":"Google Scholar","title":"Cellulosic ethanol fights for life","volume":"507","author":[{"family":"Peplow","given":"Mark"}],"issued":{"date-parts":[["2014"]]}}}],"schema":"https://github.com/citation-style-language/schema/raw/master/csl-citation.json"} </w:instrText>
      </w:r>
      <w:r w:rsidRPr="003C6DBD">
        <w:rPr>
          <w:color w:val="0D0D0D" w:themeColor="text1" w:themeTint="F2"/>
        </w:rPr>
        <w:fldChar w:fldCharType="separate"/>
      </w:r>
      <w:r w:rsidRPr="003C6DBD">
        <w:rPr>
          <w:color w:val="0D0D0D" w:themeColor="text1" w:themeTint="F2"/>
        </w:rPr>
        <w:t>(Peplow, 2014)</w:t>
      </w:r>
      <w:r w:rsidRPr="003C6DBD">
        <w:rPr>
          <w:color w:val="0D0D0D" w:themeColor="text1" w:themeTint="F2"/>
        </w:rPr>
        <w:fldChar w:fldCharType="end"/>
      </w:r>
      <w:r w:rsidRPr="003C6DBD">
        <w:rPr>
          <w:color w:val="0D0D0D" w:themeColor="text1" w:themeTint="F2"/>
        </w:rPr>
        <w:t xml:space="preserve">. The blend wall (E10) is the upper limit of the ethanol that can be consumed by the US fuel market. According to the E10, 10% of the ethanol can be mixed with regular gasoline and used to operate any vehicle without any modifications to the vehicle. This progress of the biofuel industry was considered an achievement until debates about food vs fuel surfaced. This debate along with less GHGs emissions by second-generation biofuel encouraged the shift of attention from first-generation ethanol to second-generation or advanced biofuels </w:t>
      </w:r>
      <w:r w:rsidR="00DA26FF" w:rsidRPr="003C6DBD">
        <w:rPr>
          <w:color w:val="0D0D0D" w:themeColor="text1" w:themeTint="F2"/>
        </w:rPr>
        <w:t xml:space="preserve">that are </w:t>
      </w:r>
      <w:r w:rsidRPr="003C6DBD">
        <w:rPr>
          <w:color w:val="0D0D0D" w:themeColor="text1" w:themeTint="F2"/>
        </w:rPr>
        <w:t xml:space="preserve">produced from non-food crops. </w:t>
      </w:r>
    </w:p>
    <w:bookmarkEnd w:id="14"/>
    <w:p w14:paraId="69AB08CE" w14:textId="0DCF3A0A" w:rsidR="00D0484F" w:rsidRPr="003C6DBD" w:rsidRDefault="00327532" w:rsidP="002A7494">
      <w:pPr>
        <w:pStyle w:val="BodyTextIndent"/>
        <w:ind w:firstLine="720"/>
        <w:rPr>
          <w:color w:val="0D0D0D" w:themeColor="text1" w:themeTint="F2"/>
        </w:rPr>
      </w:pPr>
      <w:r w:rsidRPr="003C6DBD">
        <w:rPr>
          <w:color w:val="0D0D0D" w:themeColor="text1" w:themeTint="F2"/>
        </w:rPr>
        <w:t xml:space="preserve">Extensive research based on </w:t>
      </w:r>
      <w:r w:rsidR="00D0484F" w:rsidRPr="003C6DBD">
        <w:rPr>
          <w:color w:val="0D0D0D" w:themeColor="text1" w:themeTint="F2"/>
        </w:rPr>
        <w:t xml:space="preserve">techno-economic studies have been conducted to assess the feasibility of various conversion techniques and feedstocks for advanced biofuel production. A </w:t>
      </w:r>
      <w:r w:rsidR="00D0484F" w:rsidRPr="003C6DBD">
        <w:rPr>
          <w:color w:val="0D0D0D" w:themeColor="text1" w:themeTint="F2"/>
        </w:rPr>
        <w:lastRenderedPageBreak/>
        <w:t xml:space="preserve">study using three feedstock alternatives, brown grease, yellow grease, and </w:t>
      </w:r>
      <w:proofErr w:type="spellStart"/>
      <w:r w:rsidR="00D0484F" w:rsidRPr="003C6DBD">
        <w:rPr>
          <w:color w:val="0D0D0D" w:themeColor="text1" w:themeTint="F2"/>
        </w:rPr>
        <w:t>carinata</w:t>
      </w:r>
      <w:proofErr w:type="spellEnd"/>
      <w:r w:rsidR="00D0484F" w:rsidRPr="003C6DBD">
        <w:rPr>
          <w:color w:val="0D0D0D" w:themeColor="text1" w:themeTint="F2"/>
        </w:rPr>
        <w:t xml:space="preserve"> oil, analyzed the feasibility of catalytic </w:t>
      </w:r>
      <w:proofErr w:type="spellStart"/>
      <w:r w:rsidR="00D0484F" w:rsidRPr="003C6DBD">
        <w:rPr>
          <w:color w:val="0D0D0D" w:themeColor="text1" w:themeTint="F2"/>
        </w:rPr>
        <w:t>hydrothermolysis</w:t>
      </w:r>
      <w:proofErr w:type="spellEnd"/>
      <w:r w:rsidR="00D0484F" w:rsidRPr="003C6DBD">
        <w:rPr>
          <w:color w:val="0D0D0D" w:themeColor="text1" w:themeTint="F2"/>
        </w:rPr>
        <w:t xml:space="preserve"> (CH) aviation biofuel technology </w:t>
      </w:r>
      <w:r w:rsidR="00D0484F" w:rsidRPr="003C6DBD">
        <w:rPr>
          <w:color w:val="0D0D0D" w:themeColor="text1" w:themeTint="F2"/>
        </w:rPr>
        <w:fldChar w:fldCharType="begin"/>
      </w:r>
      <w:r w:rsidR="00D0484F" w:rsidRPr="003C6DBD">
        <w:rPr>
          <w:color w:val="0D0D0D" w:themeColor="text1" w:themeTint="F2"/>
        </w:rPr>
        <w:instrText xml:space="preserve"> ADDIN ZOTERO_ITEM CSL_CITATION {"citationID":"axdaKKXW","properties":{"formattedCitation":"(McGarvey &amp; Tyner, 2018)","plainCitation":"(McGarvey &amp; Tyner, 2018)","noteIndex":0},"citationItems":[{"id":495,"uris":["http://zotero.org/users/8949154/items/CHA2B3U6"],"itemData":{"id":495,"type":"article-journal","container-title":"Biofuels, Bioproducts and Biorefining","issue":"3","note":"publisher: Wiley Online Library","page":"474–484","source":"Google Scholar","title":"A stochastic techno-economic analysis of the catalytic hydrothermolysis aviation biofuel technology","volume":"12","author":[{"family":"McGarvey","given":"Elspeth"},{"family":"Tyner","given":"Wallace E."}],"issued":{"date-parts":[["2018"]]}}}],"schema":"https://github.com/citation-style-language/schema/raw/master/csl-citation.json"} </w:instrText>
      </w:r>
      <w:r w:rsidR="00D0484F" w:rsidRPr="003C6DBD">
        <w:rPr>
          <w:color w:val="0D0D0D" w:themeColor="text1" w:themeTint="F2"/>
        </w:rPr>
        <w:fldChar w:fldCharType="separate"/>
      </w:r>
      <w:r w:rsidR="00D0484F" w:rsidRPr="003C6DBD">
        <w:rPr>
          <w:color w:val="0D0D0D" w:themeColor="text1" w:themeTint="F2"/>
        </w:rPr>
        <w:t>(McGarvey &amp; Tyner, 2018)</w:t>
      </w:r>
      <w:r w:rsidR="00D0484F" w:rsidRPr="003C6DBD">
        <w:rPr>
          <w:color w:val="0D0D0D" w:themeColor="text1" w:themeTint="F2"/>
        </w:rPr>
        <w:fldChar w:fldCharType="end"/>
      </w:r>
      <w:r w:rsidR="00D0484F" w:rsidRPr="003C6DBD">
        <w:rPr>
          <w:color w:val="0D0D0D" w:themeColor="text1" w:themeTint="F2"/>
        </w:rPr>
        <w:t xml:space="preserve">. The results revealed that the venture was not financially viable without Renewable Identification Number (RINs) and Low Carbon Fuel Standard (LCFS) credits. </w:t>
      </w:r>
      <w:r w:rsidR="00554239" w:rsidRPr="003C6DBD">
        <w:rPr>
          <w:color w:val="0D0D0D" w:themeColor="text1" w:themeTint="F2"/>
        </w:rPr>
        <w:t xml:space="preserve">Similarly, </w:t>
      </w:r>
      <w:r w:rsidR="00554239" w:rsidRPr="003C6DBD">
        <w:rPr>
          <w:color w:val="0D0D0D" w:themeColor="text1" w:themeTint="F2"/>
        </w:rPr>
        <w:fldChar w:fldCharType="begin"/>
      </w:r>
      <w:r w:rsidR="00554239" w:rsidRPr="003C6DBD">
        <w:rPr>
          <w:color w:val="0D0D0D" w:themeColor="text1" w:themeTint="F2"/>
        </w:rPr>
        <w:instrText xml:space="preserve"> ADDIN ZOTERO_ITEM CSL_CITATION {"citationID":"6BdoqOoX","properties":{"custom":"Mungodla et al. (2019)","formattedCitation":"Mungodla et al. (2019)","plainCitation":"Mungodla et al. (2019)","noteIndex":0},"citationItems":[{"id":701,"uris":["http://zotero.org/users/8949154/items/SYMMVBU9"],"itemData":{"id":701,"type":"article-journal","container-title":"Journal of Engineering, Design and Technology","issue":"4","note":"publisher: Emerald Publishing Limited","page":"670–704","source":"Google Scholar","title":"Economic and technical feasibility studies: technologies for second generation biofuels","title-short":"Economic and technical feasibility studies","volume":"17","author":[{"family":"Mungodla","given":"Sarah Gabashwediwe"},{"family":"Linganiso","given":"Linda Zikhona"},{"family":"Mlambo","given":"Sukoluhle"},{"family":"Motaung","given":"Tshwafo"}],"issued":{"date-parts":[["2019"]]}}}],"schema":"https://github.com/citation-style-language/schema/raw/master/csl-citation.json"} </w:instrText>
      </w:r>
      <w:r w:rsidR="00554239" w:rsidRPr="003C6DBD">
        <w:rPr>
          <w:color w:val="0D0D0D" w:themeColor="text1" w:themeTint="F2"/>
        </w:rPr>
        <w:fldChar w:fldCharType="separate"/>
      </w:r>
      <w:r w:rsidR="00554239" w:rsidRPr="003C6DBD">
        <w:rPr>
          <w:color w:val="0D0D0D" w:themeColor="text1" w:themeTint="F2"/>
        </w:rPr>
        <w:t>Mungodla et al. (2019)</w:t>
      </w:r>
      <w:r w:rsidR="00554239" w:rsidRPr="003C6DBD">
        <w:rPr>
          <w:color w:val="0D0D0D" w:themeColor="text1" w:themeTint="F2"/>
        </w:rPr>
        <w:fldChar w:fldCharType="end"/>
      </w:r>
      <w:r w:rsidR="00554239" w:rsidRPr="003C6DBD">
        <w:rPr>
          <w:color w:val="0D0D0D" w:themeColor="text1" w:themeTint="F2"/>
        </w:rPr>
        <w:t xml:space="preserve"> conducted a techno-economic analysis of second generation biofuels by sorting and analyzing the studies based on technology selection, feedstock availability and suitability, process simulation and economies. The results revealed that there is no generic answer to the feasibility of any technology at </w:t>
      </w:r>
      <w:r w:rsidR="0064397A" w:rsidRPr="003C6DBD">
        <w:rPr>
          <w:color w:val="0D0D0D" w:themeColor="text1" w:themeTint="F2"/>
        </w:rPr>
        <w:t>a commercial</w:t>
      </w:r>
      <w:r w:rsidR="00554239" w:rsidRPr="003C6DBD">
        <w:rPr>
          <w:color w:val="0D0D0D" w:themeColor="text1" w:themeTint="F2"/>
        </w:rPr>
        <w:t xml:space="preserve"> scale. The high initial capital investment in second-generation biofuel was attributed to the plant operations, production technology, and feedstock costs. Similarly, feedstock cost was found to be the most sensitive parameter among all plant parameters. Likewise, studies assessing environmental impact of the technology revealed that anaerobic digester performs superior in terms of environmental effects compared to thermochemical technologies. </w:t>
      </w:r>
      <w:r w:rsidR="00D0484F" w:rsidRPr="003C6DBD">
        <w:rPr>
          <w:color w:val="0D0D0D" w:themeColor="text1" w:themeTint="F2"/>
        </w:rPr>
        <w:fldChar w:fldCharType="begin"/>
      </w:r>
      <w:r w:rsidR="00DD4ECC" w:rsidRPr="003C6DBD">
        <w:rPr>
          <w:color w:val="0D0D0D" w:themeColor="text1" w:themeTint="F2"/>
        </w:rPr>
        <w:instrText xml:space="preserve"> ADDIN ZOTERO_ITEM CSL_CITATION {"citationID":"3ScKmBiX","properties":{"custom":"Aui et al. (2021)","formattedCitation":"Aui et al. (2021)","plainCitation":"Aui et al. (2021)","noteIndex":0},"citationItems":[{"id":558,"uris":["http://zotero.org/users/8949154/items/4K4MBWP6"],"itemData":{"id":558,"type":"article-journal","container-title":"Renewable and Sustainable Energy Reviews","note":"publisher: Elsevier","page":"111098","source":"Google Scholar","title":"Evaluating the economic feasibility of cellulosic ethanol: A meta-analysis of techno-economic analysis studies","title-short":"Evaluating the economic feasibility of cellulosic ethanol","volume":"145","author":[{"family":"Aui","given":"A."},{"family":"Wang","given":"Y."},{"family":"Mba-Wright","given":"M."}],"issued":{"date-parts":[["2021"]]}}}],"schema":"https://github.com/citation-style-language/schema/raw/master/csl-citation.json"} </w:instrText>
      </w:r>
      <w:r w:rsidR="00D0484F" w:rsidRPr="003C6DBD">
        <w:rPr>
          <w:color w:val="0D0D0D" w:themeColor="text1" w:themeTint="F2"/>
        </w:rPr>
        <w:fldChar w:fldCharType="separate"/>
      </w:r>
      <w:r w:rsidR="00DD4ECC" w:rsidRPr="003C6DBD">
        <w:rPr>
          <w:color w:val="0D0D0D" w:themeColor="text1" w:themeTint="F2"/>
        </w:rPr>
        <w:t>Aui et al. (2021)</w:t>
      </w:r>
      <w:r w:rsidR="00D0484F" w:rsidRPr="003C6DBD">
        <w:rPr>
          <w:color w:val="0D0D0D" w:themeColor="text1" w:themeTint="F2"/>
        </w:rPr>
        <w:fldChar w:fldCharType="end"/>
      </w:r>
      <w:r w:rsidR="00D0484F" w:rsidRPr="003C6DBD">
        <w:rPr>
          <w:color w:val="0D0D0D" w:themeColor="text1" w:themeTint="F2"/>
        </w:rPr>
        <w:t xml:space="preserve"> reported similar results from a meta-analysis of </w:t>
      </w:r>
      <w:r w:rsidR="00DA26FF" w:rsidRPr="003C6DBD">
        <w:rPr>
          <w:color w:val="0D0D0D" w:themeColor="text1" w:themeTint="F2"/>
        </w:rPr>
        <w:t xml:space="preserve">several </w:t>
      </w:r>
      <w:r w:rsidR="00D0484F" w:rsidRPr="003C6DBD">
        <w:rPr>
          <w:color w:val="0D0D0D" w:themeColor="text1" w:themeTint="F2"/>
        </w:rPr>
        <w:t xml:space="preserve">techno-economic analyses for cellulosic ethanol production. The authors concluded government policies including financial incentives, biofuel mandates, and assistance programs are essential for the industry to thrive in the </w:t>
      </w:r>
      <w:r w:rsidR="00495AE7" w:rsidRPr="003C6DBD">
        <w:rPr>
          <w:color w:val="0D0D0D" w:themeColor="text1" w:themeTint="F2"/>
        </w:rPr>
        <w:t>long run</w:t>
      </w:r>
      <w:r w:rsidR="00D0484F" w:rsidRPr="003C6DBD">
        <w:rPr>
          <w:color w:val="0D0D0D" w:themeColor="text1" w:themeTint="F2"/>
        </w:rPr>
        <w:t xml:space="preserve">. </w:t>
      </w:r>
    </w:p>
    <w:p w14:paraId="617DAF49" w14:textId="45DE6D20" w:rsidR="00D0484F" w:rsidRPr="003C6DBD" w:rsidRDefault="00D0484F" w:rsidP="002A7494">
      <w:pPr>
        <w:autoSpaceDE w:val="0"/>
        <w:autoSpaceDN w:val="0"/>
        <w:adjustRightInd w:val="0"/>
        <w:spacing w:after="0"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The price of feedstocks constitutes a major cost to biofuel production. The price uncertainties associated with biofuel are closely associated with the price of feedstocks and are a serious concern to the countries like U.S. and Brazil with large shares of biofuel in the energy market.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{"citationID":"T0hFO3O7","properties":{"custom":"Uddin et al. (2021)","formattedCitation":"Uddin et al. (2021)","plainCitation":"Uddin et al. (2021)","noteIndex":0},"citationItems":[{"id":429,"uris":["http://zotero.org/users/8949154/items/NX3JL533"],"itemData":{"id":429,"type":"article-journal","container-title":"Biomass and Bioenergy","note":"publisher: Elsevier","page":"106006","source":"Google Scholar","title":"Do uncertainties affect biofuel prices?","volume":"148","author":[{"family":"Uddin","given":"Gazi Salah"},{"family":"Hernandez","given":"Jose Areola"},{"family":"Wadström","given":"Christoffer"},{"family":"Dutta","given":"Anupam"},{"family":"Ahmed","given":"Ali"}],"issued":{"date-parts":[["2021"]]}}}],"schema":"https://github.com/citation-style-language/schema/raw/master/csl-citation.json"}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Uddin et al. (2021)</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examined the impact of various financial and economic uncertainty factors like economic policy uncertainty, geopolitical risk, financial stress, and market volatility on the prices of ethanol in the US and Brazil suggesting that biofuel markets are sensitive to these uncertainties. However, as the industry matures, logistical and socio-economic challenges </w:t>
      </w:r>
      <w:r w:rsidRPr="003C6DBD">
        <w:rPr>
          <w:rFonts w:ascii="Times New Roman" w:hAnsi="Times New Roman" w:cs="Times New Roman"/>
          <w:color w:val="0D0D0D" w:themeColor="text1" w:themeTint="F2"/>
          <w:sz w:val="24"/>
          <w:szCs w:val="24"/>
        </w:rPr>
        <w:lastRenderedPageBreak/>
        <w:t xml:space="preserve">tend to be important. A study to address the supply chain challenges in the biofuel industry was conducted by exploring the </w:t>
      </w:r>
      <w:r w:rsidR="00DA26FF" w:rsidRPr="003C6DBD">
        <w:rPr>
          <w:rFonts w:ascii="Times New Roman" w:hAnsi="Times New Roman" w:cs="Times New Roman"/>
          <w:color w:val="0D0D0D" w:themeColor="text1" w:themeTint="F2"/>
          <w:sz w:val="24"/>
          <w:szCs w:val="24"/>
        </w:rPr>
        <w:t>idea</w:t>
      </w:r>
      <w:r w:rsidRPr="003C6DBD">
        <w:rPr>
          <w:rFonts w:ascii="Times New Roman" w:hAnsi="Times New Roman" w:cs="Times New Roman"/>
          <w:color w:val="0D0D0D" w:themeColor="text1" w:themeTint="F2"/>
          <w:sz w:val="24"/>
          <w:szCs w:val="24"/>
        </w:rPr>
        <w:t xml:space="preserve"> of Regional Biomass Processing Depots (RBPDs)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{"citationID":"f2zNkRbP","properties":{"formattedCitation":"(Eranki et al., 2011)","plainCitation":"(Eranki et al., 2011)","noteIndex":0},"citationItems":[{"id":478,"uris":["http://zotero.org/users/8949154/items/L8WKMTCT"],"itemData":{"id":478,"type":"article-journal","container-title":"Biofuels, Bioproducts and Biorefining","issue":"6","note":"publisher: Wiley Online Library","page":"621–630","source":"Google Scholar","title":"Advanced regional biomass processing depots: a key to the logistical challenges of the cellulosic biofuel industry","title-short":"Advanced regional biomass processing depots","volume":"5","author":[{"family":"Eranki","given":"Pragnya L."},{"family":"Bals","given":"Bryan D."},{"family":"Dale","given":"Bruce E."}],"issued":{"date-parts":[["2011"]]}}}],"schema":"https://github.com/citation-style-language/schema/raw/master/csl-citation.json"}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(Eranki et al., 2011)</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The authors discussed RBPDs as the instrument that could bridge rural concerns like rural economics, food security, social issues, and environmental issues</w:t>
      </w:r>
      <w:r w:rsidR="0035485F" w:rsidRPr="003C6DBD">
        <w:rPr>
          <w:rFonts w:ascii="Times New Roman" w:hAnsi="Times New Roman" w:cs="Times New Roman"/>
          <w:color w:val="0D0D0D" w:themeColor="text1" w:themeTint="F2"/>
          <w:sz w:val="24"/>
          <w:szCs w:val="24"/>
        </w:rPr>
        <w:t xml:space="preserve">. Also, the concerns pertaining to </w:t>
      </w:r>
      <w:r w:rsidRPr="003C6DBD">
        <w:rPr>
          <w:rFonts w:ascii="Times New Roman" w:hAnsi="Times New Roman" w:cs="Times New Roman"/>
          <w:color w:val="0D0D0D" w:themeColor="text1" w:themeTint="F2"/>
          <w:sz w:val="24"/>
          <w:szCs w:val="24"/>
        </w:rPr>
        <w:t xml:space="preserve">biorefinery supply like homogenous feedstock, stable price of feedstocks, and low </w:t>
      </w:r>
      <w:r w:rsidR="0035485F" w:rsidRPr="003C6DBD">
        <w:rPr>
          <w:rFonts w:ascii="Times New Roman" w:hAnsi="Times New Roman" w:cs="Times New Roman"/>
          <w:color w:val="0D0D0D" w:themeColor="text1" w:themeTint="F2"/>
          <w:sz w:val="24"/>
          <w:szCs w:val="24"/>
        </w:rPr>
        <w:t xml:space="preserve">cost of </w:t>
      </w:r>
      <w:r w:rsidRPr="003C6DBD">
        <w:rPr>
          <w:rFonts w:ascii="Times New Roman" w:hAnsi="Times New Roman" w:cs="Times New Roman"/>
          <w:color w:val="0D0D0D" w:themeColor="text1" w:themeTint="F2"/>
          <w:sz w:val="24"/>
          <w:szCs w:val="24"/>
        </w:rPr>
        <w:t xml:space="preserve">transportation </w:t>
      </w:r>
      <w:r w:rsidR="0035485F" w:rsidRPr="003C6DBD">
        <w:rPr>
          <w:rFonts w:ascii="Times New Roman" w:hAnsi="Times New Roman" w:cs="Times New Roman"/>
          <w:color w:val="0D0D0D" w:themeColor="text1" w:themeTint="F2"/>
          <w:sz w:val="24"/>
          <w:szCs w:val="24"/>
        </w:rPr>
        <w:t>could be addressed</w:t>
      </w:r>
      <w:r w:rsidRPr="003C6DBD">
        <w:rPr>
          <w:rFonts w:ascii="Times New Roman" w:hAnsi="Times New Roman" w:cs="Times New Roman"/>
          <w:color w:val="0D0D0D" w:themeColor="text1" w:themeTint="F2"/>
          <w:sz w:val="24"/>
          <w:szCs w:val="24"/>
        </w:rPr>
        <w:t>. The addition of RBPDs in the industry would spread the capital costs of produc</w:t>
      </w:r>
      <w:r w:rsidR="0035485F" w:rsidRPr="003C6DBD">
        <w:rPr>
          <w:rFonts w:ascii="Times New Roman" w:hAnsi="Times New Roman" w:cs="Times New Roman"/>
          <w:color w:val="0D0D0D" w:themeColor="text1" w:themeTint="F2"/>
          <w:sz w:val="24"/>
          <w:szCs w:val="24"/>
        </w:rPr>
        <w:t>ing biofuels</w:t>
      </w:r>
      <w:r w:rsidRPr="003C6DBD">
        <w:rPr>
          <w:rFonts w:ascii="Times New Roman" w:hAnsi="Times New Roman" w:cs="Times New Roman"/>
          <w:color w:val="0D0D0D" w:themeColor="text1" w:themeTint="F2"/>
          <w:sz w:val="24"/>
          <w:szCs w:val="24"/>
        </w:rPr>
        <w:t xml:space="preserve"> and thus reduce the risk to biorefinery and help achieve greater economic benefits.</w:t>
      </w:r>
    </w:p>
    <w:p w14:paraId="7BA4AFE4" w14:textId="7553BC3B" w:rsidR="00244E6C" w:rsidRPr="003C6DBD" w:rsidRDefault="003F6F35" w:rsidP="002A7494">
      <w:pPr>
        <w:pStyle w:val="Heading4"/>
        <w:rPr>
          <w:color w:val="0D0D0D" w:themeColor="text1" w:themeTint="F2"/>
        </w:rPr>
      </w:pPr>
      <w:r w:rsidRPr="003C6DBD">
        <w:rPr>
          <w:color w:val="0D0D0D" w:themeColor="text1" w:themeTint="F2"/>
        </w:rPr>
        <w:t>2.</w:t>
      </w:r>
      <w:r w:rsidR="00EC5F87" w:rsidRPr="003C6DBD">
        <w:rPr>
          <w:color w:val="0D0D0D" w:themeColor="text1" w:themeTint="F2"/>
        </w:rPr>
        <w:t>1.</w:t>
      </w:r>
      <w:r w:rsidRPr="003C6DBD">
        <w:rPr>
          <w:color w:val="0D0D0D" w:themeColor="text1" w:themeTint="F2"/>
        </w:rPr>
        <w:t xml:space="preserve">4 Environmental and Social </w:t>
      </w:r>
      <w:r w:rsidR="002559EE" w:rsidRPr="003C6DBD">
        <w:rPr>
          <w:color w:val="0D0D0D" w:themeColor="text1" w:themeTint="F2"/>
        </w:rPr>
        <w:t>C</w:t>
      </w:r>
      <w:r w:rsidRPr="003C6DBD">
        <w:rPr>
          <w:color w:val="0D0D0D" w:themeColor="text1" w:themeTint="F2"/>
        </w:rPr>
        <w:t>oncerns</w:t>
      </w:r>
    </w:p>
    <w:p w14:paraId="08248E48" w14:textId="0E7A18E7" w:rsidR="00200089" w:rsidRPr="003C6DBD" w:rsidRDefault="00200089" w:rsidP="002A7494">
      <w:pPr>
        <w:autoSpaceDE w:val="0"/>
        <w:autoSpaceDN w:val="0"/>
        <w:adjustRightInd w:val="0"/>
        <w:spacing w:after="0"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There </w:t>
      </w:r>
      <w:r w:rsidR="00B9544F" w:rsidRPr="003C6DBD">
        <w:rPr>
          <w:rFonts w:ascii="Times New Roman" w:hAnsi="Times New Roman" w:cs="Times New Roman"/>
          <w:color w:val="0D0D0D" w:themeColor="text1" w:themeTint="F2"/>
          <w:sz w:val="24"/>
          <w:szCs w:val="24"/>
        </w:rPr>
        <w:t>has</w:t>
      </w:r>
      <w:r w:rsidRPr="003C6DBD">
        <w:rPr>
          <w:rFonts w:ascii="Times New Roman" w:hAnsi="Times New Roman" w:cs="Times New Roman"/>
          <w:color w:val="0D0D0D" w:themeColor="text1" w:themeTint="F2"/>
          <w:sz w:val="24"/>
          <w:szCs w:val="24"/>
        </w:rPr>
        <w:t xml:space="preserve"> been a growing environmental and social concern resulting from growth of biofuel industry. A study conducted by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{"citationID":"gOHCPAnF","properties":{"custom":"Martinelli &amp; Filoso (2008)","formattedCitation":"Martinelli &amp; Filoso (2008)","plainCitation":"Martinelli &amp; Filoso (2008)","noteIndex":0},"citationItems":[{"id":418,"uris":["http://zotero.org/users/8949154/items/I94CLCMN"],"itemData":{"id":418,"type":"article-journal","container-title":"Ecological applications","issue":"4","note":"publisher: Wiley Online Library","page":"885–898","source":"Google Scholar","title":"Expansion of sugarcane ethanol production in Brazil: environmental and social challenges","title-short":"Expansion of sugarcane ethanol production in Brazil","volume":"18","author":[{"family":"Martinelli","given":"Luiz A."},{"family":"Filoso","given":"Solange"}],"issued":{"date-parts":[["2008"]]}}}],"schema":"https://github.com/citation-style-language/schema/raw/master/csl-citation.json"}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Martinelli &amp; Filoso (2008)</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discussed the environmental and social issues associated with the expansion of sugarcane cultivation in Brazil for biofuel production. The authors</w:t>
      </w:r>
      <w:r w:rsidR="00565327"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t xml:space="preserve">question whether sugarcane ethanol can be considered a clean fuel, given environmental and social concerns. Environmental issues like soil degradation, deterioration of aquatic systems, nitrogen pollution, destruction of the riparian ecosystem, and environmental consequence of sugarcane burning were reported. Similarly, sugarcane burning and respiratory issues, and exploitation of cane cutters were reported as public health and social issues. The results are in line with the results reported by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{"citationID":"6k3KvFP4","properties":{"formattedCitation":"(Mariacaa &amp; Liorb, 2010)","plainCitation":"(Mariacaa &amp; Liorb, 2010)","dontUpdate":true,"noteIndex":0},"citationItems":[{"id":420,"uris":["http://zotero.org/users/8949154/items/YV4BMDB4"],"itemData":{"id":420,"type":"article-journal","container-title":"ECOS","source":"Google Scholar","title":"Risks Associated with Increasing the Harvest Area for the Production of Brazilian Ethanol Fuel","author":[{"family":"Mariacaa","given":"Cristina"},{"family":"Liorb","given":"Noam"}],"issued":{"date-parts":[["2010"]]}}}],"schema":"https://github.com/citation-style-language/schema/raw/master/csl-citation.json"}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Mariacaa &amp; Liorb (2010)</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w:t>
      </w:r>
    </w:p>
    <w:p w14:paraId="37D65646" w14:textId="40ED9D06" w:rsidR="00287A4A" w:rsidRPr="003C6DBD" w:rsidRDefault="00200089" w:rsidP="002A7494">
      <w:pPr>
        <w:autoSpaceDE w:val="0"/>
        <w:autoSpaceDN w:val="0"/>
        <w:adjustRightInd w:val="0"/>
        <w:spacing w:after="0"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Similarly, biofuel production results in the tradeoff between the food and energy market. First-generation biofuel or conventional biofuel uses edible food crops like soybean, corn, rapeseed, etc. as the feedstock of biofuel production which could be used for food products. The data from 2016 reveals the U.S. as a major producer of ethanol contributing 58% of global ethanol and using up nearly 40% of corn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{"citationID":"v3eucQkN","properties":{"formattedCitation":"(Uddin et al., 2021)","plainCitation":"(Uddin et al., 2021)","noteIndex":0},"citationItems":[{"id":429,"uris":["http://zotero.org/users/8949154/items/NX3JL533"],"itemData":{"id":429,"type":"article-journal","container-title":"Biomass and Bioenergy","note":"publisher: Elsevier","page":"106006","source":"Google Scholar","title":"Do uncertainties affect biofuel prices?","volume":"148","author":[{"family":"Uddin","given":"Gazi Salah"},{"family":"Hernandez","given":"Jose Areola"},{"family":"Wadström","given":"Christoffer"},{"family":"Dutta","given":"Anupam"},{"family":"Ahmed","given":"Ali"}],"issued":{"date-parts":[["2021"]]}}}],"schema":"https://github.com/citation-style-language/schema/raw/master/csl-citation.json"}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(Uddin et al., 2021)</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Consumption of a very large </w:t>
      </w:r>
      <w:r w:rsidRPr="003C6DBD">
        <w:rPr>
          <w:rFonts w:ascii="Times New Roman" w:hAnsi="Times New Roman" w:cs="Times New Roman"/>
          <w:color w:val="0D0D0D" w:themeColor="text1" w:themeTint="F2"/>
          <w:sz w:val="24"/>
          <w:szCs w:val="24"/>
        </w:rPr>
        <w:lastRenderedPageBreak/>
        <w:t xml:space="preserve">amount of food crops by the biofuel industry has the potential to drive the prices of food crops high. Thus, efforts have been made to encourage the production of advanced biofuel and gradually replace biofuel produced from food-based crops. In 2015, the European Union decided to put a cap on conventional biofuels at 7% </w:t>
      </w:r>
      <w:r w:rsidR="00124645" w:rsidRPr="003C6DBD">
        <w:rPr>
          <w:rFonts w:ascii="Times New Roman" w:hAnsi="Times New Roman" w:cs="Times New Roman"/>
          <w:color w:val="0D0D0D" w:themeColor="text1" w:themeTint="F2"/>
          <w:sz w:val="24"/>
          <w:szCs w:val="24"/>
        </w:rPr>
        <w:t xml:space="preserve">of total biofuel production </w:t>
      </w:r>
      <w:r w:rsidRPr="003C6DBD">
        <w:rPr>
          <w:rFonts w:ascii="Times New Roman" w:hAnsi="Times New Roman" w:cs="Times New Roman"/>
          <w:color w:val="0D0D0D" w:themeColor="text1" w:themeTint="F2"/>
          <w:sz w:val="24"/>
          <w:szCs w:val="24"/>
        </w:rPr>
        <w:t xml:space="preserve">to minimize the number of food resources directed towards energy conversion. These decisions could be attributed somewhat to a negative perception of the public as biofuel production competes with the food industry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{"citationID":"1oFXKinG","properties":{"formattedCitation":"(Stattman et al., 2018)","plainCitation":"(Stattman et al., 2018)","noteIndex":0},"citationItems":[{"id":426,"uris":["http://zotero.org/users/8949154/items/CL58F62S"],"itemData":{"id":426,"type":"article-journal","container-title":"Sustainability","issue":"11","note":"publisher: Multidisciplinary Digital Publishing Institute","page":"4111","source":"Google Scholar","title":"Toward sustainable biofuels in the European Union? Lessons from a decade of hybrid biofuel governance","title-short":"Toward sustainable biofuels in the European Union?","volume":"10","author":[{"family":"Stattman","given":"Sarah L."},{"family":"Gupta","given":"Aarti"},{"family":"Partzsch","given":"Lena"},{"family":"Oosterveer","given":"Peter"}],"issued":{"date-parts":[["2018"]]}}}],"schema":"https://github.com/citation-style-language/schema/raw/master/csl-citation.json"}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(Stattman et al., 2018)</w:t>
      </w:r>
      <w:r w:rsidRPr="003C6DBD">
        <w:rPr>
          <w:rFonts w:ascii="Times New Roman" w:hAnsi="Times New Roman" w:cs="Times New Roman"/>
          <w:color w:val="0D0D0D" w:themeColor="text1" w:themeTint="F2"/>
          <w:sz w:val="24"/>
          <w:szCs w:val="24"/>
        </w:rPr>
        <w:fldChar w:fldCharType="end"/>
      </w:r>
      <w:r w:rsidR="003F6F35" w:rsidRPr="003C6DBD">
        <w:rPr>
          <w:rFonts w:ascii="Times New Roman" w:hAnsi="Times New Roman" w:cs="Times New Roman"/>
          <w:color w:val="0D0D0D" w:themeColor="text1" w:themeTint="F2"/>
          <w:sz w:val="24"/>
          <w:szCs w:val="24"/>
        </w:rPr>
        <w:t xml:space="preserve">. </w:t>
      </w:r>
    </w:p>
    <w:p w14:paraId="34B89A11" w14:textId="04BAB8F4" w:rsidR="00244E6C" w:rsidRPr="003C6DBD" w:rsidRDefault="003F6F35" w:rsidP="002A7494">
      <w:pPr>
        <w:pStyle w:val="Heading4"/>
        <w:rPr>
          <w:color w:val="0D0D0D" w:themeColor="text1" w:themeTint="F2"/>
        </w:rPr>
      </w:pPr>
      <w:r w:rsidRPr="003C6DBD">
        <w:rPr>
          <w:color w:val="0D0D0D" w:themeColor="text1" w:themeTint="F2"/>
        </w:rPr>
        <w:t>2.</w:t>
      </w:r>
      <w:r w:rsidR="00EC5F87" w:rsidRPr="003C6DBD">
        <w:rPr>
          <w:color w:val="0D0D0D" w:themeColor="text1" w:themeTint="F2"/>
        </w:rPr>
        <w:t>1.</w:t>
      </w:r>
      <w:r w:rsidRPr="003C6DBD">
        <w:rPr>
          <w:color w:val="0D0D0D" w:themeColor="text1" w:themeTint="F2"/>
        </w:rPr>
        <w:t>5 Biofuels Investment</w:t>
      </w:r>
    </w:p>
    <w:p w14:paraId="75F5C3A0" w14:textId="5D76DFDB" w:rsidR="003F06EA" w:rsidRPr="003C6DBD" w:rsidRDefault="003F06EA" w:rsidP="002A7494">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The transition of biofuel firms from research and development to commercial production is highly contingent upon their ability to attract investors for the necessary financing to grow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{"citationID":"JIT41Hna","properties":{"formattedCitation":"(Miller et al., 2013)","plainCitation":"(Miller et al., 2013)","noteIndex":0},"citationItems":[{"id":7,"uris":["http://zotero.org/users/8949154/items/VHMNS63T"],"itemData":{"id":7,"type":"article-journal","container-title":"The International Council on Clean Transportation: Washington, DC","source":"Google Scholar","title":"Measuring and addressing investment risk in the second-generation biofuels industry","author":[{"family":"Miller","given":"Nathan"},{"family":"Christensen","given":"Adam"},{"family":"Park","given":"Ji Eun"},{"family":"Baral","given":"A."},{"family":"Malins","given":"C."},{"family":"Searle","given":"S."}],"issued":{"date-parts":[["2013"]]}}}],"schema":"https://github.com/citation-style-language/schema/raw/master/csl-citation.json"}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(Miller et al., 2013)</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w:t>
      </w:r>
      <w:r w:rsidR="00001094" w:rsidRPr="003C6DBD">
        <w:rPr>
          <w:rFonts w:ascii="Times New Roman" w:hAnsi="Times New Roman" w:cs="Times New Roman"/>
          <w:color w:val="0D0D0D" w:themeColor="text1" w:themeTint="F2"/>
          <w:sz w:val="24"/>
          <w:szCs w:val="24"/>
        </w:rPr>
        <w:t>First-generation biofuels on the other hand are found to be economically viable for very long time</w:t>
      </w:r>
      <w:r w:rsidR="00053D5C" w:rsidRPr="003C6DBD">
        <w:rPr>
          <w:rFonts w:ascii="Times New Roman" w:hAnsi="Times New Roman" w:cs="Times New Roman"/>
          <w:color w:val="0D0D0D" w:themeColor="text1" w:themeTint="F2"/>
          <w:sz w:val="24"/>
          <w:szCs w:val="24"/>
        </w:rPr>
        <w:t xml:space="preserve"> because of the support from the government in US</w:t>
      </w:r>
      <w:r w:rsidR="00001094" w:rsidRPr="003C6DBD">
        <w:rPr>
          <w:rFonts w:ascii="Times New Roman" w:hAnsi="Times New Roman" w:cs="Times New Roman"/>
          <w:color w:val="0D0D0D" w:themeColor="text1" w:themeTint="F2"/>
          <w:sz w:val="24"/>
          <w:szCs w:val="24"/>
        </w:rPr>
        <w:t xml:space="preserve">. However, efforts have been made towards promotion of second-generation and third-generation biofuels to avoid the “food vs. fuel” debate in the global community. </w:t>
      </w:r>
      <w:r w:rsidRPr="003C6DBD">
        <w:rPr>
          <w:rFonts w:ascii="Times New Roman" w:hAnsi="Times New Roman" w:cs="Times New Roman"/>
          <w:color w:val="0D0D0D" w:themeColor="text1" w:themeTint="F2"/>
          <w:sz w:val="24"/>
          <w:szCs w:val="24"/>
        </w:rPr>
        <w:t xml:space="preserve">Investing in a biofuel firm poses a high risk from the investor’s point of view because of several factors like high initial capital investment, continuous development of new technology, price uncertainty, and feedstock composition and availability. Although there are some policies to </w:t>
      </w:r>
      <w:r w:rsidR="003939FE" w:rsidRPr="003C6DBD">
        <w:rPr>
          <w:rFonts w:ascii="Times New Roman" w:hAnsi="Times New Roman" w:cs="Times New Roman"/>
          <w:color w:val="0D0D0D" w:themeColor="text1" w:themeTint="F2"/>
          <w:sz w:val="24"/>
          <w:szCs w:val="24"/>
        </w:rPr>
        <w:t>incentivize investment</w:t>
      </w:r>
      <w:r w:rsidRPr="003C6DBD">
        <w:rPr>
          <w:rFonts w:ascii="Times New Roman" w:hAnsi="Times New Roman" w:cs="Times New Roman"/>
          <w:color w:val="0D0D0D" w:themeColor="text1" w:themeTint="F2"/>
          <w:sz w:val="24"/>
          <w:szCs w:val="24"/>
        </w:rPr>
        <w:t xml:space="preserve">, the risk associated with starting a </w:t>
      </w:r>
      <w:r w:rsidR="00F25052" w:rsidRPr="003C6DBD">
        <w:rPr>
          <w:rFonts w:ascii="Times New Roman" w:hAnsi="Times New Roman" w:cs="Times New Roman"/>
          <w:color w:val="0D0D0D" w:themeColor="text1" w:themeTint="F2"/>
          <w:sz w:val="24"/>
          <w:szCs w:val="24"/>
        </w:rPr>
        <w:t xml:space="preserve">second-generation </w:t>
      </w:r>
      <w:r w:rsidRPr="003C6DBD">
        <w:rPr>
          <w:rFonts w:ascii="Times New Roman" w:hAnsi="Times New Roman" w:cs="Times New Roman"/>
          <w:color w:val="0D0D0D" w:themeColor="text1" w:themeTint="F2"/>
          <w:sz w:val="24"/>
          <w:szCs w:val="24"/>
        </w:rPr>
        <w:t xml:space="preserve">biofuel production plant is relatively high. Some existing regulatory and tax incentives for biofuel firms are Renewable Identification Number (RIN) pricing, cellulosic waiver credits, state and local level regulatory incentives (example: California’s low carbon fuel standard enacted in 2007), and producer tax credit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{"citationID":"sY35ztm7","properties":{"formattedCitation":"(Miller et al., 2013)","plainCitation":"(Miller et al., 2013)","noteIndex":0},"citationItems":[{"id":7,"uris":["http://zotero.org/users/8949154/items/VHMNS63T"],"itemData":{"id":7,"type":"article-journal","container-title":"The International Council on Clean Transportation: Washington, DC","source":"Google Scholar","title":"Measuring and addressing investment risk in the second-generation biofuels industry","author":[{"family":"Miller","given":"Nathan"},{"family":"Christensen","given":"Adam"},{"family":"Park","given":"Ji Eun"},{"family":"Baral","given":"A."},{"family":"Malins","given":"C."},{"family":"Searle","given":"S."}],"issued":{"date-parts":[["2013"]]}}}],"schema":"https://github.com/citation-style-language/schema/raw/master/csl-citation.json"}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(Miller et al., 2013)</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w:t>
      </w:r>
    </w:p>
    <w:p w14:paraId="705EC809" w14:textId="06A26B5A" w:rsidR="003F06EA" w:rsidRPr="003C6DBD" w:rsidRDefault="003F06EA" w:rsidP="002A7494">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{"citationID":"T22TKdvm","properties":{"custom":"McCarty &amp; Sesmero (2015)","formattedCitation":"McCarty &amp; Sesmero (2015)","plainCitation":"McCarty &amp; Sesmero (2015)","noteIndex":0},"citationItems":[{"id":469,"uris":["http://zotero.org/users/8949154/items/TVKPKZHP"],"itemData":{"id":469,"type":"article-journal","container-title":"BioEnergy Research","issue":"2","note":"publisher: Springer","page":"675–687","source":"Google Scholar","title":"Uncertainty, irreversibility, and investment in second-generation biofuels","volume":"8","author":[{"family":"McCarty","given":"Tanner"},{"family":"Sesmero","given":"Juan"}],"issued":{"date-parts":[["2015"]]}}}],"schema":"https://github.com/citation-style-language/schema/raw/master/csl-citation.json"}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McCarty &amp; Sesmero (2015)</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examine</w:t>
      </w:r>
      <w:r w:rsidR="00C9592E" w:rsidRPr="003C6DBD">
        <w:rPr>
          <w:rFonts w:ascii="Times New Roman" w:hAnsi="Times New Roman" w:cs="Times New Roman"/>
          <w:color w:val="0D0D0D" w:themeColor="text1" w:themeTint="F2"/>
          <w:sz w:val="24"/>
          <w:szCs w:val="24"/>
        </w:rPr>
        <w:t>d</w:t>
      </w:r>
      <w:r w:rsidRPr="003C6DBD">
        <w:rPr>
          <w:rFonts w:ascii="Times New Roman" w:hAnsi="Times New Roman" w:cs="Times New Roman"/>
          <w:color w:val="0D0D0D" w:themeColor="text1" w:themeTint="F2"/>
          <w:sz w:val="24"/>
          <w:szCs w:val="24"/>
        </w:rPr>
        <w:t xml:space="preserve"> the importance of price risk and the irreversible nature of investment in a cellulosic biofuel plant. The analysis revealed uncertainty as a </w:t>
      </w:r>
      <w:r w:rsidR="008E6B39" w:rsidRPr="003C6DBD">
        <w:rPr>
          <w:rFonts w:ascii="Times New Roman" w:hAnsi="Times New Roman" w:cs="Times New Roman"/>
          <w:color w:val="0D0D0D" w:themeColor="text1" w:themeTint="F2"/>
          <w:sz w:val="24"/>
          <w:szCs w:val="24"/>
        </w:rPr>
        <w:t>major</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lastRenderedPageBreak/>
        <w:t xml:space="preserve">barrier to the entry of </w:t>
      </w:r>
      <w:r w:rsidR="008E6B39" w:rsidRPr="003C6DBD">
        <w:rPr>
          <w:rFonts w:ascii="Times New Roman" w:hAnsi="Times New Roman" w:cs="Times New Roman"/>
          <w:color w:val="0D0D0D" w:themeColor="text1" w:themeTint="F2"/>
          <w:sz w:val="24"/>
          <w:szCs w:val="24"/>
        </w:rPr>
        <w:t>investors</w:t>
      </w:r>
      <w:r w:rsidRPr="003C6DBD">
        <w:rPr>
          <w:rFonts w:ascii="Times New Roman" w:hAnsi="Times New Roman" w:cs="Times New Roman"/>
          <w:color w:val="0D0D0D" w:themeColor="text1" w:themeTint="F2"/>
          <w:sz w:val="24"/>
          <w:szCs w:val="24"/>
        </w:rPr>
        <w:t xml:space="preserve"> in the cellulosic biofuel industry.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{"citationID":"hF2bsURa","properties":{"custom":"Petter &amp; Tyner (2014)","formattedCitation":"Petter &amp; Tyner (2014)","plainCitation":"Petter &amp; Tyner (2014)","noteIndex":0},"citationItems":[{"id":16,"uris":["http://zotero.org/users/8949154/items/RE2CLJSD"],"itemData":{"id":16,"type":"article-journal","container-title":"International Scholarly Research Notices","note":"publisher: Hindawi","source":"Google Scholar","title":"Technoeconomic and policy analysis for corn stover biofuels","volume":"2014","author":[{"family":"Petter","given":"Ryan"},{"family":"Tyner","given":"Wallace E."}],"issued":{"date-parts":[["2014"]]}}}],"schema":"https://github.com/citation-style-language/schema/raw/master/csl-citation.json"}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Petter &amp; Tyner (2014)</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examined the impact of biofuel selling price and technical uncertainty on investment risk in a catalytic fast pyrolysis-derived biofuel production facility. The authors analyzed the effect of uncertainty associated with capital cost, hydrogen price, biofuel yield, feedstock cost, and biofuel selling price on the appeal of project investment to a private investor. Similarly,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{"citationID":"c9llopjy","properties":{"custom":"Miller et al. (2013)","formattedCitation":"Miller et al. (2013)","plainCitation":"Miller et al. (2013)","noteIndex":0},"citationItems":[{"id":7,"uris":["http://zotero.org/users/8949154/items/VHMNS63T"],"itemData":{"id":7,"type":"article-journal","container-title":"The International Council on Clean Transportation: Washington, DC","source":"Google Scholar","title":"Measuring and addressing investment risk in the second-generation biofuels industry","author":[{"family":"Miller","given":"Nathan"},{"family":"Christensen","given":"Adam"},{"family":"Park","given":"Ji Eun"},{"family":"Baral","given":"A."},{"family":"Malins","given":"C."},{"family":"Searle","given":"S."}],"issued":{"date-parts":[["2013"]]}}}],"schema":"https://github.com/citation-style-language/schema/raw/master/csl-citation.json"}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Miller et al. (2013)</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studied the investment risk in the second-generation biofuels industry. The research identified economic, rather than technical, barriers as the significant challenge for the commercial development of cellulosic biofuels. The authors concluded that the contemporary policy and market conditions are not promising enough to generate attractive returns, discouraging private investors to invest in the biofuel industry. The research suggested policy as an important </w:t>
      </w:r>
      <w:r w:rsidR="00096CFD" w:rsidRPr="003C6DBD">
        <w:rPr>
          <w:rFonts w:ascii="Times New Roman" w:hAnsi="Times New Roman" w:cs="Times New Roman"/>
          <w:color w:val="0D0D0D" w:themeColor="text1" w:themeTint="F2"/>
          <w:sz w:val="24"/>
          <w:szCs w:val="24"/>
        </w:rPr>
        <w:t xml:space="preserve">element </w:t>
      </w:r>
      <w:r w:rsidRPr="003C6DBD">
        <w:rPr>
          <w:rFonts w:ascii="Times New Roman" w:hAnsi="Times New Roman" w:cs="Times New Roman"/>
          <w:color w:val="0D0D0D" w:themeColor="text1" w:themeTint="F2"/>
          <w:sz w:val="24"/>
          <w:szCs w:val="24"/>
        </w:rPr>
        <w:t xml:space="preserve">that could potentially reduce the risk of the second-generation biofuel industry. Revising the existing incentives to reduce risks for private investors could encourage private investment and speed up investment decisions. </w:t>
      </w:r>
    </w:p>
    <w:p w14:paraId="1FFD1697" w14:textId="53302A0A" w:rsidR="00FD5DB1" w:rsidRPr="003C6DBD" w:rsidRDefault="00FD5DB1" w:rsidP="00FD5DB1">
      <w:pPr>
        <w:pStyle w:val="Heading4"/>
        <w:rPr>
          <w:color w:val="0D0D0D" w:themeColor="text1" w:themeTint="F2"/>
        </w:rPr>
      </w:pPr>
      <w:r w:rsidRPr="003C6DBD">
        <w:rPr>
          <w:color w:val="0D0D0D" w:themeColor="text1" w:themeTint="F2"/>
        </w:rPr>
        <w:t>2.1.6 P</w:t>
      </w:r>
      <w:r w:rsidR="009D43C1" w:rsidRPr="003C6DBD">
        <w:rPr>
          <w:color w:val="0D0D0D" w:themeColor="text1" w:themeTint="F2"/>
        </w:rPr>
        <w:t>EST</w:t>
      </w:r>
      <w:r w:rsidRPr="003C6DBD">
        <w:rPr>
          <w:color w:val="0D0D0D" w:themeColor="text1" w:themeTint="F2"/>
        </w:rPr>
        <w:t xml:space="preserve"> Analysis</w:t>
      </w:r>
    </w:p>
    <w:p w14:paraId="09A924B3" w14:textId="63254C25" w:rsidR="00FD5DB1" w:rsidRPr="003C6DBD" w:rsidRDefault="009D43C1" w:rsidP="00E531FE">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Several studies in the past have employed </w:t>
      </w:r>
      <w:r w:rsidR="00053D5C" w:rsidRPr="003C6DBD">
        <w:rPr>
          <w:rFonts w:ascii="Times New Roman" w:hAnsi="Times New Roman" w:cs="Times New Roman"/>
          <w:color w:val="0D0D0D" w:themeColor="text1" w:themeTint="F2"/>
          <w:sz w:val="24"/>
          <w:szCs w:val="24"/>
        </w:rPr>
        <w:t>Political, Economic, Social, and Technological (</w:t>
      </w:r>
      <w:r w:rsidRPr="003C6DBD">
        <w:rPr>
          <w:rFonts w:ascii="Times New Roman" w:hAnsi="Times New Roman" w:cs="Times New Roman"/>
          <w:color w:val="0D0D0D" w:themeColor="text1" w:themeTint="F2"/>
          <w:sz w:val="24"/>
          <w:szCs w:val="24"/>
        </w:rPr>
        <w:t>PEST</w:t>
      </w:r>
      <w:r w:rsidR="00053D5C" w:rsidRPr="003C6DBD">
        <w:rPr>
          <w:rFonts w:ascii="Times New Roman" w:hAnsi="Times New Roman" w:cs="Times New Roman"/>
          <w:color w:val="0D0D0D" w:themeColor="text1" w:themeTint="F2"/>
          <w:sz w:val="24"/>
          <w:szCs w:val="24"/>
        </w:rPr>
        <w:t>)</w:t>
      </w:r>
      <w:r w:rsidRPr="003C6DBD">
        <w:rPr>
          <w:rFonts w:ascii="Times New Roman" w:hAnsi="Times New Roman" w:cs="Times New Roman"/>
          <w:color w:val="0D0D0D" w:themeColor="text1" w:themeTint="F2"/>
          <w:sz w:val="24"/>
          <w:szCs w:val="24"/>
        </w:rPr>
        <w:t xml:space="preserve"> framework to assess the risks in </w:t>
      </w:r>
      <w:r w:rsidR="00825225" w:rsidRPr="003C6DBD">
        <w:rPr>
          <w:rFonts w:ascii="Times New Roman" w:hAnsi="Times New Roman" w:cs="Times New Roman"/>
          <w:color w:val="0D0D0D" w:themeColor="text1" w:themeTint="F2"/>
          <w:sz w:val="24"/>
          <w:szCs w:val="24"/>
        </w:rPr>
        <w:t>several</w:t>
      </w:r>
      <w:r w:rsidRPr="003C6DBD">
        <w:rPr>
          <w:rFonts w:ascii="Times New Roman" w:hAnsi="Times New Roman" w:cs="Times New Roman"/>
          <w:color w:val="0D0D0D" w:themeColor="text1" w:themeTint="F2"/>
          <w:sz w:val="24"/>
          <w:szCs w:val="24"/>
        </w:rPr>
        <w:t xml:space="preserve"> industr</w:t>
      </w:r>
      <w:r w:rsidR="00825225" w:rsidRPr="003C6DBD">
        <w:rPr>
          <w:rFonts w:ascii="Times New Roman" w:hAnsi="Times New Roman" w:cs="Times New Roman"/>
          <w:color w:val="0D0D0D" w:themeColor="text1" w:themeTint="F2"/>
          <w:sz w:val="24"/>
          <w:szCs w:val="24"/>
        </w:rPr>
        <w:t>ies</w:t>
      </w:r>
      <w:r w:rsidRPr="003C6DBD">
        <w:rPr>
          <w:rFonts w:ascii="Times New Roman" w:hAnsi="Times New Roman" w:cs="Times New Roman"/>
          <w:color w:val="0D0D0D" w:themeColor="text1" w:themeTint="F2"/>
          <w:sz w:val="24"/>
          <w:szCs w:val="24"/>
        </w:rPr>
        <w:t xml:space="preserve">. </w:t>
      </w:r>
      <w:r w:rsidR="00FD5DB1" w:rsidRPr="003C6DBD">
        <w:rPr>
          <w:rFonts w:ascii="Times New Roman" w:hAnsi="Times New Roman" w:cs="Times New Roman"/>
          <w:color w:val="0D0D0D" w:themeColor="text1" w:themeTint="F2"/>
          <w:sz w:val="24"/>
          <w:szCs w:val="24"/>
        </w:rPr>
        <w:fldChar w:fldCharType="begin"/>
      </w:r>
      <w:r w:rsidR="00FD5DB1" w:rsidRPr="003C6DBD">
        <w:rPr>
          <w:rFonts w:ascii="Times New Roman" w:hAnsi="Times New Roman" w:cs="Times New Roman"/>
          <w:color w:val="0D0D0D" w:themeColor="text1" w:themeTint="F2"/>
          <w:sz w:val="24"/>
          <w:szCs w:val="24"/>
        </w:rPr>
        <w:instrText xml:space="preserve"> ADDIN ZOTERO_ITEM CSL_CITATION {"citationID":"Orw7amKp","properties":{"formattedCitation":"(Yakubiv et al., 2019)","plainCitation":"(Yakubiv et al., 2019)","dontUpdate":true,"noteIndex":0},"citationItems":[{"id":512,"uris":["http://zotero.org/users/8949154/items/5HNVNNU3"],"itemData":{"id":512,"type":"paper-conference","container-title":"2019 7th International Conference on Modeling, Development and Strategic Management of Economic System (MDSMES 2019)","page":"217–221","publisher":"Atlantis Press","source":"Google Scholar","title":"Strategic analysis of the potential of bioenergy: outlook for Ukraine","title-short":"Strategic analysis of the potential of bioenergy","author":[{"family":"Yakubiv","given":"Valentyna"},{"family":"Hryhoruk","given":"Iryna"},{"family":"Maksymiv","given":"Yuliia"},{"family":"Popadynets","given":"Nazariy"}],"issued":{"date-parts":[["2019"]]}}}],"schema":"https://github.com/citation-style-language/schema/raw/master/csl-citation.json"} </w:instrText>
      </w:r>
      <w:r w:rsidR="00FD5DB1" w:rsidRPr="003C6DBD">
        <w:rPr>
          <w:rFonts w:ascii="Times New Roman" w:hAnsi="Times New Roman" w:cs="Times New Roman"/>
          <w:color w:val="0D0D0D" w:themeColor="text1" w:themeTint="F2"/>
          <w:sz w:val="24"/>
          <w:szCs w:val="24"/>
        </w:rPr>
        <w:fldChar w:fldCharType="separate"/>
      </w:r>
      <w:r w:rsidR="00FD5DB1" w:rsidRPr="003C6DBD">
        <w:rPr>
          <w:rFonts w:ascii="Times New Roman" w:hAnsi="Times New Roman" w:cs="Times New Roman"/>
          <w:color w:val="0D0D0D" w:themeColor="text1" w:themeTint="F2"/>
          <w:sz w:val="24"/>
          <w:szCs w:val="24"/>
        </w:rPr>
        <w:t>Yakubiv et al. (2019)</w:t>
      </w:r>
      <w:r w:rsidR="00FD5DB1" w:rsidRPr="003C6DBD">
        <w:rPr>
          <w:rFonts w:ascii="Times New Roman" w:hAnsi="Times New Roman" w:cs="Times New Roman"/>
          <w:color w:val="0D0D0D" w:themeColor="text1" w:themeTint="F2"/>
          <w:sz w:val="24"/>
          <w:szCs w:val="24"/>
        </w:rPr>
        <w:fldChar w:fldCharType="end"/>
      </w:r>
      <w:r w:rsidR="00FD5DB1" w:rsidRPr="003C6DBD">
        <w:rPr>
          <w:rFonts w:ascii="Times New Roman" w:hAnsi="Times New Roman" w:cs="Times New Roman"/>
          <w:color w:val="0D0D0D" w:themeColor="text1" w:themeTint="F2"/>
          <w:sz w:val="24"/>
          <w:szCs w:val="24"/>
        </w:rPr>
        <w:t xml:space="preserve"> researched the strategic potential of bioenergy development in Ukraine using PEST analysis by surveying the existing agricultural enterprises, and potential producers of bioenergy. The authors reported that state incentives for bioenergy production could promote bioenergy development in Ukraine. In addition, the specification of the economic and legal framework for regulating producers of bioenergy would aid in renewable energy development. </w:t>
      </w:r>
      <w:r w:rsidR="00FD5DB1" w:rsidRPr="003C6DBD">
        <w:rPr>
          <w:rFonts w:ascii="Times New Roman" w:hAnsi="Times New Roman" w:cs="Times New Roman"/>
          <w:color w:val="0D0D0D" w:themeColor="text1" w:themeTint="F2"/>
          <w:sz w:val="24"/>
          <w:szCs w:val="24"/>
        </w:rPr>
        <w:fldChar w:fldCharType="begin"/>
      </w:r>
      <w:r w:rsidR="00FD5DB1" w:rsidRPr="003C6DBD">
        <w:rPr>
          <w:rFonts w:ascii="Times New Roman" w:hAnsi="Times New Roman" w:cs="Times New Roman"/>
          <w:color w:val="0D0D0D" w:themeColor="text1" w:themeTint="F2"/>
          <w:sz w:val="24"/>
          <w:szCs w:val="24"/>
        </w:rPr>
        <w:instrText xml:space="preserve"> ADDIN ZOTERO_ITEM CSL_CITATION {"citationID":"oJ8hYgfO","properties":{"formattedCitation":"(Igli\\uc0\\u324{}ski et al., 2016)","plainCitation":"(Igliński et al., 2016)","dontUpdate":true,"noteIndex":0},"citationItems":[{"id":502,"uris":["http://zotero.org/users/8949154/items/LUF4YM36"],"itemData":{"id":502,"type":"article-journal","container-title":"Renewable and Sustainable Energy Reviews","note":"publisher: Elsevier","page":"737–750","source":"Google Scholar","title":"Renewable energy production in the \\Lódzkie Voivodeship. The PEST analysis of the RES in the voivodeship and in Poland","volume":"58","author":[{"family":"Igliński","given":"Bart\\lomiej"},{"family":"Iglińska","given":"Anna"},{"family":"Cichosz","given":"Marcin"},{"family":"Kujawski","given":"Wojciech"},{"family":"Buczkowski","given":"Roman"}],"issued":{"date-parts":[["2016"]]}}}],"schema":"https://github.com/citation-style-language/schema/raw/master/csl-citation.json"} </w:instrText>
      </w:r>
      <w:r w:rsidR="00FD5DB1" w:rsidRPr="003C6DBD">
        <w:rPr>
          <w:rFonts w:ascii="Times New Roman" w:hAnsi="Times New Roman" w:cs="Times New Roman"/>
          <w:color w:val="0D0D0D" w:themeColor="text1" w:themeTint="F2"/>
          <w:sz w:val="24"/>
          <w:szCs w:val="24"/>
        </w:rPr>
        <w:fldChar w:fldCharType="separate"/>
      </w:r>
      <w:r w:rsidR="00FD5DB1" w:rsidRPr="003C6DBD">
        <w:rPr>
          <w:rFonts w:ascii="Times New Roman" w:hAnsi="Times New Roman" w:cs="Times New Roman"/>
          <w:color w:val="0D0D0D" w:themeColor="text1" w:themeTint="F2"/>
          <w:sz w:val="24"/>
          <w:szCs w:val="24"/>
        </w:rPr>
        <w:t>Igliński et al. (2016)</w:t>
      </w:r>
      <w:r w:rsidR="00FD5DB1" w:rsidRPr="003C6DBD">
        <w:rPr>
          <w:rFonts w:ascii="Times New Roman" w:hAnsi="Times New Roman" w:cs="Times New Roman"/>
          <w:color w:val="0D0D0D" w:themeColor="text1" w:themeTint="F2"/>
          <w:sz w:val="24"/>
          <w:szCs w:val="24"/>
        </w:rPr>
        <w:fldChar w:fldCharType="end"/>
      </w:r>
      <w:r w:rsidR="00FD5DB1" w:rsidRPr="003C6DBD">
        <w:rPr>
          <w:rFonts w:ascii="Times New Roman" w:hAnsi="Times New Roman" w:cs="Times New Roman"/>
          <w:color w:val="0D0D0D" w:themeColor="text1" w:themeTint="F2"/>
          <w:sz w:val="24"/>
          <w:szCs w:val="24"/>
        </w:rPr>
        <w:t xml:space="preserve"> also conducted a PEST analysis of the polish renewable energy sector and the results revealed that the renewable energy sector has potential for further growth in both the </w:t>
      </w:r>
      <w:proofErr w:type="spellStart"/>
      <w:r w:rsidR="00FD5DB1" w:rsidRPr="003C6DBD">
        <w:rPr>
          <w:rFonts w:ascii="Times New Roman" w:hAnsi="Times New Roman" w:cs="Times New Roman"/>
          <w:color w:val="0D0D0D" w:themeColor="text1" w:themeTint="F2"/>
          <w:sz w:val="24"/>
          <w:szCs w:val="24"/>
        </w:rPr>
        <w:t>Łódzkie</w:t>
      </w:r>
      <w:proofErr w:type="spellEnd"/>
      <w:r w:rsidR="00FD5DB1" w:rsidRPr="003C6DBD">
        <w:rPr>
          <w:rFonts w:ascii="Times New Roman" w:hAnsi="Times New Roman" w:cs="Times New Roman"/>
          <w:color w:val="0D0D0D" w:themeColor="text1" w:themeTint="F2"/>
          <w:sz w:val="24"/>
          <w:szCs w:val="24"/>
        </w:rPr>
        <w:t xml:space="preserve"> Voivodeship region and </w:t>
      </w:r>
      <w:r w:rsidR="00FD5DB1" w:rsidRPr="003C6DBD">
        <w:rPr>
          <w:rFonts w:ascii="Times New Roman" w:hAnsi="Times New Roman" w:cs="Times New Roman"/>
          <w:color w:val="0D0D0D" w:themeColor="text1" w:themeTint="F2"/>
          <w:sz w:val="24"/>
          <w:szCs w:val="24"/>
        </w:rPr>
        <w:lastRenderedPageBreak/>
        <w:t xml:space="preserve">Poland. Among the macroenvironmental factors, the economic factor was the most favorable, and technological factors were the least favorable. Similarly, </w:t>
      </w:r>
      <w:r w:rsidR="00FD5DB1" w:rsidRPr="003C6DBD">
        <w:rPr>
          <w:rFonts w:ascii="Times New Roman" w:hAnsi="Times New Roman" w:cs="Times New Roman"/>
          <w:color w:val="0D0D0D" w:themeColor="text1" w:themeTint="F2"/>
          <w:sz w:val="24"/>
          <w:szCs w:val="24"/>
        </w:rPr>
        <w:fldChar w:fldCharType="begin"/>
      </w:r>
      <w:r w:rsidR="00FD5DB1" w:rsidRPr="003C6DBD">
        <w:rPr>
          <w:rFonts w:ascii="Times New Roman" w:hAnsi="Times New Roman" w:cs="Times New Roman"/>
          <w:color w:val="0D0D0D" w:themeColor="text1" w:themeTint="F2"/>
          <w:sz w:val="24"/>
          <w:szCs w:val="24"/>
        </w:rPr>
        <w:instrText xml:space="preserve"> ADDIN ZOTERO_ITEM CSL_CITATION {"citationID":"svqyCyq4","properties":{"formattedCitation":"(Nunes et al., 2015)","plainCitation":"(Nunes et al., 2015)","dontUpdate":true,"noteIndex":0},"citationItems":[{"id":510,"uris":["http://zotero.org/users/8949154/items/HE354P5Z"],"itemData":{"id":510,"type":"article-journal","container-title":"Energy","note":"publisher: Elsevier","page":"503–508","source":"Google Scholar","title":"Analysis of the use of biomass as an energy alternative for the Portuguese textile dyeing industry","volume":"84","author":[{"family":"Nunes","given":"L. J. R."},{"family":"Matias","given":"J. C. O."},{"family":"Catalão","given":"J. P. S."}],"issued":{"date-parts":[["2015"]]}}}],"schema":"https://github.com/citation-style-language/schema/raw/master/csl-citation.json"} </w:instrText>
      </w:r>
      <w:r w:rsidR="00FD5DB1" w:rsidRPr="003C6DBD">
        <w:rPr>
          <w:rFonts w:ascii="Times New Roman" w:hAnsi="Times New Roman" w:cs="Times New Roman"/>
          <w:color w:val="0D0D0D" w:themeColor="text1" w:themeTint="F2"/>
          <w:sz w:val="24"/>
          <w:szCs w:val="24"/>
        </w:rPr>
        <w:fldChar w:fldCharType="separate"/>
      </w:r>
      <w:r w:rsidR="00FD5DB1" w:rsidRPr="003C6DBD">
        <w:rPr>
          <w:rFonts w:ascii="Times New Roman" w:hAnsi="Times New Roman" w:cs="Times New Roman"/>
          <w:color w:val="0D0D0D" w:themeColor="text1" w:themeTint="F2"/>
          <w:sz w:val="24"/>
          <w:szCs w:val="24"/>
        </w:rPr>
        <w:t>Nunes et al. (2015)</w:t>
      </w:r>
      <w:r w:rsidR="00FD5DB1" w:rsidRPr="003C6DBD">
        <w:rPr>
          <w:rFonts w:ascii="Times New Roman" w:hAnsi="Times New Roman" w:cs="Times New Roman"/>
          <w:color w:val="0D0D0D" w:themeColor="text1" w:themeTint="F2"/>
          <w:sz w:val="24"/>
          <w:szCs w:val="24"/>
        </w:rPr>
        <w:fldChar w:fldCharType="end"/>
      </w:r>
      <w:r w:rsidR="00FD5DB1" w:rsidRPr="003C6DBD">
        <w:rPr>
          <w:rFonts w:ascii="Times New Roman" w:hAnsi="Times New Roman" w:cs="Times New Roman"/>
          <w:color w:val="0D0D0D" w:themeColor="text1" w:themeTint="F2"/>
          <w:sz w:val="24"/>
          <w:szCs w:val="24"/>
        </w:rPr>
        <w:t xml:space="preserve"> conducted a comprehensive PEST analysis of potential to replace fossil fuels, used traditionally, with biomass in the textile dyeing industry in Portugal. The study provided a framework for strategic management of macroenvironmental factors affecting the companies by reducing external dependence on fuels, creation and preservation of jobs, increasing competitiveness of the sector, use of local technology, and reduction of GHG. </w:t>
      </w:r>
      <w:r w:rsidR="00FD5DB1" w:rsidRPr="003C6DBD">
        <w:rPr>
          <w:rFonts w:ascii="Times New Roman" w:hAnsi="Times New Roman" w:cs="Times New Roman"/>
          <w:color w:val="0D0D0D" w:themeColor="text1" w:themeTint="F2"/>
          <w:sz w:val="24"/>
          <w:szCs w:val="24"/>
        </w:rPr>
        <w:fldChar w:fldCharType="begin"/>
      </w:r>
      <w:r w:rsidR="00FD5DB1" w:rsidRPr="003C6DBD">
        <w:rPr>
          <w:rFonts w:ascii="Times New Roman" w:hAnsi="Times New Roman" w:cs="Times New Roman"/>
          <w:color w:val="0D0D0D" w:themeColor="text1" w:themeTint="F2"/>
          <w:sz w:val="24"/>
          <w:szCs w:val="24"/>
        </w:rPr>
        <w:instrText xml:space="preserve"> ADDIN ZOTERO_ITEM CSL_CITATION {"citationID":"2MLz7kQ6","properties":{"formattedCitation":"(Zalengera et al., 2014)","plainCitation":"(Zalengera et al., 2014)","dontUpdate":true,"noteIndex":0},"citationItems":[{"id":515,"uris":["http://zotero.org/users/8949154/items/B67P3NQ7"],"itemData":{"id":515,"type":"article-journal","container-title":"Renewable and Sustainable Energy Reviews","note":"publisher: Elsevier","page":"335–347","source":"Google Scholar","title":"Overview of the Malawi energy situation and A PESTLE analysis for sustainable development of renewable energy","volume":"38","author":[{"family":"Zalengera","given":"Collen"},{"family":"Blanchard","given":"Richard E."},{"family":"Eames","given":"Philip C."},{"family":"Juma","given":"Alnord M."},{"family":"Chitawo","given":"Maxon L."},{"family":"Gondwe","given":"Kondwani T."}],"issued":{"date-parts":[["2014"]]}}}],"schema":"https://github.com/citation-style-language/schema/raw/master/csl-citation.json"} </w:instrText>
      </w:r>
      <w:r w:rsidR="00FD5DB1" w:rsidRPr="003C6DBD">
        <w:rPr>
          <w:rFonts w:ascii="Times New Roman" w:hAnsi="Times New Roman" w:cs="Times New Roman"/>
          <w:color w:val="0D0D0D" w:themeColor="text1" w:themeTint="F2"/>
          <w:sz w:val="24"/>
          <w:szCs w:val="24"/>
        </w:rPr>
        <w:fldChar w:fldCharType="separate"/>
      </w:r>
      <w:r w:rsidR="00FD5DB1" w:rsidRPr="003C6DBD">
        <w:rPr>
          <w:rFonts w:ascii="Times New Roman" w:hAnsi="Times New Roman" w:cs="Times New Roman"/>
          <w:color w:val="0D0D0D" w:themeColor="text1" w:themeTint="F2"/>
          <w:sz w:val="24"/>
          <w:szCs w:val="24"/>
        </w:rPr>
        <w:t>Zalengera et al. (2014)</w:t>
      </w:r>
      <w:r w:rsidR="00FD5DB1" w:rsidRPr="003C6DBD">
        <w:rPr>
          <w:rFonts w:ascii="Times New Roman" w:hAnsi="Times New Roman" w:cs="Times New Roman"/>
          <w:color w:val="0D0D0D" w:themeColor="text1" w:themeTint="F2"/>
          <w:sz w:val="24"/>
          <w:szCs w:val="24"/>
        </w:rPr>
        <w:fldChar w:fldCharType="end"/>
      </w:r>
      <w:r w:rsidR="00FD5DB1" w:rsidRPr="003C6DBD">
        <w:rPr>
          <w:rFonts w:ascii="Times New Roman" w:hAnsi="Times New Roman" w:cs="Times New Roman"/>
          <w:color w:val="0D0D0D" w:themeColor="text1" w:themeTint="F2"/>
          <w:sz w:val="24"/>
          <w:szCs w:val="24"/>
        </w:rPr>
        <w:t xml:space="preserve"> conducted a political, economic, social, technology, legal, and environmental (PESTLE) analysis - a modified form of the PEST framework that includes legal and environmental factors in addition to PEST factors- of the renewable energy sector in Malawi. The study outlined the contemporary energy situation in Malawi and data on renewable energy sources and technologies up to 2014 is presented. The authors concluded that holistic approaches are crucial for the progress of the renewable energy sector along with radical political and government decisions. Likewise, </w:t>
      </w:r>
      <w:r w:rsidR="00FD5DB1" w:rsidRPr="003C6DBD">
        <w:rPr>
          <w:rFonts w:ascii="Times New Roman" w:hAnsi="Times New Roman" w:cs="Times New Roman"/>
          <w:color w:val="0D0D0D" w:themeColor="text1" w:themeTint="F2"/>
          <w:sz w:val="24"/>
          <w:szCs w:val="24"/>
        </w:rPr>
        <w:fldChar w:fldCharType="begin"/>
      </w:r>
      <w:r w:rsidR="00FD5DB1" w:rsidRPr="003C6DBD">
        <w:rPr>
          <w:rFonts w:ascii="Times New Roman" w:hAnsi="Times New Roman" w:cs="Times New Roman"/>
          <w:color w:val="0D0D0D" w:themeColor="text1" w:themeTint="F2"/>
          <w:sz w:val="24"/>
          <w:szCs w:val="24"/>
        </w:rPr>
        <w:instrText xml:space="preserve"> ADDIN ZOTERO_ITEM CSL_CITATION {"citationID":"bgbb0YtP","properties":{"formattedCitation":"(Kolios &amp; Read, 2013)","plainCitation":"(Kolios &amp; Read, 2013)","dontUpdate":true,"noteIndex":0},"citationItems":[{"id":504,"uris":["http://zotero.org/users/8949154/items/544S2C2V"],"itemData":{"id":504,"type":"article-journal","container-title":"Energies","issue":"10","note":"publisher: MDPI","page":"5023–5045","source":"Google Scholar","title":"A political, economic, social, technology, legal and environmental (PESTLE) approach for risk identification of the tidal industry in the United Kingdom","volume":"6","author":[{"family":"Kolios","given":"Athanasios"},{"family":"Read","given":"George"}],"issued":{"date-parts":[["2013"]]}}}],"schema":"https://github.com/citation-style-language/schema/raw/master/csl-citation.json"} </w:instrText>
      </w:r>
      <w:r w:rsidR="00FD5DB1" w:rsidRPr="003C6DBD">
        <w:rPr>
          <w:rFonts w:ascii="Times New Roman" w:hAnsi="Times New Roman" w:cs="Times New Roman"/>
          <w:color w:val="0D0D0D" w:themeColor="text1" w:themeTint="F2"/>
          <w:sz w:val="24"/>
          <w:szCs w:val="24"/>
        </w:rPr>
        <w:fldChar w:fldCharType="separate"/>
      </w:r>
      <w:r w:rsidR="00FD5DB1" w:rsidRPr="003C6DBD">
        <w:rPr>
          <w:rFonts w:ascii="Times New Roman" w:hAnsi="Times New Roman" w:cs="Times New Roman"/>
          <w:color w:val="0D0D0D" w:themeColor="text1" w:themeTint="F2"/>
          <w:sz w:val="24"/>
          <w:szCs w:val="24"/>
        </w:rPr>
        <w:t>Kolios &amp; Read (2013)</w:t>
      </w:r>
      <w:r w:rsidR="00FD5DB1" w:rsidRPr="003C6DBD">
        <w:rPr>
          <w:rFonts w:ascii="Times New Roman" w:hAnsi="Times New Roman" w:cs="Times New Roman"/>
          <w:color w:val="0D0D0D" w:themeColor="text1" w:themeTint="F2"/>
          <w:sz w:val="24"/>
          <w:szCs w:val="24"/>
        </w:rPr>
        <w:fldChar w:fldCharType="end"/>
      </w:r>
      <w:r w:rsidR="00FD5DB1" w:rsidRPr="003C6DBD">
        <w:rPr>
          <w:rFonts w:ascii="Times New Roman" w:hAnsi="Times New Roman" w:cs="Times New Roman"/>
          <w:color w:val="0D0D0D" w:themeColor="text1" w:themeTint="F2"/>
          <w:sz w:val="24"/>
          <w:szCs w:val="24"/>
        </w:rPr>
        <w:t xml:space="preserve"> discussed a broad analysis of renewable energy, particularly tidal energy, in the United Kingdom. The authors used PESTLE analysis to review the contemporary literature available in the relevant field. The findings revealed that many stakeholders were supportive of tidal energy, but at the same time are worried about relatively underdeveloped technology. These literatures discussed above support the use of PEST framework for assessing an industry – particularly, industries that are related to renewable energy or bioenergy- in the past and its usefulness in research. </w:t>
      </w:r>
    </w:p>
    <w:p w14:paraId="027E94F0" w14:textId="43E8A031" w:rsidR="00725D89" w:rsidRPr="003C6DBD" w:rsidRDefault="00437227" w:rsidP="002A7494">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 r</w:t>
      </w:r>
      <w:r w:rsidR="00725D89" w:rsidRPr="003C6DBD">
        <w:rPr>
          <w:rFonts w:ascii="Times New Roman" w:hAnsi="Times New Roman" w:cs="Times New Roman"/>
          <w:color w:val="0D0D0D" w:themeColor="text1" w:themeTint="F2"/>
          <w:sz w:val="24"/>
          <w:szCs w:val="24"/>
        </w:rPr>
        <w:t xml:space="preserve">esearch in the past </w:t>
      </w:r>
      <w:r w:rsidRPr="003C6DBD">
        <w:rPr>
          <w:rFonts w:ascii="Times New Roman" w:hAnsi="Times New Roman" w:cs="Times New Roman"/>
          <w:color w:val="0D0D0D" w:themeColor="text1" w:themeTint="F2"/>
          <w:sz w:val="24"/>
          <w:szCs w:val="24"/>
        </w:rPr>
        <w:t xml:space="preserve">by </w:t>
      </w:r>
      <w:r w:rsidR="003E5F23" w:rsidRPr="003C6DBD">
        <w:rPr>
          <w:rFonts w:ascii="Times New Roman" w:hAnsi="Times New Roman" w:cs="Times New Roman"/>
          <w:color w:val="0D0D0D" w:themeColor="text1" w:themeTint="F2"/>
          <w:sz w:val="24"/>
          <w:szCs w:val="24"/>
        </w:rPr>
        <w:fldChar w:fldCharType="begin"/>
      </w:r>
      <w:r w:rsidR="003E5F23" w:rsidRPr="003C6DBD">
        <w:rPr>
          <w:rFonts w:ascii="Times New Roman" w:hAnsi="Times New Roman" w:cs="Times New Roman"/>
          <w:color w:val="0D0D0D" w:themeColor="text1" w:themeTint="F2"/>
          <w:sz w:val="24"/>
          <w:szCs w:val="24"/>
        </w:rPr>
        <w:instrText xml:space="preserve"> ADDIN ZOTERO_ITEM CSL_CITATION {"citationID":"UJolbR1x","properties":{"custom":"Pries et al. (2016)","formattedCitation":"Pries et al. (2016)","plainCitation":"Pries et al. (2016)","noteIndex":0},"citationItems":[{"id":251,"uris":["http://zotero.org/users/8949154/items/P6NYLUEB"],"itemData":{"id":251,"type":"article-journal","container-title":"Energy Policy","note":"publisher: Elsevier","page":"93–101","source":"Google Scholar","title":"Risks affecting the biofuels industry: A US and Canadian company perspective","title-short":"Risks affecting the biofuels industry","volume":"97","author":[{"family":"Pries","given":"Fred"},{"family":"Talebi","given":"Alireza"},{"family":"Schillo","given":"R. Sandra"},{"family":"Lemay","given":"Margaret A."}],"issued":{"date-parts":[["2016"]]}}}],"schema":"https://github.com/citation-style-language/schema/raw/master/csl-citation.json"} </w:instrText>
      </w:r>
      <w:r w:rsidR="003E5F23" w:rsidRPr="003C6DBD">
        <w:rPr>
          <w:rFonts w:ascii="Times New Roman" w:hAnsi="Times New Roman" w:cs="Times New Roman"/>
          <w:color w:val="0D0D0D" w:themeColor="text1" w:themeTint="F2"/>
          <w:sz w:val="24"/>
          <w:szCs w:val="24"/>
        </w:rPr>
        <w:fldChar w:fldCharType="separate"/>
      </w:r>
      <w:r w:rsidR="003E5F23" w:rsidRPr="003C6DBD">
        <w:rPr>
          <w:rFonts w:ascii="Times New Roman" w:hAnsi="Times New Roman" w:cs="Times New Roman"/>
          <w:color w:val="0D0D0D" w:themeColor="text1" w:themeTint="F2"/>
          <w:sz w:val="24"/>
          <w:szCs w:val="24"/>
        </w:rPr>
        <w:t>Pries et al. (2016)</w:t>
      </w:r>
      <w:r w:rsidR="003E5F23" w:rsidRPr="003C6DBD">
        <w:rPr>
          <w:rFonts w:ascii="Times New Roman" w:hAnsi="Times New Roman" w:cs="Times New Roman"/>
          <w:color w:val="0D0D0D" w:themeColor="text1" w:themeTint="F2"/>
          <w:sz w:val="24"/>
          <w:szCs w:val="24"/>
        </w:rPr>
        <w:fldChar w:fldCharType="end"/>
      </w:r>
      <w:r w:rsidR="003E5F23" w:rsidRPr="003C6DBD">
        <w:rPr>
          <w:rFonts w:ascii="Times New Roman" w:hAnsi="Times New Roman" w:cs="Times New Roman"/>
          <w:color w:val="0D0D0D" w:themeColor="text1" w:themeTint="F2"/>
          <w:sz w:val="24"/>
          <w:szCs w:val="24"/>
        </w:rPr>
        <w:t xml:space="preserve"> </w:t>
      </w:r>
      <w:r w:rsidR="00725D89" w:rsidRPr="003C6DBD">
        <w:rPr>
          <w:rFonts w:ascii="Times New Roman" w:hAnsi="Times New Roman" w:cs="Times New Roman"/>
          <w:color w:val="0D0D0D" w:themeColor="text1" w:themeTint="F2"/>
          <w:sz w:val="24"/>
          <w:szCs w:val="24"/>
        </w:rPr>
        <w:t>explor</w:t>
      </w:r>
      <w:r w:rsidR="003E5F23" w:rsidRPr="003C6DBD">
        <w:rPr>
          <w:rFonts w:ascii="Times New Roman" w:hAnsi="Times New Roman" w:cs="Times New Roman"/>
          <w:color w:val="0D0D0D" w:themeColor="text1" w:themeTint="F2"/>
          <w:sz w:val="24"/>
          <w:szCs w:val="24"/>
        </w:rPr>
        <w:t>ed</w:t>
      </w:r>
      <w:r w:rsidR="00725D89" w:rsidRPr="003C6DBD">
        <w:rPr>
          <w:rFonts w:ascii="Times New Roman" w:hAnsi="Times New Roman" w:cs="Times New Roman"/>
          <w:color w:val="0D0D0D" w:themeColor="text1" w:themeTint="F2"/>
          <w:sz w:val="24"/>
          <w:szCs w:val="24"/>
        </w:rPr>
        <w:t xml:space="preserve"> the </w:t>
      </w:r>
      <w:r w:rsidR="00646A58" w:rsidRPr="003C6DBD">
        <w:rPr>
          <w:rFonts w:ascii="Times New Roman" w:hAnsi="Times New Roman" w:cs="Times New Roman"/>
          <w:color w:val="0D0D0D" w:themeColor="text1" w:themeTint="F2"/>
          <w:sz w:val="24"/>
          <w:szCs w:val="24"/>
        </w:rPr>
        <w:t xml:space="preserve">prevalence and significance of </w:t>
      </w:r>
      <w:r w:rsidR="00725D89" w:rsidRPr="003C6DBD">
        <w:rPr>
          <w:rFonts w:ascii="Times New Roman" w:hAnsi="Times New Roman" w:cs="Times New Roman"/>
          <w:color w:val="0D0D0D" w:themeColor="text1" w:themeTint="F2"/>
          <w:sz w:val="24"/>
          <w:szCs w:val="24"/>
        </w:rPr>
        <w:t xml:space="preserve">risks </w:t>
      </w:r>
      <w:r w:rsidR="00A3161A" w:rsidRPr="003C6DBD">
        <w:rPr>
          <w:rFonts w:ascii="Times New Roman" w:hAnsi="Times New Roman" w:cs="Times New Roman"/>
          <w:color w:val="0D0D0D" w:themeColor="text1" w:themeTint="F2"/>
          <w:sz w:val="24"/>
          <w:szCs w:val="24"/>
        </w:rPr>
        <w:t>reported by publicly-traded biofuel companies for one year</w:t>
      </w:r>
      <w:r w:rsidR="00301025" w:rsidRPr="003C6DBD">
        <w:rPr>
          <w:rFonts w:ascii="Times New Roman" w:hAnsi="Times New Roman" w:cs="Times New Roman"/>
          <w:color w:val="0D0D0D" w:themeColor="text1" w:themeTint="F2"/>
          <w:sz w:val="24"/>
          <w:szCs w:val="24"/>
        </w:rPr>
        <w:t xml:space="preserve"> using the PEST framework</w:t>
      </w:r>
      <w:r w:rsidR="00725D89" w:rsidRPr="003C6DBD">
        <w:rPr>
          <w:rFonts w:ascii="Times New Roman" w:hAnsi="Times New Roman" w:cs="Times New Roman"/>
          <w:color w:val="0D0D0D" w:themeColor="text1" w:themeTint="F2"/>
          <w:sz w:val="24"/>
          <w:szCs w:val="24"/>
        </w:rPr>
        <w:t>.</w:t>
      </w:r>
      <w:r w:rsidR="00301025" w:rsidRPr="003C6DBD">
        <w:rPr>
          <w:rFonts w:ascii="Times New Roman" w:hAnsi="Times New Roman" w:cs="Times New Roman"/>
          <w:color w:val="0D0D0D" w:themeColor="text1" w:themeTint="F2"/>
          <w:sz w:val="24"/>
          <w:szCs w:val="24"/>
        </w:rPr>
        <w:t xml:space="preserve"> We also conducted risk analysis of sample biofuel companies. But </w:t>
      </w:r>
      <w:r w:rsidR="001362F2" w:rsidRPr="003C6DBD">
        <w:rPr>
          <w:rFonts w:ascii="Times New Roman" w:hAnsi="Times New Roman" w:cs="Times New Roman"/>
          <w:color w:val="0D0D0D" w:themeColor="text1" w:themeTint="F2"/>
          <w:sz w:val="24"/>
          <w:szCs w:val="24"/>
        </w:rPr>
        <w:t>this</w:t>
      </w:r>
      <w:r w:rsidR="00301025" w:rsidRPr="003C6DBD">
        <w:rPr>
          <w:rFonts w:ascii="Times New Roman" w:hAnsi="Times New Roman" w:cs="Times New Roman"/>
          <w:color w:val="0D0D0D" w:themeColor="text1" w:themeTint="F2"/>
          <w:sz w:val="24"/>
          <w:szCs w:val="24"/>
        </w:rPr>
        <w:t xml:space="preserve"> study </w:t>
      </w:r>
      <w:r w:rsidR="00725D89" w:rsidRPr="003C6DBD">
        <w:rPr>
          <w:rFonts w:ascii="Times New Roman" w:hAnsi="Times New Roman" w:cs="Times New Roman"/>
          <w:color w:val="0D0D0D" w:themeColor="text1" w:themeTint="F2"/>
          <w:sz w:val="24"/>
          <w:szCs w:val="24"/>
        </w:rPr>
        <w:t xml:space="preserve">is more comprehensive </w:t>
      </w:r>
      <w:r w:rsidR="00725D89" w:rsidRPr="003C6DBD">
        <w:rPr>
          <w:rFonts w:ascii="Times New Roman" w:hAnsi="Times New Roman" w:cs="Times New Roman"/>
          <w:color w:val="0D0D0D" w:themeColor="text1" w:themeTint="F2"/>
          <w:sz w:val="24"/>
          <w:szCs w:val="24"/>
        </w:rPr>
        <w:lastRenderedPageBreak/>
        <w:t>and assesses risks faced by biofuel firms in three years</w:t>
      </w:r>
      <w:r w:rsidR="00A3161A" w:rsidRPr="003C6DBD">
        <w:rPr>
          <w:rFonts w:ascii="Times New Roman" w:hAnsi="Times New Roman" w:cs="Times New Roman"/>
          <w:color w:val="0D0D0D" w:themeColor="text1" w:themeTint="F2"/>
          <w:sz w:val="24"/>
          <w:szCs w:val="24"/>
        </w:rPr>
        <w:t xml:space="preserve"> (2018-2020)</w:t>
      </w:r>
      <w:r w:rsidR="00725D89" w:rsidRPr="003C6DBD">
        <w:rPr>
          <w:rFonts w:ascii="Times New Roman" w:hAnsi="Times New Roman" w:cs="Times New Roman"/>
          <w:color w:val="0D0D0D" w:themeColor="text1" w:themeTint="F2"/>
          <w:sz w:val="24"/>
          <w:szCs w:val="24"/>
        </w:rPr>
        <w:t>.</w:t>
      </w:r>
      <w:r w:rsidR="00A3161A" w:rsidRPr="003C6DBD">
        <w:rPr>
          <w:rFonts w:ascii="Times New Roman" w:hAnsi="Times New Roman" w:cs="Times New Roman"/>
          <w:color w:val="0D0D0D" w:themeColor="text1" w:themeTint="F2"/>
          <w:sz w:val="24"/>
          <w:szCs w:val="24"/>
        </w:rPr>
        <w:t xml:space="preserve"> Risk assessment for multiple years will </w:t>
      </w:r>
      <w:r w:rsidR="001362F2" w:rsidRPr="003C6DBD">
        <w:rPr>
          <w:rFonts w:ascii="Times New Roman" w:hAnsi="Times New Roman" w:cs="Times New Roman"/>
          <w:color w:val="0D0D0D" w:themeColor="text1" w:themeTint="F2"/>
          <w:sz w:val="24"/>
          <w:szCs w:val="24"/>
        </w:rPr>
        <w:t>show the similarity of differences of</w:t>
      </w:r>
      <w:r w:rsidR="00301025" w:rsidRPr="003C6DBD">
        <w:rPr>
          <w:rFonts w:ascii="Times New Roman" w:hAnsi="Times New Roman" w:cs="Times New Roman"/>
          <w:color w:val="0D0D0D" w:themeColor="text1" w:themeTint="F2"/>
          <w:sz w:val="24"/>
          <w:szCs w:val="24"/>
        </w:rPr>
        <w:t xml:space="preserve"> the</w:t>
      </w:r>
      <w:r w:rsidR="00A3161A" w:rsidRPr="003C6DBD">
        <w:rPr>
          <w:rFonts w:ascii="Times New Roman" w:hAnsi="Times New Roman" w:cs="Times New Roman"/>
          <w:color w:val="0D0D0D" w:themeColor="text1" w:themeTint="F2"/>
          <w:sz w:val="24"/>
          <w:szCs w:val="24"/>
        </w:rPr>
        <w:t xml:space="preserve"> prevalence and significance of the risks. Th</w:t>
      </w:r>
      <w:r w:rsidR="00301025" w:rsidRPr="003C6DBD">
        <w:rPr>
          <w:rFonts w:ascii="Times New Roman" w:hAnsi="Times New Roman" w:cs="Times New Roman"/>
          <w:color w:val="0D0D0D" w:themeColor="text1" w:themeTint="F2"/>
          <w:sz w:val="24"/>
          <w:szCs w:val="24"/>
        </w:rPr>
        <w:t xml:space="preserve">e findings </w:t>
      </w:r>
      <w:r w:rsidR="00A3161A" w:rsidRPr="003C6DBD">
        <w:rPr>
          <w:rFonts w:ascii="Times New Roman" w:hAnsi="Times New Roman" w:cs="Times New Roman"/>
          <w:color w:val="0D0D0D" w:themeColor="text1" w:themeTint="F2"/>
          <w:sz w:val="24"/>
          <w:szCs w:val="24"/>
        </w:rPr>
        <w:t xml:space="preserve">could </w:t>
      </w:r>
      <w:r w:rsidR="00A735C4" w:rsidRPr="003C6DBD">
        <w:rPr>
          <w:rFonts w:ascii="Times New Roman" w:hAnsi="Times New Roman" w:cs="Times New Roman"/>
          <w:color w:val="0D0D0D" w:themeColor="text1" w:themeTint="F2"/>
          <w:sz w:val="24"/>
          <w:szCs w:val="24"/>
        </w:rPr>
        <w:t>open</w:t>
      </w:r>
      <w:r w:rsidR="00A3161A" w:rsidRPr="003C6DBD">
        <w:rPr>
          <w:rFonts w:ascii="Times New Roman" w:hAnsi="Times New Roman" w:cs="Times New Roman"/>
          <w:color w:val="0D0D0D" w:themeColor="text1" w:themeTint="F2"/>
          <w:sz w:val="24"/>
          <w:szCs w:val="24"/>
        </w:rPr>
        <w:t xml:space="preserve"> multiple facets about the risks faced by biofuel industry and suggest changes that can be useful for </w:t>
      </w:r>
      <w:r w:rsidR="00B86A0D" w:rsidRPr="003C6DBD">
        <w:rPr>
          <w:rFonts w:ascii="Times New Roman" w:hAnsi="Times New Roman" w:cs="Times New Roman"/>
          <w:color w:val="0D0D0D" w:themeColor="text1" w:themeTint="F2"/>
          <w:sz w:val="24"/>
          <w:szCs w:val="24"/>
        </w:rPr>
        <w:t>coping with</w:t>
      </w:r>
      <w:r w:rsidR="00A3161A" w:rsidRPr="003C6DBD">
        <w:rPr>
          <w:rFonts w:ascii="Times New Roman" w:hAnsi="Times New Roman" w:cs="Times New Roman"/>
          <w:color w:val="0D0D0D" w:themeColor="text1" w:themeTint="F2"/>
          <w:sz w:val="24"/>
          <w:szCs w:val="24"/>
        </w:rPr>
        <w:t xml:space="preserve"> or mitigating those risks. In addition, the sample companies used in </w:t>
      </w:r>
      <w:r w:rsidR="00301025" w:rsidRPr="003C6DBD">
        <w:rPr>
          <w:rFonts w:ascii="Times New Roman" w:hAnsi="Times New Roman" w:cs="Times New Roman"/>
          <w:color w:val="0D0D0D" w:themeColor="text1" w:themeTint="F2"/>
          <w:sz w:val="24"/>
          <w:szCs w:val="24"/>
        </w:rPr>
        <w:t>our</w:t>
      </w:r>
      <w:r w:rsidR="00A3161A" w:rsidRPr="003C6DBD">
        <w:rPr>
          <w:rFonts w:ascii="Times New Roman" w:hAnsi="Times New Roman" w:cs="Times New Roman"/>
          <w:color w:val="0D0D0D" w:themeColor="text1" w:themeTint="F2"/>
          <w:sz w:val="24"/>
          <w:szCs w:val="24"/>
        </w:rPr>
        <w:t xml:space="preserve"> study are different than the sample companies used by </w:t>
      </w:r>
      <w:r w:rsidR="00A3161A" w:rsidRPr="003C6DBD">
        <w:rPr>
          <w:rFonts w:ascii="Times New Roman" w:hAnsi="Times New Roman" w:cs="Times New Roman"/>
          <w:color w:val="0D0D0D" w:themeColor="text1" w:themeTint="F2"/>
          <w:sz w:val="24"/>
          <w:szCs w:val="24"/>
        </w:rPr>
        <w:fldChar w:fldCharType="begin"/>
      </w:r>
      <w:r w:rsidR="00E66742" w:rsidRPr="003C6DBD">
        <w:rPr>
          <w:rFonts w:ascii="Times New Roman" w:hAnsi="Times New Roman" w:cs="Times New Roman"/>
          <w:color w:val="0D0D0D" w:themeColor="text1" w:themeTint="F2"/>
          <w:sz w:val="24"/>
          <w:szCs w:val="24"/>
        </w:rPr>
        <w:instrText xml:space="preserve"> ADDIN ZOTERO_ITEM CSL_CITATION {"citationID":"Bgoy2VgX","properties":{"custom":"Pries et al. (2016)","formattedCitation":"Pries et al. (2016)","plainCitation":"Pries et al. (2016)","noteIndex":0},"citationItems":[{"id":251,"uris":["http://zotero.org/users/8949154/items/P6NYLUEB"],"itemData":{"id":251,"type":"article-journal","container-title":"Energy Policy","note":"publisher: Elsevier","page":"93–101","source":"Google Scholar","title":"Risks affecting the biofuels industry: A US and Canadian company perspective","title-short":"Risks affecting the biofuels industry","volume":"97","author":[{"family":"Pries","given":"Fred"},{"family":"Talebi","given":"Alireza"},{"family":"Schillo","given":"R. Sandra"},{"family":"Lemay","given":"Margaret A."}],"issued":{"date-parts":[["2016"]]}}}],"schema":"https://github.com/citation-style-language/schema/raw/master/csl-citation.json"} </w:instrText>
      </w:r>
      <w:r w:rsidR="00A3161A" w:rsidRPr="003C6DBD">
        <w:rPr>
          <w:rFonts w:ascii="Times New Roman" w:hAnsi="Times New Roman" w:cs="Times New Roman"/>
          <w:color w:val="0D0D0D" w:themeColor="text1" w:themeTint="F2"/>
          <w:sz w:val="24"/>
          <w:szCs w:val="24"/>
        </w:rPr>
        <w:fldChar w:fldCharType="separate"/>
      </w:r>
      <w:r w:rsidR="00A3161A" w:rsidRPr="003C6DBD">
        <w:rPr>
          <w:rFonts w:ascii="Times New Roman" w:hAnsi="Times New Roman" w:cs="Times New Roman"/>
          <w:color w:val="0D0D0D" w:themeColor="text1" w:themeTint="F2"/>
          <w:sz w:val="24"/>
          <w:szCs w:val="24"/>
        </w:rPr>
        <w:t>Pries et al. (2016)</w:t>
      </w:r>
      <w:r w:rsidR="00A3161A" w:rsidRPr="003C6DBD">
        <w:rPr>
          <w:rFonts w:ascii="Times New Roman" w:hAnsi="Times New Roman" w:cs="Times New Roman"/>
          <w:color w:val="0D0D0D" w:themeColor="text1" w:themeTint="F2"/>
          <w:sz w:val="24"/>
          <w:szCs w:val="24"/>
        </w:rPr>
        <w:fldChar w:fldCharType="end"/>
      </w:r>
      <w:r w:rsidR="00A3161A" w:rsidRPr="003C6DBD">
        <w:rPr>
          <w:rFonts w:ascii="Times New Roman" w:hAnsi="Times New Roman" w:cs="Times New Roman"/>
          <w:color w:val="0D0D0D" w:themeColor="text1" w:themeTint="F2"/>
          <w:sz w:val="24"/>
          <w:szCs w:val="24"/>
        </w:rPr>
        <w:t xml:space="preserve">. </w:t>
      </w:r>
    </w:p>
    <w:p w14:paraId="6BFCBFCC" w14:textId="0467A43E" w:rsidR="00442A44" w:rsidRPr="003C6DBD" w:rsidRDefault="003F6F35" w:rsidP="00442A44">
      <w:pPr>
        <w:pStyle w:val="Heading3"/>
        <w:spacing w:line="480" w:lineRule="auto"/>
        <w:rPr>
          <w:rFonts w:cs="Times New Roman"/>
          <w:color w:val="0D0D0D" w:themeColor="text1" w:themeTint="F2"/>
          <w:szCs w:val="24"/>
        </w:rPr>
      </w:pPr>
      <w:bookmarkStart w:id="15" w:name="_Toc132761833"/>
      <w:r w:rsidRPr="003C6DBD">
        <w:rPr>
          <w:rFonts w:cs="Times New Roman"/>
          <w:color w:val="0D0D0D" w:themeColor="text1" w:themeTint="F2"/>
          <w:szCs w:val="24"/>
        </w:rPr>
        <w:t>2.</w:t>
      </w:r>
      <w:r w:rsidR="00EC5F87" w:rsidRPr="003C6DBD">
        <w:rPr>
          <w:rFonts w:cs="Times New Roman"/>
          <w:color w:val="0D0D0D" w:themeColor="text1" w:themeTint="F2"/>
          <w:szCs w:val="24"/>
        </w:rPr>
        <w:t>2</w:t>
      </w:r>
      <w:r w:rsidRPr="003C6DBD">
        <w:rPr>
          <w:rFonts w:cs="Times New Roman"/>
          <w:color w:val="0D0D0D" w:themeColor="text1" w:themeTint="F2"/>
          <w:szCs w:val="24"/>
        </w:rPr>
        <w:t xml:space="preserve"> </w:t>
      </w:r>
      <w:r w:rsidR="00EC5F87" w:rsidRPr="003C6DBD">
        <w:rPr>
          <w:rFonts w:cs="Times New Roman"/>
          <w:color w:val="0D0D0D" w:themeColor="text1" w:themeTint="F2"/>
          <w:szCs w:val="24"/>
        </w:rPr>
        <w:t xml:space="preserve">Literature Review for </w:t>
      </w:r>
      <w:r w:rsidRPr="003C6DBD">
        <w:rPr>
          <w:rFonts w:cs="Times New Roman"/>
          <w:color w:val="0D0D0D" w:themeColor="text1" w:themeTint="F2"/>
          <w:szCs w:val="24"/>
        </w:rPr>
        <w:t>Financial Analysis</w:t>
      </w:r>
      <w:bookmarkEnd w:id="15"/>
    </w:p>
    <w:p w14:paraId="3B7A6D22" w14:textId="3209D67E" w:rsidR="00725D89" w:rsidRPr="003C6DBD" w:rsidRDefault="00442A44" w:rsidP="00761DCB">
      <w:pPr>
        <w:pStyle w:val="BodyTextIndent3"/>
        <w:rPr>
          <w:color w:val="0D0D0D" w:themeColor="text1" w:themeTint="F2"/>
        </w:rPr>
      </w:pPr>
      <w:r w:rsidRPr="003C6DBD">
        <w:rPr>
          <w:color w:val="0D0D0D" w:themeColor="text1" w:themeTint="F2"/>
        </w:rPr>
        <w:t xml:space="preserve">It is crucial </w:t>
      </w:r>
      <w:r w:rsidR="00761DCB" w:rsidRPr="003C6DBD">
        <w:rPr>
          <w:color w:val="0D0D0D" w:themeColor="text1" w:themeTint="F2"/>
        </w:rPr>
        <w:t>for</w:t>
      </w:r>
      <w:r w:rsidRPr="003C6DBD">
        <w:rPr>
          <w:color w:val="0D0D0D" w:themeColor="text1" w:themeTint="F2"/>
        </w:rPr>
        <w:t xml:space="preserve"> </w:t>
      </w:r>
      <w:r w:rsidR="00761DCB" w:rsidRPr="003C6DBD">
        <w:rPr>
          <w:color w:val="0D0D0D" w:themeColor="text1" w:themeTint="F2"/>
        </w:rPr>
        <w:t xml:space="preserve">firm stakeholders to understand the past, assess the </w:t>
      </w:r>
      <w:r w:rsidR="007D259D" w:rsidRPr="003C6DBD">
        <w:rPr>
          <w:color w:val="0D0D0D" w:themeColor="text1" w:themeTint="F2"/>
        </w:rPr>
        <w:t xml:space="preserve">current </w:t>
      </w:r>
      <w:r w:rsidR="00761DCB" w:rsidRPr="003C6DBD">
        <w:rPr>
          <w:color w:val="0D0D0D" w:themeColor="text1" w:themeTint="F2"/>
        </w:rPr>
        <w:t xml:space="preserve">situation, and forecast the future </w:t>
      </w:r>
      <w:r w:rsidR="007D259D" w:rsidRPr="003C6DBD">
        <w:rPr>
          <w:color w:val="0D0D0D" w:themeColor="text1" w:themeTint="F2"/>
        </w:rPr>
        <w:t>of</w:t>
      </w:r>
      <w:r w:rsidR="00761DCB" w:rsidRPr="003C6DBD">
        <w:rPr>
          <w:color w:val="0D0D0D" w:themeColor="text1" w:themeTint="F2"/>
        </w:rPr>
        <w:t xml:space="preserve"> the firm </w:t>
      </w:r>
      <w:r w:rsidR="00065EE1" w:rsidRPr="003C6DBD">
        <w:rPr>
          <w:color w:val="0D0D0D" w:themeColor="text1" w:themeTint="F2"/>
        </w:rPr>
        <w:t>financial performance</w:t>
      </w:r>
      <w:r w:rsidR="00761DCB" w:rsidRPr="003C6DBD">
        <w:rPr>
          <w:color w:val="0D0D0D" w:themeColor="text1" w:themeTint="F2"/>
        </w:rPr>
        <w:t xml:space="preserve">. </w:t>
      </w:r>
      <w:r w:rsidR="00725D89" w:rsidRPr="003C6DBD">
        <w:rPr>
          <w:color w:val="0D0D0D" w:themeColor="text1" w:themeTint="F2"/>
        </w:rPr>
        <w:t xml:space="preserve">Financial analysis is a process of studying financial statements to assess and evaluate the performance and suitability of business, projects, or finance-related transactions and enable decision-makers to make sound decisions. There have been very few studies in the past related to the financial analysis of the </w:t>
      </w:r>
      <w:r w:rsidR="00761DCB" w:rsidRPr="003C6DBD">
        <w:rPr>
          <w:color w:val="0D0D0D" w:themeColor="text1" w:themeTint="F2"/>
        </w:rPr>
        <w:t xml:space="preserve">biofuel or related </w:t>
      </w:r>
      <w:r w:rsidR="00725D89" w:rsidRPr="003C6DBD">
        <w:rPr>
          <w:color w:val="0D0D0D" w:themeColor="text1" w:themeTint="F2"/>
        </w:rPr>
        <w:t>industry</w:t>
      </w:r>
      <w:r w:rsidR="007D259D" w:rsidRPr="003C6DBD">
        <w:rPr>
          <w:color w:val="0D0D0D" w:themeColor="text1" w:themeTint="F2"/>
        </w:rPr>
        <w:t xml:space="preserve"> </w:t>
      </w:r>
      <w:r w:rsidR="00761DCB" w:rsidRPr="003C6DBD">
        <w:rPr>
          <w:color w:val="0D0D0D" w:themeColor="text1" w:themeTint="F2"/>
        </w:rPr>
        <w:fldChar w:fldCharType="begin"/>
      </w:r>
      <w:r w:rsidR="00761DCB" w:rsidRPr="003C6DBD">
        <w:rPr>
          <w:color w:val="0D0D0D" w:themeColor="text1" w:themeTint="F2"/>
        </w:rPr>
        <w:instrText xml:space="preserve"> ADDIN ZOTERO_ITEM CSL_CITATION {"citationID":"3uwUTytw","properties":{"formattedCitation":"(Barbosa et al., 2022; Hidayatno et al., 2012; Khanal et al., 2014; Rezec &amp; Scholtens, 2017; Santis et al., 2016)","plainCitation":"(Barbosa et al., 2022; Hidayatno et al., 2012; Khanal et al., 2014; Rezec &amp; Scholtens, 2017; Santis et al., 2016)","noteIndex":0},"citationItems":[{"id":581,"uris":["http://zotero.org/users/8949154/items/8SV6E2X3"],"itemData":{"id":581,"type":"article-journal","container-title":"Biomass and Bioenergy","note":"publisher: Elsevier","page":"106368","source":"Google Scholar","title":"Sugarcane ethanol companies in Brazil: Growth challenges and strategy perspectives using Delphi and SWOT-AHP methods","title-short":"Sugarcane ethanol companies in Brazil","volume":"158","author":[{"family":"Barbosa","given":"Paula Isabel"},{"family":"Szklo","given":"Alexandre"},{"family":"Gurgel","given":"Angelo"}],"issued":{"date-parts":[["2022"]]}}},{"id":500,"uris":["http://zotero.org/users/8949154/items/6QXE8IGN"],"itemData":{"id":500,"type":"article-journal","container-title":"International Journal of Industrial and Systems Engineering","issue":"1","note":"publisher: Inderscience Publishers","page":"29–41","source":"Google Scholar","title":"Financial analysis of integrated biodiesel industry in Indonesia","volume":"12","author":[{"family":"Hidayatno","given":"Akhmad"},{"family":"Zagloel","given":"Yuri M."},{"family":"Purwanto","given":"Widodo W."},{"family":"Sutrisno","given":"Aziiz"}],"issued":{"date-parts":[["2012"]]}}},{"id":33,"uris":["http://zotero.org/users/8949154/items/CKBLEYYA"],"itemData":{"id":33,"type":"article-journal","abstract":"Corporate restructuring activities in the form of mergers and acquisitions (M&amp;As) are ongoing in the U.S. ethanol-based biofuel industry. With regard to M&amp;As, a widespread concern is about financial performance of an individual firm and stable financial performance of the overall industry. Using an event analysis method, this study explores the impact of recent M&amp;As on stock prices and value of the firm of publicly traded ethanol-based biofuel industry between 2010 and 2012 in the United States. Results regarding the average cumulative abnormal returns of acquiring firms suggest that the market positively responded toward recent M&amp;As in the industry. Around 4% positive growth on a 60-day event window was attributed to M&amp;As using market-adjusted market portfolio. A significant positive 0.47% gain in cumulative returns in a 4-day event window and a 2.7% positive gain in a 10-day event window were suggested by this study.","container-title":"Biomass and Bioenergy","DOI":"10.1016/j.biombioe.2013.12.004","ISSN":"0961-9534","journalAbbreviation":"Biomass and Bioenergy","language":"en","page":"138-145","source":"ScienceDirect","title":"Impact of mergers and acquisitions on stock prices: The U.S. ethanol-based biofuel industry","title-short":"Impact of mergers and acquisitions on stock prices","volume":"61","author":[{"family":"Khanal","given":"Aditya R."},{"family":"Mishra","given":"Ashok K."},{"family":"Mottaleb","given":"Kh. A."}],"issued":{"date-parts":[["2014",2,1]]}}},{"id":578,"uris":["http://zotero.org/users/8949154/items/2N2J7LGP"],"itemData":{"id":578,"type":"article-journal","container-title":"International Journal of Green Energy","issue":"4","note":"publisher: Taylor &amp; Francis","page":"368–378","source":"Google Scholar","title":"Financing energy transformation: The role of renewable energy equity indices","title-short":"Financing energy transformation","volume":"14","author":[{"family":"Rezec","given":"Michael"},{"family":"Scholtens","given":"Bert"}],"issued":{"date-parts":[["2017"]]}}},{"id":576,"uris":["http://zotero.org/users/8949154/items/EN2RE4VK"],"itemData":{"id":576,"type":"article-journal","container-title":"Journal of Cleaner Production","note":"publisher: Elsevier","page":"735–745","source":"Google Scholar","title":"Do sustainable companies have a better financial performance? A study on Brazilian public companies","title-short":"Do sustainable companies have a better financial performance?","volume":"133","author":[{"family":"Santis","given":"Paula"},{"family":"Albuquerque","given":"Andrei"},{"family":"Lizarelli","given":"Fabiane"}],"issued":{"date-parts":[["2016"]]}}}],"schema":"https://github.com/citation-style-language/schema/raw/master/csl-citation.json"} </w:instrText>
      </w:r>
      <w:r w:rsidR="00761DCB" w:rsidRPr="003C6DBD">
        <w:rPr>
          <w:color w:val="0D0D0D" w:themeColor="text1" w:themeTint="F2"/>
        </w:rPr>
        <w:fldChar w:fldCharType="separate"/>
      </w:r>
      <w:r w:rsidR="00761DCB" w:rsidRPr="003C6DBD">
        <w:rPr>
          <w:color w:val="0D0D0D" w:themeColor="text1" w:themeTint="F2"/>
        </w:rPr>
        <w:t>(Barbosa et al., 2022; Hidayatno et al., 2012; Khanal et al., 2014; Rezec &amp; Scholtens, 2017; Santis et al., 2016)</w:t>
      </w:r>
      <w:r w:rsidR="00761DCB" w:rsidRPr="003C6DBD">
        <w:rPr>
          <w:color w:val="0D0D0D" w:themeColor="text1" w:themeTint="F2"/>
        </w:rPr>
        <w:fldChar w:fldCharType="end"/>
      </w:r>
      <w:r w:rsidR="00725D89" w:rsidRPr="003C6DBD">
        <w:rPr>
          <w:color w:val="0D0D0D" w:themeColor="text1" w:themeTint="F2"/>
        </w:rPr>
        <w:t xml:space="preserve">. </w:t>
      </w:r>
      <w:r w:rsidR="00761DCB" w:rsidRPr="003C6DBD">
        <w:rPr>
          <w:color w:val="0D0D0D" w:themeColor="text1" w:themeTint="F2"/>
        </w:rPr>
        <w:t xml:space="preserve">In this section, we review studies relevant to our study about financial analysis of the biofuel industry and closely related industry like renewable energy. </w:t>
      </w:r>
      <w:r w:rsidR="00725D89" w:rsidRPr="003C6DBD">
        <w:rPr>
          <w:color w:val="0D0D0D" w:themeColor="text1" w:themeTint="F2"/>
        </w:rPr>
        <w:t>We attempt to conduct a financial analysis of publicly</w:t>
      </w:r>
      <w:r w:rsidR="00A00F5C" w:rsidRPr="003C6DBD">
        <w:rPr>
          <w:color w:val="0D0D0D" w:themeColor="text1" w:themeTint="F2"/>
        </w:rPr>
        <w:t xml:space="preserve"> </w:t>
      </w:r>
      <w:r w:rsidR="00725D89" w:rsidRPr="003C6DBD">
        <w:rPr>
          <w:color w:val="0D0D0D" w:themeColor="text1" w:themeTint="F2"/>
        </w:rPr>
        <w:t>traded biofuel firms</w:t>
      </w:r>
      <w:r w:rsidR="0030601A" w:rsidRPr="003C6DBD">
        <w:rPr>
          <w:color w:val="0D0D0D" w:themeColor="text1" w:themeTint="F2"/>
        </w:rPr>
        <w:t xml:space="preserve"> to contribute </w:t>
      </w:r>
      <w:r w:rsidR="002B5885" w:rsidRPr="003C6DBD">
        <w:rPr>
          <w:color w:val="0D0D0D" w:themeColor="text1" w:themeTint="F2"/>
        </w:rPr>
        <w:t xml:space="preserve">to </w:t>
      </w:r>
      <w:r w:rsidR="0030601A" w:rsidRPr="003C6DBD">
        <w:rPr>
          <w:color w:val="0D0D0D" w:themeColor="text1" w:themeTint="F2"/>
        </w:rPr>
        <w:t>the literature of biofuel finance</w:t>
      </w:r>
      <w:r w:rsidR="00725D89" w:rsidRPr="003C6DBD">
        <w:rPr>
          <w:color w:val="0D0D0D" w:themeColor="text1" w:themeTint="F2"/>
        </w:rPr>
        <w:t>.</w:t>
      </w:r>
    </w:p>
    <w:p w14:paraId="4147DF86" w14:textId="77777777" w:rsidR="007514BC" w:rsidRPr="003C6DBD" w:rsidRDefault="007514BC" w:rsidP="007514BC">
      <w:pPr>
        <w:pStyle w:val="Heading4"/>
        <w:rPr>
          <w:color w:val="0D0D0D" w:themeColor="text1" w:themeTint="F2"/>
        </w:rPr>
      </w:pPr>
      <w:r w:rsidRPr="003C6DBD">
        <w:rPr>
          <w:color w:val="0D0D0D" w:themeColor="text1" w:themeTint="F2"/>
        </w:rPr>
        <w:t>2.2.1 Financial Analysis of Publicly Traded Biofuel Firms or Closely Related Firms</w:t>
      </w:r>
    </w:p>
    <w:p w14:paraId="7D56FAF5" w14:textId="0B42F1E3" w:rsidR="007514BC" w:rsidRPr="003C6DBD" w:rsidRDefault="007514BC" w:rsidP="007514BC">
      <w:pPr>
        <w:pStyle w:val="BodyTextIndent"/>
        <w:ind w:firstLine="720"/>
        <w:rPr>
          <w:color w:val="0D0D0D" w:themeColor="text1" w:themeTint="F2"/>
        </w:rPr>
      </w:pPr>
      <w:r w:rsidRPr="003C6DBD">
        <w:rPr>
          <w:color w:val="0D0D0D" w:themeColor="text1" w:themeTint="F2"/>
        </w:rPr>
        <w:t xml:space="preserve">A study by </w:t>
      </w:r>
      <w:r w:rsidRPr="003C6DBD">
        <w:rPr>
          <w:color w:val="0D0D0D" w:themeColor="text1" w:themeTint="F2"/>
        </w:rPr>
        <w:fldChar w:fldCharType="begin"/>
      </w:r>
      <w:r w:rsidRPr="003C6DBD">
        <w:rPr>
          <w:color w:val="0D0D0D" w:themeColor="text1" w:themeTint="F2"/>
        </w:rPr>
        <w:instrText xml:space="preserve"> ADDIN ZOTERO_ITEM CSL_CITATION {"citationID":"PfhHUXeA","properties":{"custom":"Bacho &amp; Murova (2017)","formattedCitation":"Bacho &amp; Murova (2017)","plainCitation":"Bacho &amp; Murova (2017)","noteIndex":0},"citationItems":[{"id":797,"uris":["http://zotero.org/users/8949154/items/EU24IEZQ"],"itemData":{"id":797,"type":"report","source":"Google Scholar","title":"Financial Performance Analysis of Corn-based Ethanol Enterprises in the 1 US","author":[{"family":"Bacho","given":"Allan"},{"family":"Murova","given":"Olga"}],"issued":{"date-parts":[["2017"]]}}}],"schema":"https://github.com/citation-style-language/schema/raw/master/csl-citation.json"} </w:instrText>
      </w:r>
      <w:r w:rsidRPr="003C6DBD">
        <w:rPr>
          <w:color w:val="0D0D0D" w:themeColor="text1" w:themeTint="F2"/>
        </w:rPr>
        <w:fldChar w:fldCharType="separate"/>
      </w:r>
      <w:r w:rsidRPr="003C6DBD">
        <w:rPr>
          <w:color w:val="0D0D0D" w:themeColor="text1" w:themeTint="F2"/>
        </w:rPr>
        <w:t>Bacho &amp; Murova (2017)</w:t>
      </w:r>
      <w:r w:rsidRPr="003C6DBD">
        <w:rPr>
          <w:color w:val="0D0D0D" w:themeColor="text1" w:themeTint="F2"/>
        </w:rPr>
        <w:fldChar w:fldCharType="end"/>
      </w:r>
      <w:r w:rsidRPr="003C6DBD">
        <w:rPr>
          <w:color w:val="0D0D0D" w:themeColor="text1" w:themeTint="F2"/>
        </w:rPr>
        <w:t xml:space="preserve"> examined the financial performance of 12 corn based ethanol companies in the US from 2009-2014. The </w:t>
      </w:r>
      <w:r w:rsidR="00751E11" w:rsidRPr="003C6DBD">
        <w:rPr>
          <w:color w:val="0D0D0D" w:themeColor="text1" w:themeTint="F2"/>
        </w:rPr>
        <w:t xml:space="preserve">authors </w:t>
      </w:r>
      <w:r w:rsidRPr="003C6DBD">
        <w:rPr>
          <w:color w:val="0D0D0D" w:themeColor="text1" w:themeTint="F2"/>
        </w:rPr>
        <w:t xml:space="preserve">used data from annual financial reports of the companies to calculate financial ratios </w:t>
      </w:r>
      <w:r w:rsidR="00751E11" w:rsidRPr="003C6DBD">
        <w:rPr>
          <w:color w:val="0D0D0D" w:themeColor="text1" w:themeTint="F2"/>
        </w:rPr>
        <w:t>related to</w:t>
      </w:r>
      <w:r w:rsidRPr="003C6DBD">
        <w:rPr>
          <w:color w:val="0D0D0D" w:themeColor="text1" w:themeTint="F2"/>
        </w:rPr>
        <w:t xml:space="preserve"> profitability, asset turnover, leverage, liquidity and </w:t>
      </w:r>
      <w:r w:rsidR="00751E11" w:rsidRPr="003C6DBD">
        <w:rPr>
          <w:color w:val="0D0D0D" w:themeColor="text1" w:themeTint="F2"/>
        </w:rPr>
        <w:t xml:space="preserve">the </w:t>
      </w:r>
      <w:r w:rsidRPr="003C6DBD">
        <w:rPr>
          <w:color w:val="0D0D0D" w:themeColor="text1" w:themeTint="F2"/>
        </w:rPr>
        <w:t xml:space="preserve">operating margin. The </w:t>
      </w:r>
      <w:r w:rsidR="00751E11" w:rsidRPr="003C6DBD">
        <w:rPr>
          <w:color w:val="0D0D0D" w:themeColor="text1" w:themeTint="F2"/>
        </w:rPr>
        <w:t xml:space="preserve">authors </w:t>
      </w:r>
      <w:r w:rsidRPr="003C6DBD">
        <w:rPr>
          <w:color w:val="0D0D0D" w:themeColor="text1" w:themeTint="F2"/>
        </w:rPr>
        <w:t xml:space="preserve">compared the financial performance of </w:t>
      </w:r>
      <w:r w:rsidRPr="003C6DBD">
        <w:rPr>
          <w:color w:val="0D0D0D" w:themeColor="text1" w:themeTint="F2"/>
        </w:rPr>
        <w:lastRenderedPageBreak/>
        <w:t>small (50 MGY</w:t>
      </w:r>
      <w:r w:rsidRPr="003C6DBD">
        <w:rPr>
          <w:rStyle w:val="FootnoteReference"/>
          <w:color w:val="0D0D0D" w:themeColor="text1" w:themeTint="F2"/>
        </w:rPr>
        <w:footnoteReference w:id="1"/>
      </w:r>
      <w:r w:rsidRPr="003C6DBD">
        <w:rPr>
          <w:color w:val="0D0D0D" w:themeColor="text1" w:themeTint="F2"/>
        </w:rPr>
        <w:t xml:space="preserve">) and large (100 MGY) ethanol </w:t>
      </w:r>
      <w:r w:rsidR="00FC3F71" w:rsidRPr="003C6DBD">
        <w:rPr>
          <w:color w:val="0D0D0D" w:themeColor="text1" w:themeTint="F2"/>
        </w:rPr>
        <w:t>enterprises</w:t>
      </w:r>
      <w:r w:rsidRPr="003C6DBD">
        <w:rPr>
          <w:color w:val="0D0D0D" w:themeColor="text1" w:themeTint="F2"/>
        </w:rPr>
        <w:t xml:space="preserve">. The results revealed </w:t>
      </w:r>
      <w:r w:rsidR="00FC3F71" w:rsidRPr="003C6DBD">
        <w:rPr>
          <w:color w:val="0D0D0D" w:themeColor="text1" w:themeTint="F2"/>
        </w:rPr>
        <w:t xml:space="preserve">large ethanol </w:t>
      </w:r>
      <w:r w:rsidRPr="003C6DBD">
        <w:rPr>
          <w:color w:val="0D0D0D" w:themeColor="text1" w:themeTint="F2"/>
        </w:rPr>
        <w:t xml:space="preserve">enterprises are more profitable, have higher leverage, and higher operating margin compared to small ethanol enterprise. However, asset turnover and liquidity ratio were found to be comparable for small and large ethanol enterprises. The </w:t>
      </w:r>
      <w:r w:rsidR="00FC3F71" w:rsidRPr="003C6DBD">
        <w:rPr>
          <w:color w:val="0D0D0D" w:themeColor="text1" w:themeTint="F2"/>
        </w:rPr>
        <w:t xml:space="preserve">study </w:t>
      </w:r>
      <w:r w:rsidRPr="003C6DBD">
        <w:rPr>
          <w:color w:val="0D0D0D" w:themeColor="text1" w:themeTint="F2"/>
        </w:rPr>
        <w:t xml:space="preserve">also explored the factors affecting the profitability of the ethanol companies and found </w:t>
      </w:r>
      <w:r w:rsidR="00FC3F71" w:rsidRPr="003C6DBD">
        <w:rPr>
          <w:color w:val="0D0D0D" w:themeColor="text1" w:themeTint="F2"/>
        </w:rPr>
        <w:t xml:space="preserve">that </w:t>
      </w:r>
      <w:r w:rsidRPr="003C6DBD">
        <w:rPr>
          <w:color w:val="0D0D0D" w:themeColor="text1" w:themeTint="F2"/>
        </w:rPr>
        <w:t xml:space="preserve">year of operation, corn price, plant capacity, operating margin ratio, and leverage ratio were statistically significant factors that affect the profitability of the ethanol companies. </w:t>
      </w:r>
      <w:r w:rsidR="00A360E0" w:rsidRPr="003C6DBD">
        <w:rPr>
          <w:color w:val="0D0D0D" w:themeColor="text1" w:themeTint="F2"/>
        </w:rPr>
        <w:t>O</w:t>
      </w:r>
      <w:r w:rsidRPr="003C6DBD">
        <w:rPr>
          <w:color w:val="0D0D0D" w:themeColor="text1" w:themeTint="F2"/>
        </w:rPr>
        <w:t xml:space="preserve">verall, the </w:t>
      </w:r>
      <w:r w:rsidR="00A360E0" w:rsidRPr="003C6DBD">
        <w:rPr>
          <w:color w:val="0D0D0D" w:themeColor="text1" w:themeTint="F2"/>
        </w:rPr>
        <w:t xml:space="preserve">results </w:t>
      </w:r>
      <w:r w:rsidRPr="003C6DBD">
        <w:rPr>
          <w:color w:val="0D0D0D" w:themeColor="text1" w:themeTint="F2"/>
        </w:rPr>
        <w:t>of the study suggest that ethanol firms are gradually moving into the direction of positive returns of investment.</w:t>
      </w:r>
    </w:p>
    <w:p w14:paraId="0CE67CB2" w14:textId="261CE9E2" w:rsidR="007514BC" w:rsidRPr="003C6DBD" w:rsidRDefault="007514BC" w:rsidP="007514BC">
      <w:pPr>
        <w:pStyle w:val="BodyTextIndent"/>
        <w:ind w:firstLine="720"/>
        <w:rPr>
          <w:color w:val="0D0D0D" w:themeColor="text1" w:themeTint="F2"/>
        </w:rPr>
      </w:pPr>
      <w:r w:rsidRPr="003C6DBD">
        <w:rPr>
          <w:color w:val="0D0D0D" w:themeColor="text1" w:themeTint="F2"/>
        </w:rPr>
        <w:t xml:space="preserve">Biofuel firms have made efforts like mergers and acquisitions (M&amp;As) to scale up and perform well in a highly competitive fuels market. </w:t>
      </w:r>
      <w:r w:rsidRPr="003C6DBD">
        <w:rPr>
          <w:color w:val="0D0D0D" w:themeColor="text1" w:themeTint="F2"/>
        </w:rPr>
        <w:fldChar w:fldCharType="begin"/>
      </w:r>
      <w:r w:rsidRPr="003C6DBD">
        <w:rPr>
          <w:color w:val="0D0D0D" w:themeColor="text1" w:themeTint="F2"/>
        </w:rPr>
        <w:instrText xml:space="preserve"> ADDIN ZOTERO_ITEM CSL_CITATION {"citationID":"5PI3h0NB","properties":{"custom":"Khanal et al. (2014)","formattedCitation":"Khanal et al. (2014)","plainCitation":"Khanal et al. (2014)","noteIndex":0},"citationItems":[{"id":33,"uris":["http://zotero.org/users/8949154/items/CKBLEYYA"],"itemData":{"id":33,"type":"article-journal","abstract":"Corporate restructuring activities in the form of mergers and acquisitions (M&amp;As) are ongoing in the U.S. ethanol-based biofuel industry. With regard to M&amp;As, a widespread concern is about financial performance of an individual firm and stable financial performance of the overall industry. Using an event analysis method, this study explores the impact of recent M&amp;As on stock prices and value of the firm of publicly traded ethanol-based biofuel industry between 2010 and 2012 in the United States. Results regarding the average cumulative abnormal returns of acquiring firms suggest that the market positively responded toward recent M&amp;As in the industry. Around 4% positive growth on a 60-day event window was attributed to M&amp;As using market-adjusted market portfolio. A significant positive 0.47% gain in cumulative returns in a 4-day event window and a 2.7% positive gain in a 10-day event window were suggested by this study.","container-title":"Biomass and Bioenergy","DOI":"10.1016/j.biombioe.2013.12.004","ISSN":"0961-9534","journalAbbreviation":"Biomass and Bioenergy","language":"en","page":"138-145","source":"ScienceDirect","title":"Impact of mergers and acquisitions on stock prices: The U.S. ethanol-based biofuel industry","title-short":"Impact of mergers and acquisitions on stock prices","volume":"61","author":[{"family":"Khanal","given":"Aditya R."},{"family":"Mishra","given":"Ashok K."},{"family":"Mottaleb","given":"Kh. A."}],"issued":{"date-parts":[["2014",2,1]]}}}],"schema":"https://github.com/citation-style-language/schema/raw/master/csl-citation.json"} </w:instrText>
      </w:r>
      <w:r w:rsidRPr="003C6DBD">
        <w:rPr>
          <w:color w:val="0D0D0D" w:themeColor="text1" w:themeTint="F2"/>
        </w:rPr>
        <w:fldChar w:fldCharType="separate"/>
      </w:r>
      <w:r w:rsidRPr="003C6DBD">
        <w:rPr>
          <w:color w:val="0D0D0D" w:themeColor="text1" w:themeTint="F2"/>
        </w:rPr>
        <w:t>Khanal et al. (2014)</w:t>
      </w:r>
      <w:r w:rsidRPr="003C6DBD">
        <w:rPr>
          <w:color w:val="0D0D0D" w:themeColor="text1" w:themeTint="F2"/>
        </w:rPr>
        <w:fldChar w:fldCharType="end"/>
      </w:r>
      <w:r w:rsidRPr="003C6DBD">
        <w:rPr>
          <w:color w:val="0D0D0D" w:themeColor="text1" w:themeTint="F2"/>
        </w:rPr>
        <w:t xml:space="preserve"> analyzed the impact of mergers and acquisitions (M&amp;As) on the stock prices of publicly traded ethanol producing firms from 2010 to 2012 using an event analysis method in the US. M&amp;As were attributed as an attempt by ethanol firms to capture the economies of scale and sustain in the adverse environment of the biofuel business. The results revealed that the market responded positively to the M&amp;As. Biofuel firms can therefore improve their long run prospects by employing proper strategies and planning. A study by </w:t>
      </w:r>
      <w:r w:rsidRPr="003C6DBD">
        <w:rPr>
          <w:color w:val="0D0D0D" w:themeColor="text1" w:themeTint="F2"/>
        </w:rPr>
        <w:fldChar w:fldCharType="begin"/>
      </w:r>
      <w:r w:rsidRPr="003C6DBD">
        <w:rPr>
          <w:color w:val="0D0D0D" w:themeColor="text1" w:themeTint="F2"/>
        </w:rPr>
        <w:instrText xml:space="preserve"> ADDIN ZOTERO_ITEM CSL_CITATION {"citationID":"h2Yvhe2V","properties":{"custom":"Rezec &amp; Scholtens (2017)","formattedCitation":"Rezec &amp; Scholtens (2017)","plainCitation":"Rezec &amp; Scholtens (2017)","noteIndex":0},"citationItems":[{"id":578,"uris":["http://zotero.org/users/8949154/items/2N2J7LGP"],"itemData":{"id":578,"type":"article-journal","container-title":"International Journal of Green Energy","issue":"4","note":"publisher: Taylor &amp; Francis","page":"368–378","source":"Google Scholar","title":"Financing energy transformation: The role of renewable energy equity indices","title-short":"Financing energy transformation","volume":"14","author":[{"family":"Rezec","given":"Michael"},{"family":"Scholtens","given":"Bert"}],"issued":{"date-parts":[["2017"]]}}}],"schema":"https://github.com/citation-style-language/schema/raw/master/csl-citation.json"} </w:instrText>
      </w:r>
      <w:r w:rsidRPr="003C6DBD">
        <w:rPr>
          <w:color w:val="0D0D0D" w:themeColor="text1" w:themeTint="F2"/>
        </w:rPr>
        <w:fldChar w:fldCharType="separate"/>
      </w:r>
      <w:r w:rsidRPr="003C6DBD">
        <w:rPr>
          <w:color w:val="0D0D0D" w:themeColor="text1" w:themeTint="F2"/>
        </w:rPr>
        <w:t>Rezec &amp; Scholtens (2017)</w:t>
      </w:r>
      <w:r w:rsidRPr="003C6DBD">
        <w:rPr>
          <w:color w:val="0D0D0D" w:themeColor="text1" w:themeTint="F2"/>
        </w:rPr>
        <w:fldChar w:fldCharType="end"/>
      </w:r>
      <w:r w:rsidRPr="003C6DBD">
        <w:rPr>
          <w:color w:val="0D0D0D" w:themeColor="text1" w:themeTint="F2"/>
        </w:rPr>
        <w:t xml:space="preserve"> compared the performance of equity indices that try to capture renewable energy investments to the conventional benchmark indices. The </w:t>
      </w:r>
      <w:r w:rsidR="0056325F" w:rsidRPr="003C6DBD">
        <w:rPr>
          <w:color w:val="0D0D0D" w:themeColor="text1" w:themeTint="F2"/>
        </w:rPr>
        <w:t xml:space="preserve">authors </w:t>
      </w:r>
      <w:r w:rsidRPr="003C6DBD">
        <w:rPr>
          <w:color w:val="0D0D0D" w:themeColor="text1" w:themeTint="F2"/>
        </w:rPr>
        <w:t xml:space="preserve">used excess returns, standard deviations, and risk-adjusted Sharpe ratios to compare the performance. The results revealed that most of the renewable energy equity indices underperform their benchmarks and possessed significantly higher risk compared to the benchmarks. Thus, investing in equity indices of renewable energy was found to be unattractive from a financial perspective. </w:t>
      </w:r>
    </w:p>
    <w:p w14:paraId="014A7D87" w14:textId="130BF090" w:rsidR="007514BC" w:rsidRPr="003C6DBD" w:rsidRDefault="007514BC" w:rsidP="007514BC">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lastRenderedPageBreak/>
        <w:t xml:space="preserve"> Biofuels are promoted as a driver of sustainability because it reduces GHG emission and is a potential alternative to fossil fuels. A study by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{"citationID":"ScQkupO2","properties":{"custom":"Santis et al. (2016)","formattedCitation":"Santis et al. (2016)","plainCitation":"Santis et al. (2016)","noteIndex":0},"citationItems":[{"id":576,"uris":["http://zotero.org/users/8949154/items/EN2RE4VK"],"itemData":{"id":576,"type":"article-journal","container-title":"Journal of Cleaner Production","note":"publisher: Elsevier","page":"735–745","source":"Google Scholar","title":"Do sustainable companies have a better financial performance? A study on Brazilian public companies","title-short":"Do sustainable companies have a better financial performance?","volume":"133","author":[{"family":"Santis","given":"Paula"},{"family":"Albuquerque","given":"Andrei"},{"family":"Lizarelli","given":"Fabiane"}],"issued":{"date-parts":[["2016"]]}}}],"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Santis et al. (2016)</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examined the financial performance, in terms of profitability, and liquidity ratios of the companies listed in the Corporate Sustainability Index (ISE) portfolio in comparison with the companies listed in the Sao Paulo Stock Exchange Index. The ISE index comprises companies committed to corporate sustainability and the Sao Paulo Stock Exchange index is representative of the Brazilian stock market. The profitability ratios used in the study were</w:t>
      </w:r>
      <w:r w:rsidR="0056325F"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t>return on assets, return on equity, and return on investment. Similarly, the liquidity ratios used in the study were rapid liquidity, current liquidity, quick liquidity, and general liquidity. The data were subject to normality test using Kolmogorov-Smirnov test to assess the possibility of using parametric tests for statistical analysis. The data were not normally distributed suggesting the use of non-parametric tests, specifically the Kruskal-Wallis test, the median test, and Mann-Whitney U test. The results based on non-parametric analysis suggested that the groups of companies had a similar financial performance.</w:t>
      </w:r>
    </w:p>
    <w:p w14:paraId="21BE54C0" w14:textId="77777777" w:rsidR="007514BC" w:rsidRPr="003C6DBD" w:rsidRDefault="007514BC" w:rsidP="007514BC">
      <w:pPr>
        <w:pStyle w:val="Heading4"/>
        <w:rPr>
          <w:color w:val="0D0D0D" w:themeColor="text1" w:themeTint="F2"/>
        </w:rPr>
      </w:pPr>
      <w:r w:rsidRPr="003C6DBD">
        <w:rPr>
          <w:color w:val="0D0D0D" w:themeColor="text1" w:themeTint="F2"/>
        </w:rPr>
        <w:t>2.2.2 Agribusinesses and Biofuels</w:t>
      </w:r>
    </w:p>
    <w:p w14:paraId="1DC5FFC7" w14:textId="3F1B2F8D" w:rsidR="007514BC" w:rsidRPr="003C6DBD" w:rsidRDefault="007514BC" w:rsidP="007514BC">
      <w:pPr>
        <w:pStyle w:val="BodyTextIndent"/>
        <w:ind w:firstLine="720"/>
        <w:rPr>
          <w:color w:val="0D0D0D" w:themeColor="text1" w:themeTint="F2"/>
        </w:rPr>
      </w:pPr>
      <w:r w:rsidRPr="003C6DBD">
        <w:rPr>
          <w:color w:val="0D0D0D" w:themeColor="text1" w:themeTint="F2"/>
        </w:rPr>
        <w:t xml:space="preserve">The biofuel industry is a relatively immature sector and thus has a higher probability of economic and business fluctuations and unstable financial returns. A financial analysis of the integrated palm based biodiesel industry in Indonesia was conducted using a detailed bottom-up financial model </w:t>
      </w:r>
      <w:r w:rsidRPr="003C6DBD">
        <w:rPr>
          <w:color w:val="0D0D0D" w:themeColor="text1" w:themeTint="F2"/>
        </w:rPr>
        <w:fldChar w:fldCharType="begin"/>
      </w:r>
      <w:r w:rsidRPr="003C6DBD">
        <w:rPr>
          <w:color w:val="0D0D0D" w:themeColor="text1" w:themeTint="F2"/>
        </w:rPr>
        <w:instrText xml:space="preserve"> ADDIN ZOTERO_ITEM CSL_CITATION {"citationID":"ecNJYWCb","properties":{"formattedCitation":"(Hidayatno et al., 2012)","plainCitation":"(Hidayatno et al., 2012)","noteIndex":0},"citationItems":[{"id":500,"uris":["http://zotero.org/users/8949154/items/6QXE8IGN"],"itemData":{"id":500,"type":"article-journal","container-title":"International Journal of Industrial and Systems Engineering","issue":"1","note":"publisher: Inderscience Publishers","page":"29–41","source":"Google Scholar","title":"Financial analysis of integrated biodiesel industry in Indonesia","volume":"12","author":[{"family":"Hidayatno","given":"Akhmad"},{"family":"Zagloel","given":"Yuri M."},{"family":"Purwanto","given":"Widodo W."},{"family":"Sutrisno","given":"Aziiz"}],"issued":{"date-parts":[["2012"]]}}}],"schema":"https://github.com/citation-style-language/schema/raw/master/csl-citation.json"} </w:instrText>
      </w:r>
      <w:r w:rsidRPr="003C6DBD">
        <w:rPr>
          <w:color w:val="0D0D0D" w:themeColor="text1" w:themeTint="F2"/>
        </w:rPr>
        <w:fldChar w:fldCharType="separate"/>
      </w:r>
      <w:r w:rsidRPr="003C6DBD">
        <w:rPr>
          <w:color w:val="0D0D0D" w:themeColor="text1" w:themeTint="F2"/>
        </w:rPr>
        <w:t>(Hidayatno et al., 2012)</w:t>
      </w:r>
      <w:r w:rsidRPr="003C6DBD">
        <w:rPr>
          <w:color w:val="0D0D0D" w:themeColor="text1" w:themeTint="F2"/>
        </w:rPr>
        <w:fldChar w:fldCharType="end"/>
      </w:r>
      <w:r w:rsidRPr="003C6DBD">
        <w:rPr>
          <w:color w:val="0D0D0D" w:themeColor="text1" w:themeTint="F2"/>
        </w:rPr>
        <w:t xml:space="preserve">. The author analyzed the potential of establishing an integrated biodiesel industry, starting from </w:t>
      </w:r>
      <w:r w:rsidR="00E307A5" w:rsidRPr="003C6DBD">
        <w:rPr>
          <w:color w:val="0D0D0D" w:themeColor="text1" w:themeTint="F2"/>
        </w:rPr>
        <w:t xml:space="preserve">the </w:t>
      </w:r>
      <w:r w:rsidRPr="003C6DBD">
        <w:rPr>
          <w:color w:val="0D0D0D" w:themeColor="text1" w:themeTint="F2"/>
        </w:rPr>
        <w:t xml:space="preserve">palm plantation to crude palm oil factory and finally to </w:t>
      </w:r>
      <w:r w:rsidR="00E307A5" w:rsidRPr="003C6DBD">
        <w:rPr>
          <w:color w:val="0D0D0D" w:themeColor="text1" w:themeTint="F2"/>
        </w:rPr>
        <w:t xml:space="preserve">the </w:t>
      </w:r>
      <w:r w:rsidRPr="003C6DBD">
        <w:rPr>
          <w:color w:val="0D0D0D" w:themeColor="text1" w:themeTint="F2"/>
        </w:rPr>
        <w:t xml:space="preserve">biodiesel factory. The study concluded three major aspects of the industry. First, the biodiesel industry is not a profitable and attractive industry without government support like subsidies and incentives in market prices. Second, land productivity for palm and extraction of </w:t>
      </w:r>
      <w:r w:rsidRPr="003C6DBD">
        <w:rPr>
          <w:color w:val="0D0D0D" w:themeColor="text1" w:themeTint="F2"/>
        </w:rPr>
        <w:lastRenderedPageBreak/>
        <w:t xml:space="preserve">palm oil and conversion to biodiesel are two major drivers of the cost in the industry. Third, social and environmental issues are equally important and inseparable along with the financial feasibility of the industry. The authors also suggested that government policies should encourage the establishment of integrated biodiesel industries in economically underperforming areas like non-forest or peatlands </w:t>
      </w:r>
      <w:r w:rsidRPr="003C6DBD">
        <w:rPr>
          <w:color w:val="0D0D0D" w:themeColor="text1" w:themeTint="F2"/>
        </w:rPr>
        <w:fldChar w:fldCharType="begin"/>
      </w:r>
      <w:r w:rsidRPr="003C6DBD">
        <w:rPr>
          <w:color w:val="0D0D0D" w:themeColor="text1" w:themeTint="F2"/>
        </w:rPr>
        <w:instrText xml:space="preserve"> ADDIN ZOTERO_ITEM CSL_CITATION {"citationID":"9TbZHlPP","properties":{"formattedCitation":"(Hidayatno et al., 2012)","plainCitation":"(Hidayatno et al., 2012)","noteIndex":0},"citationItems":[{"id":500,"uris":["http://zotero.org/users/8949154/items/6QXE8IGN"],"itemData":{"id":500,"type":"article-journal","container-title":"International Journal of Industrial and Systems Engineering","issue":"1","note":"publisher: Inderscience Publishers","page":"29–41","source":"Google Scholar","title":"Financial analysis of integrated biodiesel industry in Indonesia","volume":"12","author":[{"family":"Hidayatno","given":"Akhmad"},{"family":"Zagloel","given":"Yuri M."},{"family":"Purwanto","given":"Widodo W."},{"family":"Sutrisno","given":"Aziiz"}],"issued":{"date-parts":[["2012"]]}}}],"schema":"https://github.com/citation-style-language/schema/raw/master/csl-citation.json"} </w:instrText>
      </w:r>
      <w:r w:rsidRPr="003C6DBD">
        <w:rPr>
          <w:color w:val="0D0D0D" w:themeColor="text1" w:themeTint="F2"/>
        </w:rPr>
        <w:fldChar w:fldCharType="separate"/>
      </w:r>
      <w:r w:rsidRPr="003C6DBD">
        <w:rPr>
          <w:color w:val="0D0D0D" w:themeColor="text1" w:themeTint="F2"/>
        </w:rPr>
        <w:t>(Hidayatno et al., 2012)</w:t>
      </w:r>
      <w:r w:rsidRPr="003C6DBD">
        <w:rPr>
          <w:color w:val="0D0D0D" w:themeColor="text1" w:themeTint="F2"/>
        </w:rPr>
        <w:fldChar w:fldCharType="end"/>
      </w:r>
      <w:r w:rsidRPr="003C6DBD">
        <w:rPr>
          <w:color w:val="0D0D0D" w:themeColor="text1" w:themeTint="F2"/>
        </w:rPr>
        <w:t xml:space="preserve">. </w:t>
      </w:r>
    </w:p>
    <w:p w14:paraId="4FF232D9" w14:textId="2F2D9308" w:rsidR="007514BC" w:rsidRPr="003C6DBD" w:rsidRDefault="007514BC" w:rsidP="007514BC">
      <w:pPr>
        <w:pStyle w:val="BodyTextIndent"/>
        <w:ind w:firstLine="720"/>
        <w:rPr>
          <w:color w:val="0D0D0D" w:themeColor="text1" w:themeTint="F2"/>
        </w:rPr>
      </w:pPr>
      <w:r w:rsidRPr="003C6DBD">
        <w:rPr>
          <w:color w:val="0D0D0D" w:themeColor="text1" w:themeTint="F2"/>
        </w:rPr>
        <w:t xml:space="preserve">A study by </w:t>
      </w:r>
      <w:r w:rsidRPr="003C6DBD">
        <w:rPr>
          <w:color w:val="0D0D0D" w:themeColor="text1" w:themeTint="F2"/>
        </w:rPr>
        <w:fldChar w:fldCharType="begin"/>
      </w:r>
      <w:r w:rsidRPr="003C6DBD">
        <w:rPr>
          <w:color w:val="0D0D0D" w:themeColor="text1" w:themeTint="F2"/>
        </w:rPr>
        <w:instrText xml:space="preserve"> ADDIN ZOTERO_ITEM CSL_CITATION {"citationID":"h77Pd5O9","properties":{"custom":"Barbosa et al. (2022)","formattedCitation":"Barbosa et al. (2022)","plainCitation":"Barbosa et al. (2022)","noteIndex":0},"citationItems":[{"id":581,"uris":["http://zotero.org/users/8949154/items/8SV6E2X3"],"itemData":{"id":581,"type":"article-journal","container-title":"Biomass and Bioenergy","note":"publisher: Elsevier","page":"106368","source":"Google Scholar","title":"Sugarcane ethanol companies in Brazil: Growth challenges and strategy perspectives using Delphi and SWOT-AHP methods","title-short":"Sugarcane ethanol companies in Brazil","volume":"158","author":[{"family":"Barbosa","given":"Paula Isabel"},{"family":"Szklo","given":"Alexandre"},{"family":"Gurgel","given":"Angelo"}],"issued":{"date-parts":[["2022"]]}}}],"schema":"https://github.com/citation-style-language/schema/raw/master/csl-citation.json"} </w:instrText>
      </w:r>
      <w:r w:rsidRPr="003C6DBD">
        <w:rPr>
          <w:color w:val="0D0D0D" w:themeColor="text1" w:themeTint="F2"/>
        </w:rPr>
        <w:fldChar w:fldCharType="separate"/>
      </w:r>
      <w:r w:rsidRPr="003C6DBD">
        <w:rPr>
          <w:color w:val="0D0D0D" w:themeColor="text1" w:themeTint="F2"/>
        </w:rPr>
        <w:t>Barbosa et al. (2022)</w:t>
      </w:r>
      <w:r w:rsidRPr="003C6DBD">
        <w:rPr>
          <w:color w:val="0D0D0D" w:themeColor="text1" w:themeTint="F2"/>
        </w:rPr>
        <w:fldChar w:fldCharType="end"/>
      </w:r>
      <w:r w:rsidRPr="003C6DBD">
        <w:rPr>
          <w:color w:val="0D0D0D" w:themeColor="text1" w:themeTint="F2"/>
        </w:rPr>
        <w:t xml:space="preserve"> examined the strategies and public policies related to the sugarcane ethanol sector in Brazil by employing SWOT analysis with surveys (Delphi) and Analytic Hierarchy Process (AHP) multicriterial assessment. The SWOT analysis was conducted by studying the companies reports. Also, the authors assessed the status and strategic profile of the top 30 companies involved in sugar and ethanol energy operating in Brazil. The results suggested that expansive strategies like promoting R&amp;D and innovation are preferred. The financial performance of the firms suggested that the sugarcane ethanol sector, in recent times, has experienced low profitability and high indebtedness.</w:t>
      </w:r>
      <w:r w:rsidR="00C16B3F" w:rsidRPr="003C6DBD">
        <w:rPr>
          <w:color w:val="0D0D0D" w:themeColor="text1" w:themeTint="F2"/>
        </w:rPr>
        <w:t xml:space="preserve"> The financial performance of the firms was assessed using the qualitative information and the details from the industry reports</w:t>
      </w:r>
      <w:r w:rsidR="00A37E86" w:rsidRPr="003C6DBD">
        <w:rPr>
          <w:color w:val="0D0D0D" w:themeColor="text1" w:themeTint="F2"/>
        </w:rPr>
        <w:t xml:space="preserve"> </w:t>
      </w:r>
      <w:r w:rsidR="005E6913" w:rsidRPr="003C6DBD">
        <w:rPr>
          <w:color w:val="0D0D0D" w:themeColor="text1" w:themeTint="F2"/>
        </w:rPr>
        <w:t>instead of the</w:t>
      </w:r>
      <w:r w:rsidR="00A37E86" w:rsidRPr="003C6DBD">
        <w:rPr>
          <w:color w:val="0D0D0D" w:themeColor="text1" w:themeTint="F2"/>
        </w:rPr>
        <w:t xml:space="preserve"> traditional method</w:t>
      </w:r>
      <w:r w:rsidR="00391A9D" w:rsidRPr="003C6DBD">
        <w:rPr>
          <w:color w:val="0D0D0D" w:themeColor="text1" w:themeTint="F2"/>
        </w:rPr>
        <w:t>s</w:t>
      </w:r>
      <w:r w:rsidR="00C16B3F" w:rsidRPr="003C6DBD">
        <w:rPr>
          <w:color w:val="0D0D0D" w:themeColor="text1" w:themeTint="F2"/>
        </w:rPr>
        <w:t xml:space="preserve">. The gathered information was then validated with the industry experts. </w:t>
      </w:r>
      <w:r w:rsidRPr="003C6DBD">
        <w:rPr>
          <w:color w:val="0D0D0D" w:themeColor="text1" w:themeTint="F2"/>
        </w:rPr>
        <w:t xml:space="preserve"> The return from investment was 50% lower than the weighted average cost of capital (WACC) and average production growth was 20% lower than in the last 20 years. These results in Brazil, a major biofuel producing country, raises a question whether biofuel firms are as profitable as other businesses?</w:t>
      </w:r>
    </w:p>
    <w:p w14:paraId="19957DD9" w14:textId="48BF3F28" w:rsidR="007514BC" w:rsidRPr="003C6DBD" w:rsidRDefault="007514BC" w:rsidP="007514BC">
      <w:pPr>
        <w:pStyle w:val="BodyTextIndent"/>
        <w:ind w:firstLine="720"/>
        <w:rPr>
          <w:color w:val="0D0D0D" w:themeColor="text1" w:themeTint="F2"/>
        </w:rPr>
      </w:pPr>
      <w:r w:rsidRPr="003C6DBD">
        <w:rPr>
          <w:color w:val="0D0D0D" w:themeColor="text1" w:themeTint="F2"/>
        </w:rPr>
        <w:t xml:space="preserve">The biofuel industry is heavily dependent on the agriculture industry because the feedstocks like sugarcane and maize are used as raw materials in first-generation biofuel production and </w:t>
      </w:r>
      <w:r w:rsidR="001362F2" w:rsidRPr="003C6DBD">
        <w:rPr>
          <w:color w:val="0D0D0D" w:themeColor="text1" w:themeTint="F2"/>
        </w:rPr>
        <w:t xml:space="preserve">comprise </w:t>
      </w:r>
      <w:r w:rsidRPr="003C6DBD">
        <w:rPr>
          <w:color w:val="0D0D0D" w:themeColor="text1" w:themeTint="F2"/>
        </w:rPr>
        <w:t xml:space="preserve">a large share in the feedstock industry. We believe that the biofuel industry is somewhat comparable to the agribusiness industry because the raw materials used for </w:t>
      </w:r>
      <w:r w:rsidRPr="003C6DBD">
        <w:rPr>
          <w:color w:val="0D0D0D" w:themeColor="text1" w:themeTint="F2"/>
        </w:rPr>
        <w:lastRenderedPageBreak/>
        <w:t xml:space="preserve">biofuel production are similar to agribusinesses. </w:t>
      </w:r>
      <w:r w:rsidRPr="003C6DBD">
        <w:rPr>
          <w:color w:val="0D0D0D" w:themeColor="text1" w:themeTint="F2"/>
        </w:rPr>
        <w:fldChar w:fldCharType="begin"/>
      </w:r>
      <w:r w:rsidRPr="003C6DBD">
        <w:rPr>
          <w:color w:val="0D0D0D" w:themeColor="text1" w:themeTint="F2"/>
        </w:rPr>
        <w:instrText xml:space="preserve"> ADDIN ZOTERO_ITEM CSL_CITATION {"citationID":"SOXRIbto","properties":{"custom":"Katchova &amp; Enlow (2013)","formattedCitation":"Katchova &amp; Enlow (2013)","plainCitation":"Katchova &amp; Enlow (2013)","noteIndex":0},"citationItems":[{"id":219,"uris":["http://zotero.org/users/8949154/items/SUB5H9EB"],"itemData":{"id":219,"type":"article-journal","container-title":"Agricultural Finance Review","note":"publisher: Emerald Group Publishing Limited","source":"Google Scholar","title":"Financial performance of publicly-traded agribusinesses","author":[{"family":"Katchova","given":"Ani L."},{"family":"Enlow","given":"Sierra J."}],"issued":{"date-parts":[["2013"]]}}}],"schema":"https://github.com/citation-style-language/schema/raw/master/csl-citation.json"} </w:instrText>
      </w:r>
      <w:r w:rsidRPr="003C6DBD">
        <w:rPr>
          <w:color w:val="0D0D0D" w:themeColor="text1" w:themeTint="F2"/>
        </w:rPr>
        <w:fldChar w:fldCharType="separate"/>
      </w:r>
      <w:r w:rsidRPr="003C6DBD">
        <w:rPr>
          <w:color w:val="0D0D0D" w:themeColor="text1" w:themeTint="F2"/>
        </w:rPr>
        <w:t>Katchova &amp; Enlow (2013)</w:t>
      </w:r>
      <w:r w:rsidRPr="003C6DBD">
        <w:rPr>
          <w:color w:val="0D0D0D" w:themeColor="text1" w:themeTint="F2"/>
        </w:rPr>
        <w:fldChar w:fldCharType="end"/>
      </w:r>
      <w:r w:rsidRPr="003C6DBD">
        <w:rPr>
          <w:color w:val="0D0D0D" w:themeColor="text1" w:themeTint="F2"/>
        </w:rPr>
        <w:t xml:space="preserve"> compared the financial performance of publicly traded agribusiness firms to all firms from 1961 to 2011. The </w:t>
      </w:r>
      <w:r w:rsidR="00E307A5" w:rsidRPr="003C6DBD">
        <w:rPr>
          <w:color w:val="0D0D0D" w:themeColor="text1" w:themeTint="F2"/>
        </w:rPr>
        <w:t xml:space="preserve">authors </w:t>
      </w:r>
      <w:r w:rsidRPr="003C6DBD">
        <w:rPr>
          <w:color w:val="0D0D0D" w:themeColor="text1" w:themeTint="F2"/>
        </w:rPr>
        <w:t xml:space="preserve">used profitability, liquidity, efficiency, solvency, and market </w:t>
      </w:r>
      <w:r w:rsidR="00E307A5" w:rsidRPr="003C6DBD">
        <w:rPr>
          <w:color w:val="0D0D0D" w:themeColor="text1" w:themeTint="F2"/>
        </w:rPr>
        <w:t xml:space="preserve">financial </w:t>
      </w:r>
      <w:r w:rsidRPr="003C6DBD">
        <w:rPr>
          <w:color w:val="0D0D0D" w:themeColor="text1" w:themeTint="F2"/>
        </w:rPr>
        <w:t xml:space="preserve">ratios, and major accounts </w:t>
      </w:r>
      <w:r w:rsidR="00E307A5" w:rsidRPr="003C6DBD">
        <w:rPr>
          <w:color w:val="0D0D0D" w:themeColor="text1" w:themeTint="F2"/>
        </w:rPr>
        <w:t xml:space="preserve">of the </w:t>
      </w:r>
      <w:r w:rsidRPr="003C6DBD">
        <w:rPr>
          <w:color w:val="0D0D0D" w:themeColor="text1" w:themeTint="F2"/>
        </w:rPr>
        <w:t xml:space="preserve">balance sheet and income statement to </w:t>
      </w:r>
      <w:r w:rsidR="00E307A5" w:rsidRPr="003C6DBD">
        <w:rPr>
          <w:color w:val="0D0D0D" w:themeColor="text1" w:themeTint="F2"/>
        </w:rPr>
        <w:t xml:space="preserve">evaluate </w:t>
      </w:r>
      <w:r w:rsidRPr="003C6DBD">
        <w:rPr>
          <w:color w:val="0D0D0D" w:themeColor="text1" w:themeTint="F2"/>
        </w:rPr>
        <w:t>the financial performance</w:t>
      </w:r>
      <w:r w:rsidR="00E307A5" w:rsidRPr="003C6DBD">
        <w:rPr>
          <w:color w:val="0D0D0D" w:themeColor="text1" w:themeTint="F2"/>
        </w:rPr>
        <w:t xml:space="preserve"> of the two group of firms</w:t>
      </w:r>
      <w:r w:rsidRPr="003C6DBD">
        <w:rPr>
          <w:color w:val="0D0D0D" w:themeColor="text1" w:themeTint="F2"/>
        </w:rPr>
        <w:t xml:space="preserve">. The median value of financial ratios was used while comparing performances because financial ratios typically have outliers that skew the mean values </w:t>
      </w:r>
      <w:r w:rsidRPr="003C6DBD">
        <w:rPr>
          <w:color w:val="0D0D0D" w:themeColor="text1" w:themeTint="F2"/>
        </w:rPr>
        <w:fldChar w:fldCharType="begin"/>
      </w:r>
      <w:r w:rsidRPr="003C6DBD">
        <w:rPr>
          <w:color w:val="0D0D0D" w:themeColor="text1" w:themeTint="F2"/>
        </w:rPr>
        <w:instrText xml:space="preserve"> ADDIN ZOTERO_ITEM CSL_CITATION {"citationID":"S1fMkFNS","properties":{"formattedCitation":"(C. Trejo-Pech &amp; DeLong, 2022)","plainCitation":"(C. Trejo-Pech &amp; DeLong, 2022)","dontUpdate":true,"noteIndex":0},"citationItems":[{"id":594,"uris":["http://zotero.org/users/8949154/items/763XPR6M"],"itemData":{"id":594,"type":"article-journal","source":"Google Scholar","title":"How does the financial performance of sugar-using firms compare to other agribusinesses? An economic value added analysis","title-short":"How does the financial performance of sugar-using firms compare to other agribusinesses?","author":[{"family":"Trejo-Pech","given":"Carlos"},{"family":"DeLong","given":"Karen L."}],"issued":{"date-parts":[["2022"]]}}}],"schema":"https://github.com/citation-style-language/schema/raw/master/csl-citation.json"} </w:instrText>
      </w:r>
      <w:r w:rsidRPr="003C6DBD">
        <w:rPr>
          <w:color w:val="0D0D0D" w:themeColor="text1" w:themeTint="F2"/>
        </w:rPr>
        <w:fldChar w:fldCharType="separate"/>
      </w:r>
      <w:r w:rsidRPr="003C6DBD">
        <w:rPr>
          <w:color w:val="0D0D0D" w:themeColor="text1" w:themeTint="F2"/>
        </w:rPr>
        <w:t>(Trejo-Pech &amp; DeLong, 2022)</w:t>
      </w:r>
      <w:r w:rsidRPr="003C6DBD">
        <w:rPr>
          <w:color w:val="0D0D0D" w:themeColor="text1" w:themeTint="F2"/>
        </w:rPr>
        <w:fldChar w:fldCharType="end"/>
      </w:r>
      <w:r w:rsidRPr="003C6DBD">
        <w:rPr>
          <w:color w:val="0D0D0D" w:themeColor="text1" w:themeTint="F2"/>
        </w:rPr>
        <w:t xml:space="preserve">. Agribusinesses outperformed all firms in terms of financial ratios related to profitability, liquidity, and market ratios. A DuPont analysis to compare the return on equity revealed that the higher return on equity for agribusinesses than the overall US market was due to higher asset turnover ratios. This indicates the higher operating efficiency of agribusinesses. </w:t>
      </w:r>
    </w:p>
    <w:p w14:paraId="1C0C00A3" w14:textId="04DE9008" w:rsidR="006E5A3B" w:rsidRPr="003C6DBD" w:rsidRDefault="00725D89" w:rsidP="0018417A">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There </w:t>
      </w:r>
      <w:r w:rsidR="00005378" w:rsidRPr="003C6DBD">
        <w:rPr>
          <w:rFonts w:ascii="Times New Roman" w:hAnsi="Times New Roman" w:cs="Times New Roman"/>
          <w:color w:val="0D0D0D" w:themeColor="text1" w:themeTint="F2"/>
          <w:sz w:val="24"/>
          <w:szCs w:val="24"/>
        </w:rPr>
        <w:t>has been</w:t>
      </w:r>
      <w:r w:rsidRPr="003C6DBD">
        <w:rPr>
          <w:rFonts w:ascii="Times New Roman" w:hAnsi="Times New Roman" w:cs="Times New Roman"/>
          <w:color w:val="0D0D0D" w:themeColor="text1" w:themeTint="F2"/>
          <w:sz w:val="24"/>
          <w:szCs w:val="24"/>
        </w:rPr>
        <w:t xml:space="preserve"> limited research in the past that has examined the financial performance of biofuel firms. </w:t>
      </w:r>
      <w:r w:rsidR="001362F2" w:rsidRPr="003C6DBD">
        <w:rPr>
          <w:rFonts w:ascii="Times New Roman" w:hAnsi="Times New Roman" w:cs="Times New Roman"/>
          <w:color w:val="0D0D0D" w:themeColor="text1" w:themeTint="F2"/>
          <w:sz w:val="24"/>
          <w:szCs w:val="24"/>
        </w:rPr>
        <w:t>This study</w:t>
      </w:r>
      <w:r w:rsidRPr="003C6DBD">
        <w:rPr>
          <w:rFonts w:ascii="Times New Roman" w:hAnsi="Times New Roman" w:cs="Times New Roman"/>
          <w:color w:val="0D0D0D" w:themeColor="text1" w:themeTint="F2"/>
          <w:sz w:val="24"/>
          <w:szCs w:val="24"/>
        </w:rPr>
        <w:t xml:space="preserve"> examine</w:t>
      </w:r>
      <w:r w:rsidR="001362F2" w:rsidRPr="003C6DBD">
        <w:rPr>
          <w:rFonts w:ascii="Times New Roman" w:hAnsi="Times New Roman" w:cs="Times New Roman"/>
          <w:color w:val="0D0D0D" w:themeColor="text1" w:themeTint="F2"/>
          <w:sz w:val="24"/>
          <w:szCs w:val="24"/>
        </w:rPr>
        <w:t>s</w:t>
      </w:r>
      <w:r w:rsidRPr="003C6DBD">
        <w:rPr>
          <w:rFonts w:ascii="Times New Roman" w:hAnsi="Times New Roman" w:cs="Times New Roman"/>
          <w:color w:val="0D0D0D" w:themeColor="text1" w:themeTint="F2"/>
          <w:sz w:val="24"/>
          <w:szCs w:val="24"/>
        </w:rPr>
        <w:t xml:space="preserve"> the financial performance of </w:t>
      </w:r>
      <w:r w:rsidR="00E70DFA" w:rsidRPr="003C6DBD">
        <w:rPr>
          <w:rFonts w:ascii="Times New Roman" w:hAnsi="Times New Roman" w:cs="Times New Roman"/>
          <w:color w:val="0D0D0D" w:themeColor="text1" w:themeTint="F2"/>
          <w:sz w:val="24"/>
          <w:szCs w:val="24"/>
        </w:rPr>
        <w:t xml:space="preserve">a </w:t>
      </w:r>
      <w:r w:rsidRPr="003C6DBD">
        <w:rPr>
          <w:rFonts w:ascii="Times New Roman" w:hAnsi="Times New Roman" w:cs="Times New Roman"/>
          <w:color w:val="0D0D0D" w:themeColor="text1" w:themeTint="F2"/>
          <w:sz w:val="24"/>
          <w:szCs w:val="24"/>
        </w:rPr>
        <w:t xml:space="preserve">sample </w:t>
      </w:r>
      <w:r w:rsidR="00E70DFA" w:rsidRPr="003C6DBD">
        <w:rPr>
          <w:rFonts w:ascii="Times New Roman" w:hAnsi="Times New Roman" w:cs="Times New Roman"/>
          <w:color w:val="0D0D0D" w:themeColor="text1" w:themeTint="F2"/>
          <w:sz w:val="24"/>
          <w:szCs w:val="24"/>
        </w:rPr>
        <w:t xml:space="preserve">of </w:t>
      </w:r>
      <w:r w:rsidR="00005378" w:rsidRPr="003C6DBD">
        <w:rPr>
          <w:rFonts w:ascii="Times New Roman" w:hAnsi="Times New Roman" w:cs="Times New Roman"/>
          <w:color w:val="0D0D0D" w:themeColor="text1" w:themeTint="F2"/>
          <w:sz w:val="24"/>
          <w:szCs w:val="24"/>
        </w:rPr>
        <w:t xml:space="preserve">publicly traded </w:t>
      </w:r>
      <w:r w:rsidRPr="003C6DBD">
        <w:rPr>
          <w:rFonts w:ascii="Times New Roman" w:hAnsi="Times New Roman" w:cs="Times New Roman"/>
          <w:color w:val="0D0D0D" w:themeColor="text1" w:themeTint="F2"/>
          <w:sz w:val="24"/>
          <w:szCs w:val="24"/>
        </w:rPr>
        <w:t xml:space="preserve">biofuel </w:t>
      </w:r>
      <w:r w:rsidR="00005378" w:rsidRPr="003C6DBD">
        <w:rPr>
          <w:rFonts w:ascii="Times New Roman" w:hAnsi="Times New Roman" w:cs="Times New Roman"/>
          <w:color w:val="0D0D0D" w:themeColor="text1" w:themeTint="F2"/>
          <w:sz w:val="24"/>
          <w:szCs w:val="24"/>
        </w:rPr>
        <w:t xml:space="preserve">companies </w:t>
      </w:r>
      <w:r w:rsidR="004E1D6A" w:rsidRPr="003C6DBD">
        <w:rPr>
          <w:rFonts w:ascii="Times New Roman" w:hAnsi="Times New Roman" w:cs="Times New Roman"/>
          <w:color w:val="0D0D0D" w:themeColor="text1" w:themeTint="F2"/>
          <w:sz w:val="24"/>
          <w:szCs w:val="24"/>
        </w:rPr>
        <w:t>by analyzing the financial ratios</w:t>
      </w:r>
      <w:r w:rsidR="00210EC9"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t xml:space="preserve"> </w:t>
      </w:r>
    </w:p>
    <w:p w14:paraId="6329FB41" w14:textId="75177206" w:rsidR="00944864" w:rsidRPr="003C6DBD" w:rsidRDefault="00944864" w:rsidP="0018417A">
      <w:pPr>
        <w:spacing w:line="480" w:lineRule="auto"/>
        <w:ind w:firstLine="720"/>
        <w:rPr>
          <w:rFonts w:ascii="Times New Roman" w:hAnsi="Times New Roman" w:cs="Times New Roman"/>
          <w:color w:val="0D0D0D" w:themeColor="text1" w:themeTint="F2"/>
          <w:sz w:val="24"/>
          <w:szCs w:val="24"/>
        </w:rPr>
      </w:pPr>
    </w:p>
    <w:p w14:paraId="1F7E467E" w14:textId="4A4D3207" w:rsidR="00944864" w:rsidRPr="003C6DBD" w:rsidRDefault="00944864" w:rsidP="0018417A">
      <w:pPr>
        <w:spacing w:line="480" w:lineRule="auto"/>
        <w:ind w:firstLine="720"/>
        <w:rPr>
          <w:rFonts w:ascii="Times New Roman" w:hAnsi="Times New Roman" w:cs="Times New Roman"/>
          <w:color w:val="0D0D0D" w:themeColor="text1" w:themeTint="F2"/>
          <w:sz w:val="24"/>
          <w:szCs w:val="24"/>
        </w:rPr>
      </w:pPr>
    </w:p>
    <w:p w14:paraId="0E851FD2" w14:textId="43CA09D0" w:rsidR="00944864" w:rsidRPr="003C6DBD" w:rsidRDefault="002B34CD" w:rsidP="002B34CD">
      <w:pPr>
        <w:tabs>
          <w:tab w:val="left" w:pos="5590"/>
        </w:tabs>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b/>
      </w:r>
    </w:p>
    <w:p w14:paraId="38E74D79" w14:textId="1C93FDCA" w:rsidR="002B34CD" w:rsidRPr="003C6DBD" w:rsidRDefault="002B34CD" w:rsidP="002B34CD">
      <w:pPr>
        <w:tabs>
          <w:tab w:val="left" w:pos="5590"/>
        </w:tabs>
        <w:spacing w:line="480" w:lineRule="auto"/>
        <w:ind w:firstLine="720"/>
        <w:rPr>
          <w:rFonts w:ascii="Times New Roman" w:hAnsi="Times New Roman" w:cs="Times New Roman"/>
          <w:color w:val="0D0D0D" w:themeColor="text1" w:themeTint="F2"/>
          <w:sz w:val="24"/>
          <w:szCs w:val="24"/>
        </w:rPr>
      </w:pPr>
    </w:p>
    <w:p w14:paraId="747BF842" w14:textId="77777777" w:rsidR="002B34CD" w:rsidRPr="003C6DBD" w:rsidRDefault="002B34CD" w:rsidP="002B34CD">
      <w:pPr>
        <w:tabs>
          <w:tab w:val="left" w:pos="5590"/>
        </w:tabs>
        <w:spacing w:line="480" w:lineRule="auto"/>
        <w:ind w:firstLine="720"/>
        <w:rPr>
          <w:rFonts w:ascii="Times New Roman" w:hAnsi="Times New Roman" w:cs="Times New Roman"/>
          <w:color w:val="0D0D0D" w:themeColor="text1" w:themeTint="F2"/>
          <w:sz w:val="24"/>
          <w:szCs w:val="24"/>
        </w:rPr>
      </w:pPr>
    </w:p>
    <w:p w14:paraId="102A987F" w14:textId="77777777" w:rsidR="001362F2" w:rsidRPr="003C6DBD" w:rsidRDefault="001362F2" w:rsidP="002B34CD">
      <w:pPr>
        <w:tabs>
          <w:tab w:val="left" w:pos="5590"/>
        </w:tabs>
        <w:spacing w:line="480" w:lineRule="auto"/>
        <w:ind w:firstLine="720"/>
        <w:rPr>
          <w:rFonts w:ascii="Times New Roman" w:hAnsi="Times New Roman" w:cs="Times New Roman"/>
          <w:color w:val="0D0D0D" w:themeColor="text1" w:themeTint="F2"/>
          <w:sz w:val="24"/>
          <w:szCs w:val="24"/>
        </w:rPr>
      </w:pPr>
    </w:p>
    <w:p w14:paraId="6914837D" w14:textId="77777777" w:rsidR="00944864" w:rsidRPr="003C6DBD" w:rsidRDefault="00944864" w:rsidP="0018417A">
      <w:pPr>
        <w:spacing w:line="480" w:lineRule="auto"/>
        <w:ind w:firstLine="720"/>
        <w:rPr>
          <w:rFonts w:ascii="Times New Roman" w:hAnsi="Times New Roman" w:cs="Times New Roman"/>
          <w:color w:val="0D0D0D" w:themeColor="text1" w:themeTint="F2"/>
          <w:sz w:val="24"/>
          <w:szCs w:val="24"/>
        </w:rPr>
      </w:pPr>
    </w:p>
    <w:p w14:paraId="7EC742DE" w14:textId="77777777" w:rsidR="006223B8" w:rsidRPr="003C6DBD" w:rsidRDefault="003F6F35" w:rsidP="002A7494">
      <w:pPr>
        <w:pStyle w:val="Heading1"/>
        <w:spacing w:line="480" w:lineRule="auto"/>
        <w:rPr>
          <w:rFonts w:cs="Times New Roman"/>
          <w:color w:val="0D0D0D" w:themeColor="text1" w:themeTint="F2"/>
          <w:szCs w:val="24"/>
        </w:rPr>
      </w:pPr>
      <w:bookmarkStart w:id="16" w:name="_Toc132761834"/>
      <w:r w:rsidRPr="003C6DBD">
        <w:rPr>
          <w:rFonts w:cs="Times New Roman"/>
          <w:color w:val="0D0D0D" w:themeColor="text1" w:themeTint="F2"/>
          <w:szCs w:val="24"/>
        </w:rPr>
        <w:lastRenderedPageBreak/>
        <w:t xml:space="preserve">CHAPTER </w:t>
      </w:r>
      <w:r w:rsidR="00E63357" w:rsidRPr="003C6DBD">
        <w:rPr>
          <w:rFonts w:cs="Times New Roman"/>
          <w:color w:val="0D0D0D" w:themeColor="text1" w:themeTint="F2"/>
          <w:szCs w:val="24"/>
        </w:rPr>
        <w:t>III</w:t>
      </w:r>
      <w:bookmarkEnd w:id="16"/>
    </w:p>
    <w:p w14:paraId="3D5D27D9" w14:textId="1F02037B" w:rsidR="00244E6C" w:rsidRPr="003C6DBD" w:rsidRDefault="00CD0846" w:rsidP="002A7494">
      <w:pPr>
        <w:pStyle w:val="Heading2"/>
        <w:rPr>
          <w:color w:val="0D0D0D" w:themeColor="text1" w:themeTint="F2"/>
        </w:rPr>
      </w:pPr>
      <w:bookmarkStart w:id="17" w:name="_Toc132761835"/>
      <w:r w:rsidRPr="003C6DBD">
        <w:rPr>
          <w:color w:val="0D0D0D" w:themeColor="text1" w:themeTint="F2"/>
        </w:rPr>
        <w:t>ANALYTICAL</w:t>
      </w:r>
      <w:r w:rsidR="003A191B" w:rsidRPr="003C6DBD">
        <w:rPr>
          <w:color w:val="0D0D0D" w:themeColor="text1" w:themeTint="F2"/>
        </w:rPr>
        <w:t xml:space="preserve"> FRAMEWORK</w:t>
      </w:r>
      <w:bookmarkEnd w:id="17"/>
      <w:r w:rsidR="001A5A64" w:rsidRPr="003C6DBD">
        <w:rPr>
          <w:color w:val="0D0D0D" w:themeColor="text1" w:themeTint="F2"/>
        </w:rPr>
        <w:t xml:space="preserve"> </w:t>
      </w:r>
    </w:p>
    <w:p w14:paraId="00191F5F" w14:textId="193E004B" w:rsidR="009101E0" w:rsidRPr="003C6DBD" w:rsidRDefault="009101E0" w:rsidP="009101E0">
      <w:pPr>
        <w:pStyle w:val="Heading3"/>
        <w:spacing w:line="480" w:lineRule="auto"/>
        <w:rPr>
          <w:rFonts w:cs="Times New Roman"/>
          <w:color w:val="0D0D0D" w:themeColor="text1" w:themeTint="F2"/>
          <w:szCs w:val="24"/>
        </w:rPr>
      </w:pPr>
      <w:bookmarkStart w:id="18" w:name="_Toc132761836"/>
      <w:r w:rsidRPr="003C6DBD">
        <w:rPr>
          <w:rFonts w:cs="Times New Roman"/>
          <w:color w:val="0D0D0D" w:themeColor="text1" w:themeTint="F2"/>
          <w:szCs w:val="24"/>
        </w:rPr>
        <w:t>3.1 Analytical Framework for Risk Analysis</w:t>
      </w:r>
      <w:bookmarkEnd w:id="18"/>
    </w:p>
    <w:p w14:paraId="39CE8A92" w14:textId="3FF9BD48" w:rsidR="00244E6C" w:rsidRPr="003C6DBD" w:rsidRDefault="003F6F35" w:rsidP="009101E0">
      <w:pPr>
        <w:pStyle w:val="Heading4"/>
        <w:rPr>
          <w:color w:val="0D0D0D" w:themeColor="text1" w:themeTint="F2"/>
        </w:rPr>
      </w:pPr>
      <w:r w:rsidRPr="003C6DBD">
        <w:rPr>
          <w:color w:val="0D0D0D" w:themeColor="text1" w:themeTint="F2"/>
        </w:rPr>
        <w:t>3.1</w:t>
      </w:r>
      <w:r w:rsidR="009101E0" w:rsidRPr="003C6DBD">
        <w:rPr>
          <w:color w:val="0D0D0D" w:themeColor="text1" w:themeTint="F2"/>
        </w:rPr>
        <w:t>.1</w:t>
      </w:r>
      <w:r w:rsidRPr="003C6DBD">
        <w:rPr>
          <w:color w:val="0D0D0D" w:themeColor="text1" w:themeTint="F2"/>
        </w:rPr>
        <w:t xml:space="preserve"> Qualitative Content Analysis (QCA) </w:t>
      </w:r>
    </w:p>
    <w:p w14:paraId="2CCC9957" w14:textId="77777777" w:rsidR="00550AA7" w:rsidRPr="003C6DBD" w:rsidRDefault="00550AA7" w:rsidP="002A7494">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Qualitative content analysis is a tool for systematically describing qualitative material. In general, QCA is useful for describing qualitative material that requires input/interpretation from the individual analyzing the material to get meaning out of it. QCA involves previously assumed steps, regardless of material and research question, to follow and generate meaning out of it. The steps are: deciding the research question; identification and selection of material; developing a coding frame that comprises broad categories which may or may not incorporate subcategories within them; setting up the material into units of coding, and revising; discussions of the items revised; evaluating the coding frame in terms of consistency and validity; coding all the material, followed by revising and transforming the data for analysis and discussion; interpreting and presenting the findings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{"citationID":"XFUDIqtR","properties":{"formattedCitation":"(Schreier, 2012)","plainCitation":"(Schreier, 2012)","noteIndex":0},"citationItems":[{"id":257,"uris":["http://zotero.org/users/8949154/items/R7PENYFU"],"itemData":{"id":257,"type":"book","publisher":"Sage publications","source":"Google Scholar","title":"Qualitative content analysis in practice","author":[{"family":"Schreier","given":"Margrit"}],"issued":{"date-parts":[["2012"]]}}}],"schema":"https://github.com/citation-style-language/schema/raw/master/csl-citation.json"}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(Schreier, 2012)</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w:t>
      </w:r>
    </w:p>
    <w:p w14:paraId="7343979B" w14:textId="706698F2" w:rsidR="00244E6C" w:rsidRPr="003C6DBD" w:rsidRDefault="003F6F35" w:rsidP="00FB7608">
      <w:pPr>
        <w:pStyle w:val="Heading4"/>
        <w:rPr>
          <w:color w:val="0D0D0D" w:themeColor="text1" w:themeTint="F2"/>
        </w:rPr>
      </w:pPr>
      <w:r w:rsidRPr="003C6DBD">
        <w:rPr>
          <w:color w:val="0D0D0D" w:themeColor="text1" w:themeTint="F2"/>
        </w:rPr>
        <w:t>3.</w:t>
      </w:r>
      <w:r w:rsidR="00FB7608" w:rsidRPr="003C6DBD">
        <w:rPr>
          <w:color w:val="0D0D0D" w:themeColor="text1" w:themeTint="F2"/>
        </w:rPr>
        <w:t>1.</w:t>
      </w:r>
      <w:r w:rsidRPr="003C6DBD">
        <w:rPr>
          <w:color w:val="0D0D0D" w:themeColor="text1" w:themeTint="F2"/>
        </w:rPr>
        <w:t xml:space="preserve">2 Financial </w:t>
      </w:r>
      <w:r w:rsidR="00B4040C" w:rsidRPr="003C6DBD">
        <w:rPr>
          <w:color w:val="0D0D0D" w:themeColor="text1" w:themeTint="F2"/>
        </w:rPr>
        <w:t>R</w:t>
      </w:r>
      <w:r w:rsidRPr="003C6DBD">
        <w:rPr>
          <w:color w:val="0D0D0D" w:themeColor="text1" w:themeTint="F2"/>
        </w:rPr>
        <w:t>eporting</w:t>
      </w:r>
    </w:p>
    <w:p w14:paraId="031C0E66" w14:textId="3A36A93B" w:rsidR="00EE7E3C" w:rsidRPr="003C6DBD" w:rsidRDefault="00550AA7" w:rsidP="002A7494">
      <w:pPr>
        <w:pStyle w:val="Pa13"/>
        <w:autoSpaceDE/>
        <w:autoSpaceDN/>
        <w:adjustRightInd/>
        <w:spacing w:after="160" w:line="480" w:lineRule="auto"/>
        <w:ind w:firstLine="720"/>
        <w:rPr>
          <w:rFonts w:ascii="Times New Roman" w:hAnsi="Times New Roman" w:cs="Times New Roman"/>
          <w:color w:val="0D0D0D" w:themeColor="text1" w:themeTint="F2"/>
        </w:rPr>
      </w:pPr>
      <w:r w:rsidRPr="003C6DBD">
        <w:rPr>
          <w:rFonts w:ascii="Times New Roman" w:hAnsi="Times New Roman" w:cs="Times New Roman"/>
          <w:color w:val="0D0D0D" w:themeColor="text1" w:themeTint="F2"/>
        </w:rPr>
        <w:t xml:space="preserve">The annual report of a publicly-traded company is the primary formal means of communication with shareholders, investors, creditors, regulatory agencies, employees, and the general public </w:t>
      </w:r>
      <w:r w:rsidRPr="003C6DBD">
        <w:rPr>
          <w:rFonts w:ascii="Times New Roman" w:hAnsi="Times New Roman" w:cs="Times New Roman"/>
          <w:color w:val="0D0D0D" w:themeColor="text1" w:themeTint="F2"/>
        </w:rPr>
        <w:fldChar w:fldCharType="begin"/>
      </w:r>
      <w:r w:rsidRPr="003C6DBD">
        <w:rPr>
          <w:rFonts w:ascii="Times New Roman" w:hAnsi="Times New Roman" w:cs="Times New Roman"/>
          <w:color w:val="0D0D0D" w:themeColor="text1" w:themeTint="F2"/>
        </w:rPr>
        <w:instrText xml:space="preserve"> ADDIN ZOTERO_ITEM CSL_CITATION {"citationID":"nUpBNndl","properties":{"formattedCitation":"(Lewis &amp; Young, 2019)","plainCitation":"(Lewis &amp; Young, 2019)","noteIndex":0},"citationItems":[{"id":430,"uris":["http://zotero.org/users/8949154/items/TSP4D4S7"],"itemData":{"id":430,"type":"article-journal","container-title":"Accounting and Business Research","issue":"5","note":"publisher: Taylor &amp; Francis","page":"587–615","source":"Google Scholar","title":"Fad or future? Automated analysis of financial text and its implications for corporate reporting","title-short":"Fad or future?","volume":"49","author":[{"family":"Lewis","given":"Craig"},{"family":"Young","given":"Steven"}],"issued":{"date-parts":[["2019"]]}}}],"schema":"https://github.com/citation-style-language/schema/raw/master/csl-citation.json"} </w:instrText>
      </w:r>
      <w:r w:rsidRPr="003C6DBD">
        <w:rPr>
          <w:rFonts w:ascii="Times New Roman" w:hAnsi="Times New Roman" w:cs="Times New Roman"/>
          <w:color w:val="0D0D0D" w:themeColor="text1" w:themeTint="F2"/>
        </w:rPr>
        <w:fldChar w:fldCharType="separate"/>
      </w:r>
      <w:r w:rsidRPr="003C6DBD">
        <w:rPr>
          <w:rFonts w:ascii="Times New Roman" w:hAnsi="Times New Roman" w:cs="Times New Roman"/>
          <w:color w:val="0D0D0D" w:themeColor="text1" w:themeTint="F2"/>
        </w:rPr>
        <w:t>(Lewis &amp; Young, 2019)</w:t>
      </w:r>
      <w:r w:rsidRPr="003C6DBD">
        <w:rPr>
          <w:rFonts w:ascii="Times New Roman" w:hAnsi="Times New Roman" w:cs="Times New Roman"/>
          <w:color w:val="0D0D0D" w:themeColor="text1" w:themeTint="F2"/>
        </w:rPr>
        <w:fldChar w:fldCharType="end"/>
      </w:r>
      <w:r w:rsidRPr="003C6DBD">
        <w:rPr>
          <w:rFonts w:ascii="Times New Roman" w:hAnsi="Times New Roman" w:cs="Times New Roman"/>
          <w:color w:val="0D0D0D" w:themeColor="text1" w:themeTint="F2"/>
        </w:rPr>
        <w:t>. Traditionally, the quantitative metrics derived from financial statements</w:t>
      </w:r>
      <w:r w:rsidR="007262AE" w:rsidRPr="003C6DBD">
        <w:rPr>
          <w:rFonts w:ascii="Times New Roman" w:hAnsi="Times New Roman" w:cs="Times New Roman"/>
          <w:color w:val="0D0D0D" w:themeColor="text1" w:themeTint="F2"/>
        </w:rPr>
        <w:t xml:space="preserve"> like return on assets</w:t>
      </w:r>
      <w:r w:rsidR="0078699C" w:rsidRPr="003C6DBD">
        <w:rPr>
          <w:rFonts w:ascii="Times New Roman" w:hAnsi="Times New Roman" w:cs="Times New Roman"/>
          <w:color w:val="0D0D0D" w:themeColor="text1" w:themeTint="F2"/>
        </w:rPr>
        <w:t xml:space="preserve"> and </w:t>
      </w:r>
      <w:r w:rsidR="007262AE" w:rsidRPr="003C6DBD">
        <w:rPr>
          <w:rFonts w:ascii="Times New Roman" w:hAnsi="Times New Roman" w:cs="Times New Roman"/>
          <w:color w:val="0D0D0D" w:themeColor="text1" w:themeTint="F2"/>
        </w:rPr>
        <w:t xml:space="preserve">return on equity, </w:t>
      </w:r>
      <w:r w:rsidR="0078699C" w:rsidRPr="003C6DBD">
        <w:rPr>
          <w:rFonts w:ascii="Times New Roman" w:hAnsi="Times New Roman" w:cs="Times New Roman"/>
          <w:color w:val="0D0D0D" w:themeColor="text1" w:themeTint="F2"/>
        </w:rPr>
        <w:t>among others,</w:t>
      </w:r>
      <w:r w:rsidRPr="003C6DBD">
        <w:rPr>
          <w:rFonts w:ascii="Times New Roman" w:hAnsi="Times New Roman" w:cs="Times New Roman"/>
          <w:color w:val="0D0D0D" w:themeColor="text1" w:themeTint="F2"/>
        </w:rPr>
        <w:t xml:space="preserve"> were used as the basis for decision-making by accountants and economists. However, there has been growing discussion about limited insights provided by financial statements</w:t>
      </w:r>
      <w:r w:rsidR="00E66742" w:rsidRPr="003C6DBD">
        <w:rPr>
          <w:rFonts w:ascii="Times New Roman" w:hAnsi="Times New Roman" w:cs="Times New Roman"/>
          <w:color w:val="0D0D0D" w:themeColor="text1" w:themeTint="F2"/>
        </w:rPr>
        <w:t xml:space="preserve"> </w:t>
      </w:r>
      <w:r w:rsidR="00E66742" w:rsidRPr="003C6DBD">
        <w:rPr>
          <w:rFonts w:ascii="Times New Roman" w:hAnsi="Times New Roman" w:cs="Times New Roman"/>
          <w:color w:val="0D0D0D" w:themeColor="text1" w:themeTint="F2"/>
        </w:rPr>
        <w:fldChar w:fldCharType="begin"/>
      </w:r>
      <w:r w:rsidR="00E66742" w:rsidRPr="003C6DBD">
        <w:rPr>
          <w:rFonts w:ascii="Times New Roman" w:hAnsi="Times New Roman" w:cs="Times New Roman"/>
          <w:color w:val="0D0D0D" w:themeColor="text1" w:themeTint="F2"/>
        </w:rPr>
        <w:instrText xml:space="preserve"> ADDIN ZOTERO_ITEM CSL_CITATION {"citationID":"JWvLki39","properties":{"formattedCitation":"(Lewis &amp; Young, 2019)","plainCitation":"(Lewis &amp; Young, 2019)","noteIndex":0},"citationItems":[{"id":430,"uris":["http://zotero.org/users/8949154/items/TSP4D4S7"],"itemData":{"id":430,"type":"article-journal","container-title":"Accounting and Business Research","issue":"5","note":"publisher: Taylor &amp; Francis","page":"587–615","source":"Google Scholar","title":"Fad or future? Automated analysis of financial text and its implications for corporate reporting","title-short":"Fad or future?","volume":"49","author":[{"family":"Lewis","given":"Craig"},{"family":"Young","given":"Steven"}],"issued":{"date-parts":[["2019"]]}}}],"schema":"https://github.com/citation-style-language/schema/raw/master/csl-citation.json"} </w:instrText>
      </w:r>
      <w:r w:rsidR="00E66742" w:rsidRPr="003C6DBD">
        <w:rPr>
          <w:rFonts w:ascii="Times New Roman" w:hAnsi="Times New Roman" w:cs="Times New Roman"/>
          <w:color w:val="0D0D0D" w:themeColor="text1" w:themeTint="F2"/>
        </w:rPr>
        <w:fldChar w:fldCharType="separate"/>
      </w:r>
      <w:r w:rsidR="00E66742" w:rsidRPr="003C6DBD">
        <w:rPr>
          <w:rFonts w:ascii="Times New Roman" w:hAnsi="Times New Roman" w:cs="Times New Roman"/>
          <w:color w:val="0D0D0D" w:themeColor="text1" w:themeTint="F2"/>
        </w:rPr>
        <w:t>(Lewis &amp; Young, 2019)</w:t>
      </w:r>
      <w:r w:rsidR="00E66742" w:rsidRPr="003C6DBD">
        <w:rPr>
          <w:rFonts w:ascii="Times New Roman" w:hAnsi="Times New Roman" w:cs="Times New Roman"/>
          <w:color w:val="0D0D0D" w:themeColor="text1" w:themeTint="F2"/>
        </w:rPr>
        <w:fldChar w:fldCharType="end"/>
      </w:r>
      <w:r w:rsidRPr="003C6DBD">
        <w:rPr>
          <w:rFonts w:ascii="Times New Roman" w:hAnsi="Times New Roman" w:cs="Times New Roman"/>
          <w:color w:val="0D0D0D" w:themeColor="text1" w:themeTint="F2"/>
        </w:rPr>
        <w:t xml:space="preserve">. The discussion revolves around the inability of the decision-makers to infer nuances solely relying on financial statements. The textual (qualitative) information available in a financial report is thus </w:t>
      </w:r>
      <w:r w:rsidRPr="003C6DBD">
        <w:rPr>
          <w:rFonts w:ascii="Times New Roman" w:hAnsi="Times New Roman" w:cs="Times New Roman"/>
          <w:color w:val="0D0D0D" w:themeColor="text1" w:themeTint="F2"/>
        </w:rPr>
        <w:lastRenderedPageBreak/>
        <w:t xml:space="preserve">thought to be equally important as financial statements and they both form integral components of the information that can be used for valuation, monitoring, and stewardship </w:t>
      </w:r>
      <w:r w:rsidRPr="003C6DBD">
        <w:rPr>
          <w:rFonts w:ascii="Times New Roman" w:hAnsi="Times New Roman" w:cs="Times New Roman"/>
          <w:color w:val="0D0D0D" w:themeColor="text1" w:themeTint="F2"/>
        </w:rPr>
        <w:fldChar w:fldCharType="begin"/>
      </w:r>
      <w:r w:rsidRPr="003C6DBD">
        <w:rPr>
          <w:rFonts w:ascii="Times New Roman" w:hAnsi="Times New Roman" w:cs="Times New Roman"/>
          <w:color w:val="0D0D0D" w:themeColor="text1" w:themeTint="F2"/>
        </w:rPr>
        <w:instrText xml:space="preserve"> ADDIN ZOTERO_ITEM CSL_CITATION {"citationID":"MqN85unD","properties":{"formattedCitation":"(Lewis &amp; Young, 2019)","plainCitation":"(Lewis &amp; Young, 2019)","noteIndex":0},"citationItems":[{"id":430,"uris":["http://zotero.org/users/8949154/items/TSP4D4S7"],"itemData":{"id":430,"type":"article-journal","container-title":"Accounting and Business Research","issue":"5","note":"publisher: Taylor &amp; Francis","page":"587–615","source":"Google Scholar","title":"Fad or future? Automated analysis of financial text and its implications for corporate reporting","title-short":"Fad or future?","volume":"49","author":[{"family":"Lewis","given":"Craig"},{"family":"Young","given":"Steven"}],"issued":{"date-parts":[["2019"]]}}}],"schema":"https://github.com/citation-style-language/schema/raw/master/csl-citation.json"} </w:instrText>
      </w:r>
      <w:r w:rsidRPr="003C6DBD">
        <w:rPr>
          <w:rFonts w:ascii="Times New Roman" w:hAnsi="Times New Roman" w:cs="Times New Roman"/>
          <w:color w:val="0D0D0D" w:themeColor="text1" w:themeTint="F2"/>
        </w:rPr>
        <w:fldChar w:fldCharType="separate"/>
      </w:r>
      <w:r w:rsidRPr="003C6DBD">
        <w:rPr>
          <w:rFonts w:ascii="Times New Roman" w:hAnsi="Times New Roman" w:cs="Times New Roman"/>
          <w:color w:val="0D0D0D" w:themeColor="text1" w:themeTint="F2"/>
        </w:rPr>
        <w:t>(Lewis &amp; Young, 2019)</w:t>
      </w:r>
      <w:r w:rsidRPr="003C6DBD">
        <w:rPr>
          <w:rFonts w:ascii="Times New Roman" w:hAnsi="Times New Roman" w:cs="Times New Roman"/>
          <w:color w:val="0D0D0D" w:themeColor="text1" w:themeTint="F2"/>
        </w:rPr>
        <w:fldChar w:fldCharType="end"/>
      </w:r>
      <w:r w:rsidR="003F6F35" w:rsidRPr="003C6DBD">
        <w:rPr>
          <w:rFonts w:ascii="Times New Roman" w:hAnsi="Times New Roman" w:cs="Times New Roman"/>
          <w:color w:val="0D0D0D" w:themeColor="text1" w:themeTint="F2"/>
        </w:rPr>
        <w:t xml:space="preserve">. </w:t>
      </w:r>
    </w:p>
    <w:p w14:paraId="6661008C" w14:textId="3F2075BB" w:rsidR="00244E6C" w:rsidRPr="003C6DBD" w:rsidRDefault="003F6F35" w:rsidP="00FB7608">
      <w:pPr>
        <w:pStyle w:val="Heading4"/>
        <w:rPr>
          <w:color w:val="0D0D0D" w:themeColor="text1" w:themeTint="F2"/>
        </w:rPr>
      </w:pPr>
      <w:r w:rsidRPr="003C6DBD">
        <w:rPr>
          <w:color w:val="0D0D0D" w:themeColor="text1" w:themeTint="F2"/>
        </w:rPr>
        <w:t>3.</w:t>
      </w:r>
      <w:r w:rsidR="00FB7608" w:rsidRPr="003C6DBD">
        <w:rPr>
          <w:color w:val="0D0D0D" w:themeColor="text1" w:themeTint="F2"/>
        </w:rPr>
        <w:t>1.</w:t>
      </w:r>
      <w:r w:rsidRPr="003C6DBD">
        <w:rPr>
          <w:color w:val="0D0D0D" w:themeColor="text1" w:themeTint="F2"/>
        </w:rPr>
        <w:t xml:space="preserve">3 Corporate </w:t>
      </w:r>
      <w:r w:rsidR="00B4040C" w:rsidRPr="003C6DBD">
        <w:rPr>
          <w:color w:val="0D0D0D" w:themeColor="text1" w:themeTint="F2"/>
        </w:rPr>
        <w:t>R</w:t>
      </w:r>
      <w:r w:rsidRPr="003C6DBD">
        <w:rPr>
          <w:color w:val="0D0D0D" w:themeColor="text1" w:themeTint="F2"/>
        </w:rPr>
        <w:t xml:space="preserve">isk </w:t>
      </w:r>
      <w:r w:rsidR="00B4040C" w:rsidRPr="003C6DBD">
        <w:rPr>
          <w:color w:val="0D0D0D" w:themeColor="text1" w:themeTint="F2"/>
        </w:rPr>
        <w:t>D</w:t>
      </w:r>
      <w:r w:rsidRPr="003C6DBD">
        <w:rPr>
          <w:color w:val="0D0D0D" w:themeColor="text1" w:themeTint="F2"/>
        </w:rPr>
        <w:t>isclosure</w:t>
      </w:r>
    </w:p>
    <w:p w14:paraId="2EFBF300" w14:textId="00CC0670" w:rsidR="00F02DF9" w:rsidRPr="003C6DBD" w:rsidRDefault="00F02DF9" w:rsidP="002A7494">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Risk disclosure has been an important segment in the annual report of corporates because investors have started viewing sources of risk and uncertainty as a major component to be taken into consideration before investing. Risk is defined in its broadest sense as “the </w:t>
      </w:r>
      <w:r w:rsidR="00950F3B" w:rsidRPr="003C6DBD">
        <w:rPr>
          <w:rFonts w:ascii="Times New Roman" w:hAnsi="Times New Roman" w:cs="Times New Roman"/>
          <w:color w:val="0D0D0D" w:themeColor="text1" w:themeTint="F2"/>
          <w:sz w:val="24"/>
          <w:szCs w:val="24"/>
        </w:rPr>
        <w:t>possibility</w:t>
      </w:r>
      <w:r w:rsidRPr="003C6DBD">
        <w:rPr>
          <w:rFonts w:ascii="Times New Roman" w:hAnsi="Times New Roman" w:cs="Times New Roman"/>
          <w:color w:val="0D0D0D" w:themeColor="text1" w:themeTint="F2"/>
          <w:sz w:val="24"/>
          <w:szCs w:val="24"/>
        </w:rPr>
        <w:t xml:space="preserve"> of loss, injury, </w:t>
      </w:r>
      <w:r w:rsidR="00950F3B" w:rsidRPr="003C6DBD">
        <w:rPr>
          <w:rFonts w:ascii="Times New Roman" w:hAnsi="Times New Roman" w:cs="Times New Roman"/>
          <w:color w:val="0D0D0D" w:themeColor="text1" w:themeTint="F2"/>
          <w:sz w:val="24"/>
          <w:szCs w:val="24"/>
        </w:rPr>
        <w:t>or other adverse or unwelcome circumstance</w:t>
      </w:r>
      <w:r w:rsidRPr="003C6DBD">
        <w:rPr>
          <w:rFonts w:ascii="Times New Roman" w:hAnsi="Times New Roman" w:cs="Times New Roman"/>
          <w:color w:val="0D0D0D" w:themeColor="text1" w:themeTint="F2"/>
          <w:sz w:val="24"/>
          <w:szCs w:val="24"/>
        </w:rPr>
        <w:t xml:space="preserve">” as this is how companies assess the risk they face </w:t>
      </w:r>
      <w:r w:rsidRPr="003C6DBD">
        <w:rPr>
          <w:rFonts w:ascii="Times New Roman" w:hAnsi="Times New Roman" w:cs="Times New Roman"/>
          <w:color w:val="0D0D0D" w:themeColor="text1" w:themeTint="F2"/>
          <w:sz w:val="24"/>
          <w:szCs w:val="24"/>
        </w:rPr>
        <w:fldChar w:fldCharType="begin"/>
      </w:r>
      <w:r w:rsidR="00950F3B" w:rsidRPr="003C6DBD">
        <w:rPr>
          <w:rFonts w:ascii="Times New Roman" w:hAnsi="Times New Roman" w:cs="Times New Roman"/>
          <w:color w:val="0D0D0D" w:themeColor="text1" w:themeTint="F2"/>
          <w:sz w:val="24"/>
          <w:szCs w:val="24"/>
        </w:rPr>
        <w:instrText xml:space="preserve"> ADDIN ZOTERO_ITEM CSL_CITATION {"citationID":"TD2pG10X","properties":{"custom":"(Pries et al., 2016, p. 94)","formattedCitation":"(Pries et al., 2016, p. 94)","plainCitation":"(Pries et al., 2016, p. 94)","noteIndex":0},"citationItems":[{"id":251,"uris":["http://zotero.org/users/8949154/items/P6NYLUEB"],"itemData":{"id":251,"type":"article-journal","container-title":"Energy Policy","note":"publisher: Elsevier","page":"93–101","source":"Google Scholar","title":"Risks affecting the biofuels industry: A US and Canadian company perspective","title-short":"Risks affecting the biofuels industry","volume":"97","author":[{"family":"Pries","given":"Fred"},{"family":"Talebi","given":"Alireza"},{"family":"Schillo","given":"R. Sandra"},{"family":"Lemay","given":"Margaret A."}],"issued":{"date-parts":[["2016"]]}}}],"schema":"https://github.com/citation-style-language/schema/raw/master/csl-citation.json"}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00950F3B" w:rsidRPr="003C6DBD">
        <w:rPr>
          <w:rFonts w:ascii="Times New Roman" w:hAnsi="Times New Roman" w:cs="Times New Roman"/>
          <w:color w:val="0D0D0D" w:themeColor="text1" w:themeTint="F2"/>
          <w:sz w:val="24"/>
          <w:szCs w:val="24"/>
        </w:rPr>
        <w:t>(Pries et al., 2016, p. 94)</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The Securities and Exchange Commission (SEC) proposed to require disclosure of the risks associated with publicly-traded firms by including a section</w:t>
      </w:r>
      <w:r w:rsidR="00576F91" w:rsidRPr="003C6DBD">
        <w:rPr>
          <w:rFonts w:ascii="Times New Roman" w:hAnsi="Times New Roman" w:cs="Times New Roman"/>
          <w:color w:val="0D0D0D" w:themeColor="text1" w:themeTint="F2"/>
          <w:sz w:val="24"/>
          <w:szCs w:val="24"/>
        </w:rPr>
        <w:t>, r</w:t>
      </w:r>
      <w:r w:rsidR="007262AE" w:rsidRPr="003C6DBD">
        <w:rPr>
          <w:rFonts w:ascii="Times New Roman" w:hAnsi="Times New Roman" w:cs="Times New Roman"/>
          <w:color w:val="0D0D0D" w:themeColor="text1" w:themeTint="F2"/>
          <w:sz w:val="24"/>
          <w:szCs w:val="24"/>
        </w:rPr>
        <w:t>isk factors</w:t>
      </w:r>
      <w:r w:rsidR="00576F91"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t>in their annual reports for “disc</w:t>
      </w:r>
      <w:r w:rsidR="00404600" w:rsidRPr="003C6DBD">
        <w:rPr>
          <w:rFonts w:ascii="Times New Roman" w:hAnsi="Times New Roman" w:cs="Times New Roman"/>
          <w:color w:val="0D0D0D" w:themeColor="text1" w:themeTint="F2"/>
          <w:sz w:val="24"/>
          <w:szCs w:val="24"/>
        </w:rPr>
        <w:t xml:space="preserve">lose risk factors that are specific to company or its industry and </w:t>
      </w:r>
      <w:r w:rsidRPr="003C6DBD">
        <w:rPr>
          <w:rFonts w:ascii="Times New Roman" w:hAnsi="Times New Roman" w:cs="Times New Roman"/>
          <w:color w:val="0D0D0D" w:themeColor="text1" w:themeTint="F2"/>
          <w:sz w:val="24"/>
          <w:szCs w:val="24"/>
        </w:rPr>
        <w:t xml:space="preserve">make </w:t>
      </w:r>
      <w:r w:rsidR="00404600" w:rsidRPr="003C6DBD">
        <w:rPr>
          <w:rFonts w:ascii="Times New Roman" w:hAnsi="Times New Roman" w:cs="Times New Roman"/>
          <w:color w:val="0D0D0D" w:themeColor="text1" w:themeTint="F2"/>
          <w:sz w:val="24"/>
          <w:szCs w:val="24"/>
        </w:rPr>
        <w:t>an</w:t>
      </w:r>
      <w:r w:rsidRPr="003C6DBD">
        <w:rPr>
          <w:rFonts w:ascii="Times New Roman" w:hAnsi="Times New Roman" w:cs="Times New Roman"/>
          <w:color w:val="0D0D0D" w:themeColor="text1" w:themeTint="F2"/>
          <w:sz w:val="24"/>
          <w:szCs w:val="24"/>
        </w:rPr>
        <w:t xml:space="preserve"> offering speculative or</w:t>
      </w:r>
      <w:r w:rsidR="00404600" w:rsidRPr="003C6DBD">
        <w:rPr>
          <w:rFonts w:ascii="Times New Roman" w:hAnsi="Times New Roman" w:cs="Times New Roman"/>
          <w:color w:val="0D0D0D" w:themeColor="text1" w:themeTint="F2"/>
          <w:sz w:val="24"/>
          <w:szCs w:val="24"/>
        </w:rPr>
        <w:t xml:space="preserve"> one of high</w:t>
      </w:r>
      <w:r w:rsidRPr="003C6DBD">
        <w:rPr>
          <w:rFonts w:ascii="Times New Roman" w:hAnsi="Times New Roman" w:cs="Times New Roman"/>
          <w:color w:val="0D0D0D" w:themeColor="text1" w:themeTint="F2"/>
          <w:sz w:val="24"/>
          <w:szCs w:val="24"/>
        </w:rPr>
        <w:t xml:space="preserve"> risk”</w:t>
      </w:r>
      <w:r w:rsidR="00404600" w:rsidRPr="003C6DBD">
        <w:rPr>
          <w:rFonts w:ascii="Times New Roman" w:hAnsi="Times New Roman" w:cs="Times New Roman"/>
          <w:color w:val="0D0D0D" w:themeColor="text1" w:themeTint="F2"/>
          <w:sz w:val="24"/>
          <w:szCs w:val="24"/>
        </w:rPr>
        <w:fldChar w:fldCharType="begin"/>
      </w:r>
      <w:r w:rsidR="00404600" w:rsidRPr="003C6DBD">
        <w:rPr>
          <w:rFonts w:ascii="Times New Roman" w:hAnsi="Times New Roman" w:cs="Times New Roman"/>
          <w:color w:val="0D0D0D" w:themeColor="text1" w:themeTint="F2"/>
          <w:sz w:val="24"/>
          <w:szCs w:val="24"/>
        </w:rPr>
        <w:instrText xml:space="preserve"> ADDIN ZOTERO_ITEM CSL_CITATION {"citationID":"4n6ZrEJf","properties":{"custom":"(Securities and Exchange Commission, 2005, p. 11)","formattedCitation":"(Securities and Exchange Commission, 2005, p. 11)","plainCitation":"(Securities and Exchange Commission, 2005, p. 11)","noteIndex":0},"citationItems":[{"id":433,"uris":["http://zotero.org/users/8949154/items/QXXE3SGW"],"itemData":{"id":433,"type":"document","title":"Securities and exchange commission final rule, release no. 33-8591(FR-75).","URL":"https://www.sec.gov/rules/final/33-8591.pdf","author":[{"family":"Securities and Exchange Commission","given":""}],"issued":{"date-parts":[["2005"]]}}}],"schema":"https://github.com/citation-style-language/schema/raw/master/csl-citation.json"} </w:instrText>
      </w:r>
      <w:r w:rsidR="00404600" w:rsidRPr="003C6DBD">
        <w:rPr>
          <w:rFonts w:ascii="Times New Roman" w:hAnsi="Times New Roman" w:cs="Times New Roman"/>
          <w:color w:val="0D0D0D" w:themeColor="text1" w:themeTint="F2"/>
          <w:sz w:val="24"/>
          <w:szCs w:val="24"/>
        </w:rPr>
        <w:fldChar w:fldCharType="separate"/>
      </w:r>
      <w:r w:rsidR="00404600" w:rsidRPr="003C6DBD">
        <w:rPr>
          <w:rFonts w:ascii="Times New Roman" w:hAnsi="Times New Roman" w:cs="Times New Roman"/>
          <w:color w:val="0D0D0D" w:themeColor="text1" w:themeTint="F2"/>
          <w:sz w:val="24"/>
          <w:szCs w:val="24"/>
        </w:rPr>
        <w:t>(Securities and Exchange Commission, 2005, p. 11)</w:t>
      </w:r>
      <w:r w:rsidR="00404600"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Beginning in 2005, this proposal came into effect and delineated the importance of risk factor disclosures as highly informative and important for investors in decision-making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{"citationID":"CtWuY8Wq","properties":{"formattedCitation":"(Securities and Exchange Commission, 2005)","plainCitation":"(Securities and Exchange Commission, 2005)","noteIndex":0},"citationItems":[{"id":433,"uris":["http://zotero.org/users/8949154/items/QXXE3SGW"],"itemData":{"id":433,"type":"document","title":"Securities and exchange commission final rule, release no. 33-8591(FR-75).","URL":"https://www.sec.gov/rules/final/33-8591.pdf","author":[{"family":"Securities and Exchange Commission","given":""}],"issued":{"date-parts":[["2005"]]}}}],"schema":"https://github.com/citation-style-language/schema/raw/master/csl-citation.json"}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(Securities and Exchange Commission, 2005)</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Therefore, publicly</w:t>
      </w:r>
      <w:r w:rsidR="00DB0055"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t>traded companies disclos</w:t>
      </w:r>
      <w:r w:rsidR="00725DF7" w:rsidRPr="003C6DBD">
        <w:rPr>
          <w:rFonts w:ascii="Times New Roman" w:hAnsi="Times New Roman" w:cs="Times New Roman"/>
          <w:color w:val="0D0D0D" w:themeColor="text1" w:themeTint="F2"/>
          <w:sz w:val="24"/>
          <w:szCs w:val="24"/>
        </w:rPr>
        <w:t xml:space="preserve">e </w:t>
      </w:r>
      <w:r w:rsidR="00660535" w:rsidRPr="003C6DBD">
        <w:rPr>
          <w:rFonts w:ascii="Times New Roman" w:hAnsi="Times New Roman" w:cs="Times New Roman"/>
          <w:color w:val="0D0D0D" w:themeColor="text1" w:themeTint="F2"/>
          <w:sz w:val="24"/>
          <w:szCs w:val="24"/>
        </w:rPr>
        <w:t>element</w:t>
      </w:r>
      <w:r w:rsidR="00725DF7" w:rsidRPr="003C6DBD">
        <w:rPr>
          <w:rFonts w:ascii="Times New Roman" w:hAnsi="Times New Roman" w:cs="Times New Roman"/>
          <w:color w:val="0D0D0D" w:themeColor="text1" w:themeTint="F2"/>
          <w:sz w:val="24"/>
          <w:szCs w:val="24"/>
        </w:rPr>
        <w:t xml:space="preserve"> of risks</w:t>
      </w:r>
      <w:r w:rsidRPr="003C6DBD">
        <w:rPr>
          <w:rFonts w:ascii="Times New Roman" w:hAnsi="Times New Roman" w:cs="Times New Roman"/>
          <w:color w:val="0D0D0D" w:themeColor="text1" w:themeTint="F2"/>
          <w:sz w:val="24"/>
          <w:szCs w:val="24"/>
        </w:rPr>
        <w:t xml:space="preserve"> in their annual reports.</w:t>
      </w:r>
    </w:p>
    <w:p w14:paraId="2357EB78" w14:textId="350DACBF" w:rsidR="00F02DF9" w:rsidRPr="003C6DBD" w:rsidRDefault="00F02DF9" w:rsidP="00FB7608">
      <w:pPr>
        <w:pStyle w:val="Heading4"/>
        <w:rPr>
          <w:color w:val="0D0D0D" w:themeColor="text1" w:themeTint="F2"/>
        </w:rPr>
      </w:pPr>
      <w:r w:rsidRPr="003C6DBD">
        <w:rPr>
          <w:color w:val="0D0D0D" w:themeColor="text1" w:themeTint="F2"/>
        </w:rPr>
        <w:t>3.</w:t>
      </w:r>
      <w:r w:rsidR="00FB7608" w:rsidRPr="003C6DBD">
        <w:rPr>
          <w:color w:val="0D0D0D" w:themeColor="text1" w:themeTint="F2"/>
        </w:rPr>
        <w:t>1.</w:t>
      </w:r>
      <w:r w:rsidRPr="003C6DBD">
        <w:rPr>
          <w:color w:val="0D0D0D" w:themeColor="text1" w:themeTint="F2"/>
        </w:rPr>
        <w:t xml:space="preserve">4 Risks </w:t>
      </w:r>
      <w:r w:rsidR="00E834A1" w:rsidRPr="003C6DBD">
        <w:rPr>
          <w:color w:val="0D0D0D" w:themeColor="text1" w:themeTint="F2"/>
        </w:rPr>
        <w:t>F</w:t>
      </w:r>
      <w:r w:rsidRPr="003C6DBD">
        <w:rPr>
          <w:color w:val="0D0D0D" w:themeColor="text1" w:themeTint="F2"/>
        </w:rPr>
        <w:t xml:space="preserve">aced by the </w:t>
      </w:r>
      <w:r w:rsidR="00E834A1" w:rsidRPr="003C6DBD">
        <w:rPr>
          <w:color w:val="0D0D0D" w:themeColor="text1" w:themeTint="F2"/>
        </w:rPr>
        <w:t>C</w:t>
      </w:r>
      <w:r w:rsidRPr="003C6DBD">
        <w:rPr>
          <w:color w:val="0D0D0D" w:themeColor="text1" w:themeTint="F2"/>
        </w:rPr>
        <w:t>ompanies</w:t>
      </w:r>
    </w:p>
    <w:p w14:paraId="5FCD5B3F" w14:textId="6681A661" w:rsidR="00F02DF9" w:rsidRPr="003C6DBD" w:rsidRDefault="00F02DF9" w:rsidP="002A7494">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Companies face risks that are internal (</w:t>
      </w:r>
      <w:r w:rsidR="00576F91" w:rsidRPr="003C6DBD">
        <w:rPr>
          <w:rFonts w:ascii="Times New Roman" w:hAnsi="Times New Roman" w:cs="Times New Roman"/>
          <w:color w:val="0D0D0D" w:themeColor="text1" w:themeTint="F2"/>
          <w:sz w:val="24"/>
          <w:szCs w:val="24"/>
        </w:rPr>
        <w:t xml:space="preserve">linked </w:t>
      </w:r>
      <w:r w:rsidRPr="003C6DBD">
        <w:rPr>
          <w:rFonts w:ascii="Times New Roman" w:hAnsi="Times New Roman" w:cs="Times New Roman"/>
          <w:color w:val="0D0D0D" w:themeColor="text1" w:themeTint="F2"/>
          <w:sz w:val="24"/>
          <w:szCs w:val="24"/>
        </w:rPr>
        <w:t xml:space="preserve">to the operations and management of the company) and external (risks posed by other factors outside of the company)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{"citationID":"UVKSGIyU","properties":{"formattedCitation":"(COSO, 2004)","plainCitation":"(COSO, 2004)","noteIndex":0},"citationItems":[{"id":253,"uris":["http://zotero.org/users/8949154/items/Y6CEJ96D"],"itemData":{"id":253,"type":"article-journal","container-title":"Committee of Sponsoring Organizations of the Treadway Commission, Durham, NC.","title":"Enterprise Risk Management-Integrated Framework.","author":[{"family":"COSO","given":""}],"issued":{"date-parts":[["2004"]]}}}],"schema":"https://github.com/citation-style-language/schema/raw/master/csl-citation.json"}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(COSO, 2004)</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The internal risks, based upon the value chain model, are categorized into two parts: (</w:t>
      </w:r>
      <w:proofErr w:type="spellStart"/>
      <w:r w:rsidRPr="003C6DBD">
        <w:rPr>
          <w:rFonts w:ascii="Times New Roman" w:hAnsi="Times New Roman" w:cs="Times New Roman"/>
          <w:color w:val="0D0D0D" w:themeColor="text1" w:themeTint="F2"/>
          <w:sz w:val="24"/>
          <w:szCs w:val="24"/>
        </w:rPr>
        <w:t>i</w:t>
      </w:r>
      <w:proofErr w:type="spellEnd"/>
      <w:r w:rsidRPr="003C6DBD">
        <w:rPr>
          <w:rFonts w:ascii="Times New Roman" w:hAnsi="Times New Roman" w:cs="Times New Roman"/>
          <w:color w:val="0D0D0D" w:themeColor="text1" w:themeTint="F2"/>
          <w:sz w:val="24"/>
          <w:szCs w:val="24"/>
        </w:rPr>
        <w:t xml:space="preserve">) primary activities (inbound logistics, operations, outbound logistics, marketing and sales, and service) and (ii) support activities (firm infrastructure, human resource management, technology development, and procurement)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{"citationID":"FcjUfsT9","properties":{"formattedCitation":"(Porter, 1985)","plainCitation":"(Porter, 1985)","noteIndex":0},"citationItems":[{"id":254,"uris":["http://zotero.org/users/8949154/items/ABSWAV7J"],"itemData":{"id":254,"type":"book","publisher":"THE FREE PRESS","title":"Competitive Advantage: Creating and Sustaining Superior Performance","author":[{"family":"Porter","given":"Michael E."}],"issued":{"date-parts":[["1985"]]}}}],"schema":"https://github.com/citation-style-language/schema/raw/master/csl-citation.json"}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(Porter, 1985)</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The assessment of the external risks to the </w:t>
      </w:r>
      <w:r w:rsidRPr="003C6DBD">
        <w:rPr>
          <w:rFonts w:ascii="Times New Roman" w:hAnsi="Times New Roman" w:cs="Times New Roman"/>
          <w:color w:val="0D0D0D" w:themeColor="text1" w:themeTint="F2"/>
          <w:sz w:val="24"/>
          <w:szCs w:val="24"/>
        </w:rPr>
        <w:lastRenderedPageBreak/>
        <w:t xml:space="preserve">company </w:t>
      </w:r>
      <w:r w:rsidR="00794AC7" w:rsidRPr="003C6DBD">
        <w:rPr>
          <w:rFonts w:ascii="Times New Roman" w:hAnsi="Times New Roman" w:cs="Times New Roman"/>
          <w:color w:val="0D0D0D" w:themeColor="text1" w:themeTint="F2"/>
          <w:sz w:val="24"/>
          <w:szCs w:val="24"/>
        </w:rPr>
        <w:t xml:space="preserve">can be </w:t>
      </w:r>
      <w:r w:rsidRPr="003C6DBD">
        <w:rPr>
          <w:rFonts w:ascii="Times New Roman" w:hAnsi="Times New Roman" w:cs="Times New Roman"/>
          <w:color w:val="0D0D0D" w:themeColor="text1" w:themeTint="F2"/>
          <w:sz w:val="24"/>
          <w:szCs w:val="24"/>
        </w:rPr>
        <w:t xml:space="preserve">done by the PEST (Political, Economic, Social, and Technological) framework, categorizing risks according to political, economic, social, and technological categories. The usefulness of this framework is based upon the assumption that a particular organization and its capacity to produce value is dependent on certain external and indirect circumstances that characterize a particular industry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{"citationID":"un4KPHZ2","properties":{"formattedCitation":"(Buchanan &amp; Gibb, 1998)","plainCitation":"(Buchanan &amp; Gibb, 1998)","noteIndex":0},"citationItems":[{"id":255,"uris":["http://zotero.org/users/8949154/items/ZUULVCV3"],"itemData":{"id":255,"type":"article-journal","container-title":"International journal of information management","issue":"1","note":"publisher: Elsevier","page":"29–47","source":"Google Scholar","title":"The information audit: an integrated strategic approach","title-short":"The information audit","volume":"18","author":[{"family":"Buchanan","given":"Steven"},{"family":"Gibb","given":"Forbes"}],"issued":{"date-parts":[["1998"]]}}}],"schema":"https://github.com/citation-style-language/schema/raw/master/csl-citation.json"}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(Buchanan &amp; Gibb, 1998)</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PEST analysis is a tool for understanding the strategic risk that operates by identifying changes in the firm’s competitive position because of the external macro-economic conditions</w:t>
      </w:r>
      <w:r w:rsidRPr="003C6DBD">
        <w:rPr>
          <w:rStyle w:val="FootnoteReference"/>
          <w:rFonts w:ascii="Times New Roman" w:hAnsi="Times New Roman" w:cs="Times New Roman"/>
          <w:color w:val="0D0D0D" w:themeColor="text1" w:themeTint="F2"/>
          <w:sz w:val="24"/>
          <w:szCs w:val="24"/>
        </w:rPr>
        <w:footnoteReference w:id="2"/>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{"citationID":"cCyBNBEw","properties":{"formattedCitation":"(Sammut-Bonnici &amp; Galea, 2014)","plainCitation":"(Sammut-Bonnici &amp; Galea, 2014)","noteIndex":0},"citationItems":[{"id":434,"uris":["http://zotero.org/users/8949154/items/P5Y7AC3H"],"itemData":{"id":434,"type":"article-journal","note":"publisher: John Wiley &amp; Sons","source":"Google Scholar","title":"PEST analysis","author":[{"family":"Sammut-Bonnici","given":"Tanya"},{"family":"Galea","given":"David"}],"issued":{"date-parts":[["2014"]]}}}],"schema":"https://github.com/citation-style-language/schema/raw/master/csl-citation.json"}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(Sammut-Bonnici &amp; Galea, 2014)</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PEST analysis is useful to understand a company, product, industry, business sector, or region/country and understand various macroenvironmental factors to be considered when assessing the growth or decline of a particular industry or market. These macroeconomic conditions generate variables that are beyond the control of a firm but pose significant control over the business. </w:t>
      </w:r>
      <w:r w:rsidR="00116D08" w:rsidRPr="003C6DBD">
        <w:rPr>
          <w:rFonts w:ascii="Times New Roman" w:hAnsi="Times New Roman" w:cs="Times New Roman"/>
          <w:color w:val="0D0D0D" w:themeColor="text1" w:themeTint="F2"/>
          <w:sz w:val="24"/>
          <w:szCs w:val="24"/>
        </w:rPr>
        <w:t xml:space="preserve">PEST </w:t>
      </w:r>
      <w:r w:rsidRPr="003C6DBD">
        <w:rPr>
          <w:rFonts w:ascii="Times New Roman" w:hAnsi="Times New Roman" w:cs="Times New Roman"/>
          <w:color w:val="0D0D0D" w:themeColor="text1" w:themeTint="F2"/>
          <w:sz w:val="24"/>
          <w:szCs w:val="24"/>
        </w:rPr>
        <w:t xml:space="preserve">is one of the important tools to assess the business position and ascertain the direction for the business to thrive in the marketplace and achieve true growth potential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{"citationID":"cL79FUBg","properties":{"formattedCitation":"(Igli\\uc0\\u324{}ski et al., 2016)","plainCitation":"(Igliński et al., 2016)","noteIndex":0},"citationItems":[{"id":502,"uris":["http://zotero.org/users/8949154/items/LUF4YM36"],"itemData":{"id":502,"type":"article-journal","container-title":"Renewable and Sustainable Energy Reviews","note":"publisher: Elsevier","page":"737–750","source":"Google Scholar","title":"Renewable energy production in the \\Lódzkie Voivodeship. The PEST analysis of the RES in the voivodeship and in Poland","volume":"58","author":[{"family":"Igliński","given":"Bart\\lomiej"},{"family":"Iglińska","given":"Anna"},{"family":"Cichosz","given":"Marcin"},{"family":"Kujawski","given":"Wojciech"},{"family":"Buczkowski","given":"Roman"}],"issued":{"date-parts":[["2016"]]}}}],"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(Igliński et al., 2016)</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All the factors outside the organization’s control can only be assessed and either attempt to prevent or react to the situation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{"citationID":"UsuHfRiP","properties":{"formattedCitation":"(Ward, 2005)","plainCitation":"(Ward, 2005)","noteIndex":0},"citationItems":[{"id":499,"uris":["http://zotero.org/users/8949154/items/T8B65TU6"],"itemData":{"id":499,"type":"article-journal","container-title":"Economics Working Papers","note":"publisher: Citeseer","page":"1–24","source":"Google Scholar","title":"An overview of strategy development models and the Ward-Rivani model","volume":"6","author":[{"family":"Ward","given":"David"}],"issued":{"date-parts":[["2005"]]}}}],"schema":"https://github.com/citation-style-language/schema/raw/master/csl-citation.json"}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(Ward, 2005)</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Table 1 </w:t>
      </w:r>
      <w:r w:rsidR="002778BB" w:rsidRPr="003C6DBD">
        <w:rPr>
          <w:rFonts w:ascii="Times New Roman" w:hAnsi="Times New Roman" w:cs="Times New Roman"/>
          <w:color w:val="0D0D0D" w:themeColor="text1" w:themeTint="F2"/>
          <w:sz w:val="24"/>
          <w:szCs w:val="24"/>
        </w:rPr>
        <w:t>shows</w:t>
      </w:r>
      <w:r w:rsidRPr="003C6DBD">
        <w:rPr>
          <w:rFonts w:ascii="Times New Roman" w:hAnsi="Times New Roman" w:cs="Times New Roman"/>
          <w:color w:val="0D0D0D" w:themeColor="text1" w:themeTint="F2"/>
          <w:sz w:val="24"/>
          <w:szCs w:val="24"/>
        </w:rPr>
        <w:t xml:space="preserve"> the major risk categories</w:t>
      </w:r>
      <w:r w:rsidR="00DA00E3" w:rsidRPr="003C6DBD">
        <w:rPr>
          <w:rFonts w:ascii="Times New Roman" w:hAnsi="Times New Roman" w:cs="Times New Roman"/>
          <w:color w:val="0D0D0D" w:themeColor="text1" w:themeTint="F2"/>
          <w:sz w:val="24"/>
          <w:szCs w:val="24"/>
        </w:rPr>
        <w:t>, according to</w:t>
      </w:r>
      <w:r w:rsidR="001A50D5" w:rsidRPr="003C6DBD">
        <w:rPr>
          <w:rFonts w:ascii="Times New Roman" w:hAnsi="Times New Roman" w:cs="Times New Roman"/>
          <w:color w:val="0D0D0D" w:themeColor="text1" w:themeTint="F2"/>
          <w:sz w:val="24"/>
          <w:szCs w:val="24"/>
        </w:rPr>
        <w:t xml:space="preserve"> </w:t>
      </w:r>
      <w:r w:rsidR="001A50D5" w:rsidRPr="003C6DBD">
        <w:rPr>
          <w:rFonts w:ascii="Times New Roman" w:hAnsi="Times New Roman" w:cs="Times New Roman"/>
          <w:color w:val="0D0D0D" w:themeColor="text1" w:themeTint="F2"/>
          <w:sz w:val="24"/>
          <w:szCs w:val="24"/>
        </w:rPr>
        <w:fldChar w:fldCharType="begin"/>
      </w:r>
      <w:r w:rsidR="001A50D5" w:rsidRPr="003C6DBD">
        <w:rPr>
          <w:rFonts w:ascii="Times New Roman" w:hAnsi="Times New Roman" w:cs="Times New Roman"/>
          <w:color w:val="0D0D0D" w:themeColor="text1" w:themeTint="F2"/>
          <w:sz w:val="24"/>
          <w:szCs w:val="24"/>
        </w:rPr>
        <w:instrText xml:space="preserve"> ADDIN ZOTERO_ITEM CSL_CITATION {"citationID":"2ZrNzbid","properties":{"custom":"Pries et al. (2016)","formattedCitation":"Pries et al. (2016)","plainCitation":"Pries et al. (2016)","noteIndex":0},"citationItems":[{"id":251,"uris":["http://zotero.org/users/8949154/items/P6NYLUEB"],"itemData":{"id":251,"type":"article-journal","container-title":"Energy Policy","note":"publisher: Elsevier","page":"93–101","source":"Google Scholar","title":"Risks affecting the biofuels industry: A US and Canadian company perspective","title-short":"Risks affecting the biofuels industry","volume":"97","author":[{"family":"Pries","given":"Fred"},{"family":"Talebi","given":"Alireza"},{"family":"Schillo","given":"R. Sandra"},{"family":"Lemay","given":"Margaret A."}],"issued":{"date-parts":[["2016"]]}}}],"schema":"https://github.com/citation-style-language/schema/raw/master/csl-citation.json"} </w:instrText>
      </w:r>
      <w:r w:rsidR="001A50D5" w:rsidRPr="003C6DBD">
        <w:rPr>
          <w:rFonts w:ascii="Times New Roman" w:hAnsi="Times New Roman" w:cs="Times New Roman"/>
          <w:color w:val="0D0D0D" w:themeColor="text1" w:themeTint="F2"/>
          <w:sz w:val="24"/>
          <w:szCs w:val="24"/>
        </w:rPr>
        <w:fldChar w:fldCharType="separate"/>
      </w:r>
      <w:r w:rsidR="001A50D5" w:rsidRPr="003C6DBD">
        <w:rPr>
          <w:rFonts w:ascii="Times New Roman" w:hAnsi="Times New Roman" w:cs="Times New Roman"/>
          <w:color w:val="0D0D0D" w:themeColor="text1" w:themeTint="F2"/>
          <w:sz w:val="24"/>
          <w:szCs w:val="24"/>
        </w:rPr>
        <w:t>Pries et al. (2016)</w:t>
      </w:r>
      <w:r w:rsidR="001A50D5" w:rsidRPr="003C6DBD">
        <w:rPr>
          <w:rFonts w:ascii="Times New Roman" w:hAnsi="Times New Roman" w:cs="Times New Roman"/>
          <w:color w:val="0D0D0D" w:themeColor="text1" w:themeTint="F2"/>
          <w:sz w:val="24"/>
          <w:szCs w:val="24"/>
        </w:rPr>
        <w:fldChar w:fldCharType="end"/>
      </w:r>
      <w:r w:rsidR="00DA00E3" w:rsidRPr="003C6DBD">
        <w:rPr>
          <w:rFonts w:ascii="Times New Roman" w:hAnsi="Times New Roman" w:cs="Times New Roman"/>
          <w:color w:val="0D0D0D" w:themeColor="text1" w:themeTint="F2"/>
          <w:sz w:val="24"/>
          <w:szCs w:val="24"/>
        </w:rPr>
        <w:t>,</w:t>
      </w:r>
      <w:r w:rsidRPr="003C6DBD">
        <w:rPr>
          <w:rFonts w:ascii="Times New Roman" w:hAnsi="Times New Roman" w:cs="Times New Roman"/>
          <w:color w:val="0D0D0D" w:themeColor="text1" w:themeTint="F2"/>
          <w:sz w:val="24"/>
          <w:szCs w:val="24"/>
        </w:rPr>
        <w:t xml:space="preserve"> included in the PEST framework for our study. </w:t>
      </w:r>
      <w:r w:rsidR="002778BB" w:rsidRPr="003C6DBD">
        <w:rPr>
          <w:rFonts w:ascii="Times New Roman" w:eastAsia="Times New Roman" w:hAnsi="Times New Roman" w:cs="Times New Roman"/>
          <w:color w:val="0D0D0D" w:themeColor="text1" w:themeTint="F2"/>
          <w:sz w:val="24"/>
          <w:szCs w:val="24"/>
        </w:rPr>
        <w:t xml:space="preserve">All tables and figures are located at the end of the document in an appendix. </w:t>
      </w:r>
      <w:r w:rsidRPr="003C6DBD">
        <w:rPr>
          <w:rFonts w:ascii="Times New Roman" w:hAnsi="Times New Roman" w:cs="Times New Roman"/>
          <w:color w:val="0D0D0D" w:themeColor="text1" w:themeTint="F2"/>
          <w:sz w:val="24"/>
          <w:szCs w:val="24"/>
        </w:rPr>
        <w:t>Several studies have used this approach in the past to understand the various factors affecting the business</w:t>
      </w:r>
      <w:r w:rsidR="00101541" w:rsidRPr="003C6DBD">
        <w:rPr>
          <w:rFonts w:ascii="Times New Roman" w:hAnsi="Times New Roman" w:cs="Times New Roman"/>
          <w:color w:val="0D0D0D" w:themeColor="text1" w:themeTint="F2"/>
          <w:sz w:val="24"/>
          <w:szCs w:val="24"/>
        </w:rPr>
        <w:t xml:space="preserve"> </w:t>
      </w:r>
      <w:r w:rsidR="00101541" w:rsidRPr="003C6DBD">
        <w:rPr>
          <w:rFonts w:ascii="Times New Roman" w:hAnsi="Times New Roman" w:cs="Times New Roman"/>
          <w:color w:val="0D0D0D" w:themeColor="text1" w:themeTint="F2"/>
          <w:sz w:val="24"/>
          <w:szCs w:val="24"/>
        </w:rPr>
        <w:fldChar w:fldCharType="begin"/>
      </w:r>
      <w:r w:rsidR="00101541" w:rsidRPr="003C6DBD">
        <w:rPr>
          <w:rFonts w:ascii="Times New Roman" w:hAnsi="Times New Roman" w:cs="Times New Roman"/>
          <w:color w:val="0D0D0D" w:themeColor="text1" w:themeTint="F2"/>
          <w:sz w:val="24"/>
          <w:szCs w:val="24"/>
        </w:rPr>
        <w:instrText xml:space="preserve"> ADDIN ZOTERO_ITEM CSL_CITATION {"citationID":"yGity0F4","properties":{"formattedCitation":"(Igli\\uc0\\u324{}ski et al., 2016; Kolios &amp; Read, 2013; Nunes et al., 2015; Yakubiv et al., 2019; Zalengera et al., 2014)","plainCitation":"(Igliński et al., 2016; Kolios &amp; Read, 2013; Nunes et al., 2015; Yakubiv et al., 2019; Zalengera et al., 2014)","noteIndex":0},"citationItems":[{"id":502,"uris":["http://zotero.org/users/8949154/items/LUF4YM36"],"itemData":{"id":502,"type":"article-journal","container-title":"Renewable and Sustainable Energy Reviews","note":"publisher: Elsevier","page":"737–750","source":"Google Scholar","title":"Renewable energy production in the \\Lódzkie Voivodeship. The PEST analysis of the RES in the voivodeship and in Poland","volume":"58","author":[{"family":"Igliński","given":"Bart\\lomiej"},{"family":"Iglińska","given":"Anna"},{"family":"Cichosz","given":"Marcin"},{"family":"Kujawski","given":"Wojciech"},{"family":"Buczkowski","given":"Roman"}],"issued":{"date-parts":[["2016"]]}}},{"id":504,"uris":["http://zotero.org/users/8949154/items/544S2C2V"],"itemData":{"id":504,"type":"article-journal","container-title":"Energies","issue":"10","note":"publisher: MDPI","page":"5023–5045","source":"Google Scholar","title":"A political, economic, social, technology, legal and environmental (PESTLE) approach for risk identification of the tidal industry in the United Kingdom","volume":"6","author":[{"family":"Kolios","given":"Athanasios"},{"family":"Read","given":"George"}],"issued":{"date-parts":[["2013"]]}}},{"id":510,"uris":["http://zotero.org/users/8949154/items/HE354P5Z"],"itemData":{"id":510,"type":"article-journal","container-title":"Energy","note":"publisher: Elsevier","page":"503–508","source":"Google Scholar","title":"Analysis of the use of biomass as an energy alternative for the Portuguese textile dyeing industry","volume":"84","author":[{"family":"Nunes","given":"L. J. R."},{"family":"Matias","given":"J. C. O."},{"family":"Catalão",</w:instrText>
      </w:r>
      <w:r w:rsidR="00101541" w:rsidRPr="003C6DBD">
        <w:rPr>
          <w:rFonts w:ascii="Times New Roman" w:hAnsi="Times New Roman" w:cs="Times New Roman"/>
          <w:color w:val="0D0D0D" w:themeColor="text1" w:themeTint="F2"/>
          <w:sz w:val="24"/>
          <w:szCs w:val="24"/>
          <w:lang w:val="es-MX"/>
        </w:rPr>
        <w:instrText xml:space="preserve">"given":"J. P. S."}],"issued":{"date-parts":[["2015"]]}}},{"id":512,"uris":["http://zotero.org/users/8949154/items/5HNVNNU3"],"itemData":{"id":512,"type":"paper-conference","container-title":"2019 7th International Conference on Modeling, Development and Strategic Management of Economic System (MDSMES 2019)","page":"217–221","publisher":"Atlantis Press","source":"Google Scholar","title":"Strategic analysis of the potential of bioenergy: outlook for Ukraine","title-short":"Strategic analysis of the potential of bioenergy","author":[{"family":"Yakubiv","given":"Valentyna"},{"family":"Hryhoruk","given":"Iryna"},{"family":"Maksymiv","given":"Yuliia"},{"family":"Popadynets","given":"Nazariy"}],"issued":{"date-parts":[["2019"]]}}},{"id":515,"uris":["http://zotero.org/users/8949154/items/B67P3NQ7"],"itemData":{"id":515,"type":"article-journal","container-title":"Renewable and Sustainable Energy Reviews","note":"publisher: Elsevier","page":"335–347","source":"Google Scholar","title":"Overview of the Malawi energy situation and A PESTLE analysis for sustainable development of renewable energy","volume":"38","author":[{"family":"Zalengera","given":"Collen"},{"family":"Blanchard","given":"Richard E."},{"family":"Eames","given":"Philip C."},{"family":"Juma","given":"Alnord M."},{"family":"Chitawo","given":"Maxon L."},{"family":"Gondwe","given":"Kondwani T."}],"issued":{"date-parts":[["2014"]]}}}],"schema":"https://github.com/citation-style-language/schema/raw/master/csl-citation.json"} </w:instrText>
      </w:r>
      <w:r w:rsidR="00101541" w:rsidRPr="003C6DBD">
        <w:rPr>
          <w:rFonts w:ascii="Times New Roman" w:hAnsi="Times New Roman" w:cs="Times New Roman"/>
          <w:color w:val="0D0D0D" w:themeColor="text1" w:themeTint="F2"/>
          <w:sz w:val="24"/>
          <w:szCs w:val="24"/>
        </w:rPr>
        <w:fldChar w:fldCharType="separate"/>
      </w:r>
      <w:r w:rsidR="00101541" w:rsidRPr="003C6DBD">
        <w:rPr>
          <w:rFonts w:ascii="Times New Roman" w:hAnsi="Times New Roman" w:cs="Times New Roman"/>
          <w:color w:val="0D0D0D" w:themeColor="text1" w:themeTint="F2"/>
          <w:sz w:val="24"/>
          <w:szCs w:val="24"/>
          <w:lang w:val="es-MX"/>
        </w:rPr>
        <w:t>(Igliński et al., 2016; Kolios &amp; Read, 2013; Nunes et al., 2015; Yakubiv et al., 2019; Zalengera et al., 2014)</w:t>
      </w:r>
      <w:r w:rsidR="00101541"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lang w:val="es-MX"/>
        </w:rPr>
        <w:t>.</w:t>
      </w:r>
      <w:r w:rsidR="00101541" w:rsidRPr="003C6DBD">
        <w:rPr>
          <w:rFonts w:ascii="Times New Roman" w:hAnsi="Times New Roman" w:cs="Times New Roman"/>
          <w:color w:val="0D0D0D" w:themeColor="text1" w:themeTint="F2"/>
          <w:sz w:val="24"/>
          <w:szCs w:val="24"/>
          <w:lang w:val="es-MX"/>
        </w:rPr>
        <w:t xml:space="preserve"> </w:t>
      </w:r>
      <w:r w:rsidR="00101541" w:rsidRPr="003C6DBD">
        <w:rPr>
          <w:rFonts w:ascii="Times New Roman" w:hAnsi="Times New Roman" w:cs="Times New Roman"/>
          <w:color w:val="0D0D0D" w:themeColor="text1" w:themeTint="F2"/>
          <w:sz w:val="24"/>
          <w:szCs w:val="24"/>
        </w:rPr>
        <w:t xml:space="preserve">Therefore, </w:t>
      </w:r>
      <w:r w:rsidR="009101E0" w:rsidRPr="003C6DBD">
        <w:rPr>
          <w:rFonts w:ascii="Times New Roman" w:hAnsi="Times New Roman" w:cs="Times New Roman"/>
          <w:color w:val="0D0D0D" w:themeColor="text1" w:themeTint="F2"/>
          <w:sz w:val="24"/>
          <w:szCs w:val="24"/>
        </w:rPr>
        <w:t>the</w:t>
      </w:r>
      <w:r w:rsidR="00101541" w:rsidRPr="003C6DBD">
        <w:rPr>
          <w:rFonts w:ascii="Times New Roman" w:hAnsi="Times New Roman" w:cs="Times New Roman"/>
          <w:color w:val="0D0D0D" w:themeColor="text1" w:themeTint="F2"/>
          <w:sz w:val="24"/>
          <w:szCs w:val="24"/>
        </w:rPr>
        <w:t xml:space="preserve"> PEST framework</w:t>
      </w:r>
      <w:r w:rsidR="009101E0" w:rsidRPr="003C6DBD">
        <w:rPr>
          <w:rFonts w:ascii="Times New Roman" w:hAnsi="Times New Roman" w:cs="Times New Roman"/>
          <w:color w:val="0D0D0D" w:themeColor="text1" w:themeTint="F2"/>
          <w:sz w:val="24"/>
          <w:szCs w:val="24"/>
        </w:rPr>
        <w:t xml:space="preserve"> was utilized</w:t>
      </w:r>
      <w:r w:rsidR="00101541" w:rsidRPr="003C6DBD">
        <w:rPr>
          <w:rFonts w:ascii="Times New Roman" w:hAnsi="Times New Roman" w:cs="Times New Roman"/>
          <w:color w:val="0D0D0D" w:themeColor="text1" w:themeTint="F2"/>
          <w:sz w:val="24"/>
          <w:szCs w:val="24"/>
        </w:rPr>
        <w:t xml:space="preserve"> to assess risks reported by the sample of publicly</w:t>
      </w:r>
      <w:r w:rsidR="00DB0055" w:rsidRPr="003C6DBD">
        <w:rPr>
          <w:rFonts w:ascii="Times New Roman" w:hAnsi="Times New Roman" w:cs="Times New Roman"/>
          <w:color w:val="0D0D0D" w:themeColor="text1" w:themeTint="F2"/>
          <w:sz w:val="24"/>
          <w:szCs w:val="24"/>
        </w:rPr>
        <w:t xml:space="preserve"> </w:t>
      </w:r>
      <w:r w:rsidR="00101541" w:rsidRPr="003C6DBD">
        <w:rPr>
          <w:rFonts w:ascii="Times New Roman" w:hAnsi="Times New Roman" w:cs="Times New Roman"/>
          <w:color w:val="0D0D0D" w:themeColor="text1" w:themeTint="F2"/>
          <w:sz w:val="24"/>
          <w:szCs w:val="24"/>
        </w:rPr>
        <w:t xml:space="preserve">traded biofuel companies. </w:t>
      </w:r>
    </w:p>
    <w:p w14:paraId="339E11B6" w14:textId="5CC6519C" w:rsidR="00FB7608" w:rsidRPr="003C6DBD" w:rsidRDefault="00FB7608" w:rsidP="00FB7608">
      <w:pPr>
        <w:pStyle w:val="Heading3"/>
        <w:spacing w:line="480" w:lineRule="auto"/>
        <w:rPr>
          <w:rFonts w:cs="Times New Roman"/>
          <w:color w:val="0D0D0D" w:themeColor="text1" w:themeTint="F2"/>
          <w:szCs w:val="24"/>
        </w:rPr>
      </w:pPr>
      <w:bookmarkStart w:id="19" w:name="_Toc132761837"/>
      <w:r w:rsidRPr="003C6DBD">
        <w:rPr>
          <w:rFonts w:cs="Times New Roman"/>
          <w:color w:val="0D0D0D" w:themeColor="text1" w:themeTint="F2"/>
          <w:szCs w:val="24"/>
        </w:rPr>
        <w:lastRenderedPageBreak/>
        <w:t>3.2 Analytical Framework for Financial Analysis</w:t>
      </w:r>
      <w:bookmarkEnd w:id="19"/>
    </w:p>
    <w:p w14:paraId="6D077F23" w14:textId="77777777" w:rsidR="00FB7608" w:rsidRPr="003C6DBD" w:rsidRDefault="00FB7608" w:rsidP="00FB7608">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The financial performance of companies can be examined by either the absolute performance or the relative performance in terms of financial ratios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{"citationID":"smpL3cPI","properties":{"formattedCitation":"(Katchova &amp; Enlow, 2013)","plainCitation":"(Katchova &amp; Enlow, 2013)","noteIndex":0},"citationItems":[{"id":219,"uris":["http://zotero.org/users/8949154/items/SUB5H9EB"],"itemData":{"id":219,"type":"article-journal","container-title":"Agricultural Finance Review","note":"publisher: Emerald Group Publishing Limited","source":"Google Scholar","title":"Financial performance of publicly-traded agribusinesses","author":[{"family":"Katchova","given":"Ani L."},{"family":"Enlow","given":"Sierra J."}],"issued":{"date-parts":[["2013"]]}}}],"schema":"https://github.com/citation-style-language/schema/raw/master/csl-citation.json"}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(Katchova &amp; Enlow, 2013)</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Absolute performance can be employed to compare the firms only if they have similar scales of operation. Financial ratios, on the other hand, allow us to scale for factors like size and allow us to compare the financial performance of firms within an industry and across industries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{"citationID":"15ezGkQa","properties":{"formattedCitation":"(Katchova &amp; Enlow, 2013)","plainCitation":"(Katchova &amp; Enlow, 2013)","noteIndex":0},"citationItems":[{"id":219,"uris":["http://zotero.org/users/8949154/items/SUB5H9EB"],"itemData":{"id":219,"type":"article-journal","container-title":"Agricultural Finance Review","note":"publisher: Emerald Group Publishing Limited","source":"Google Scholar","title":"Financial performance of publicly-traded agribusinesses","author":[{"family":"Katchova","given":"Ani L."},{"family":"Enlow","given":"Sierra J."}],"issued":{"date-parts":[["2013"]]}}}],"schema":"https://github.com/citation-style-language/schema/raw/master/csl-citation.json"}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(Katchova &amp; Enlow, 2013)</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w:t>
      </w:r>
    </w:p>
    <w:p w14:paraId="53A556FA" w14:textId="739F4701" w:rsidR="00FB7608" w:rsidRPr="003C6DBD" w:rsidRDefault="00FB7608" w:rsidP="00FB7608">
      <w:pPr>
        <w:tabs>
          <w:tab w:val="left" w:pos="72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b/>
        <w:t xml:space="preserve">The financial analysis of our sample of biofuel companies includes five different types of financial ratios: profitability, liquidity, efficiency, solvency, cash-flows, and market-related ratios. These ratios were chosen to analyze the financial performance because these are the common financial ratio categories used to evaluate financial performance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{"citationID":"bJ8Czjtq","properties":{"formattedCitation":"(Goldmann &amp; Zawadzki, 2022; Katchova &amp; Enlow, 2013; Trejo-Pech et al., 2023)","plainCitation":"(Goldmann &amp; Zawadzki, 2022; Katchova &amp; Enlow, 2013; Trejo-Pech et al., 2023)","noteIndex":0},"citationItems":[{"id":741,"uris":["http://zotero.org/users/8949154/items/63XQ2J6P"],"itemData":{"id":741,"type":"article-journal","container-title":"Energies","issue":"22","note":"publisher: MDPI","page":"8770","source":"Google Scholar","title":"Financial Sector Analysis of Companies in the Energy Industry Listed on the Warsaw Stock Exchange","volume":"15","author":[{"family":"Goldmann","given":"Katarzyna"},{"family":"Zawadzki","given":"Aleksander"}],"issued":{"date-parts":[["2022"]]}}},{"id":219,"uris":["http://zotero.org/users/8949154/items/SUB5H9EB"],"itemData":{"id":219,"type":"article-journal","container-title":"Agricultural Finance Review","note":"publisher: Emerald Group Publishing Limited","source":"Google Scholar","title":"Financial performance of publicly-traded agribusinesses","author":[{"family":"Katchova","given":"Ani L."},{"family":"Enlow","given":"Sierra J."}],"issued":{"date-parts":[["2013"]]}}},{"id":183,"uris":["http://zotero.org/users/8949154/items/GSWF26NN"],"itemData":{"id":183,"type":"article-journal","container-title":"Agricultural Finance Review","title":"How does the financial performance of sugar-using firms compare to other agribusinesses? An accounting and economic profit rates analysis. (Forthcoming).","author":[{"family":"Trejo-Pech","given":"C."},{"family":"DeLong","given":"K."},{"family":"Johansson","given":"R."}],"issued":{"date-parts":[["2023"]]}}}],"schema":"https://github.com/citation-style-language/schema/raw/master/csl-citation.json"}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(Goldmann &amp; Zawadzki, 2022; Katchova &amp; Enlow, 2013; Trejo-Pech et al., 2023)</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w:t>
      </w:r>
    </w:p>
    <w:p w14:paraId="0906A764" w14:textId="77777777" w:rsidR="00FB7608" w:rsidRPr="003C6DBD" w:rsidRDefault="00FB7608" w:rsidP="00FB7608">
      <w:pPr>
        <w:tabs>
          <w:tab w:val="left" w:pos="72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b/>
        <w:t>Profitability ratios reflect the net result of firm operations and financing decisions. A company must be profitable and ensure that shareholders are receiving appropriate benefits for its survival. We measure profitability using five popular specific indicators. Return on assets (ROA) evaluates a firm’s performance in terms of total assets. Return on equity (ROE) evaluates a firm’s performance in terms of total equity. Return on Capital (ROC) relates financial performance to capital components -the sum of equity and debt. The net margin ratio explores net income to total revenues. EBITDA margin</w:t>
      </w:r>
      <w:r w:rsidRPr="003C6DBD">
        <w:rPr>
          <w:rStyle w:val="FootnoteReference"/>
          <w:rFonts w:ascii="Times New Roman" w:hAnsi="Times New Roman" w:cs="Times New Roman"/>
          <w:color w:val="0D0D0D" w:themeColor="text1" w:themeTint="F2"/>
          <w:sz w:val="24"/>
          <w:szCs w:val="24"/>
        </w:rPr>
        <w:footnoteReference w:id="3"/>
      </w:r>
      <w:r w:rsidRPr="003C6DBD">
        <w:rPr>
          <w:rFonts w:ascii="Times New Roman" w:hAnsi="Times New Roman" w:cs="Times New Roman"/>
          <w:color w:val="0D0D0D" w:themeColor="text1" w:themeTint="F2"/>
          <w:sz w:val="24"/>
          <w:szCs w:val="24"/>
        </w:rPr>
        <w:t xml:space="preserve"> is the sum of EBIT</w:t>
      </w:r>
      <w:r w:rsidRPr="003C6DBD">
        <w:rPr>
          <w:rStyle w:val="FootnoteReference"/>
          <w:rFonts w:ascii="Times New Roman" w:hAnsi="Times New Roman" w:cs="Times New Roman"/>
          <w:color w:val="0D0D0D" w:themeColor="text1" w:themeTint="F2"/>
          <w:sz w:val="24"/>
          <w:szCs w:val="24"/>
        </w:rPr>
        <w:footnoteReference w:id="4"/>
      </w:r>
      <w:r w:rsidRPr="003C6DBD">
        <w:rPr>
          <w:rFonts w:ascii="Times New Roman" w:hAnsi="Times New Roman" w:cs="Times New Roman"/>
          <w:color w:val="0D0D0D" w:themeColor="text1" w:themeTint="F2"/>
          <w:sz w:val="24"/>
          <w:szCs w:val="24"/>
        </w:rPr>
        <w:t xml:space="preserve"> and depreciation and amortization divided by total revenues. Likewise, liquidity ratios discuss the ability of the firm to </w:t>
      </w:r>
      <w:r w:rsidRPr="003C6DBD">
        <w:rPr>
          <w:rFonts w:ascii="Times New Roman" w:hAnsi="Times New Roman" w:cs="Times New Roman"/>
          <w:color w:val="0D0D0D" w:themeColor="text1" w:themeTint="F2"/>
          <w:sz w:val="24"/>
          <w:szCs w:val="24"/>
        </w:rPr>
        <w:lastRenderedPageBreak/>
        <w:t xml:space="preserve">pay off its debts maturing within a year. We use the current ratio to measure liquidity which is calculated by dividing the current assets by the current liabilities. Current assets typically consist of cash, accounts receivable, and inventories. Current liabilities include accounts payable, accrued expenses, and short-term loans. The current ratio above 1 indicates the ability of the firm to cover short-term liabilities. </w:t>
      </w:r>
    </w:p>
    <w:p w14:paraId="5F505063" w14:textId="19D641DA" w:rsidR="00FB7608" w:rsidRPr="003C6DBD" w:rsidRDefault="00FB7608" w:rsidP="00FB7608">
      <w:pPr>
        <w:tabs>
          <w:tab w:val="left" w:pos="72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b/>
        <w:t xml:space="preserve">Efficiency ratios measure how effectively the firm is managing its resources. We use asset turnover and inventory turnover ratios in our study. Asset turnover is total revenues to total assets. Inventory turnover is the total cost of goods sold to </w:t>
      </w:r>
      <w:r w:rsidR="00347627" w:rsidRPr="003C6DBD">
        <w:rPr>
          <w:rFonts w:ascii="Times New Roman" w:hAnsi="Times New Roman" w:cs="Times New Roman"/>
          <w:color w:val="0D0D0D" w:themeColor="text1" w:themeTint="F2"/>
          <w:sz w:val="24"/>
          <w:szCs w:val="24"/>
        </w:rPr>
        <w:t>the average</w:t>
      </w:r>
      <w:r w:rsidRPr="003C6DBD">
        <w:rPr>
          <w:rFonts w:ascii="Times New Roman" w:hAnsi="Times New Roman" w:cs="Times New Roman"/>
          <w:color w:val="0D0D0D" w:themeColor="text1" w:themeTint="F2"/>
          <w:sz w:val="24"/>
          <w:szCs w:val="24"/>
        </w:rPr>
        <w:t xml:space="preserve"> inventory. Solvency ratios examine the firm’s ability to meet its long-term debt obligations. </w:t>
      </w:r>
    </w:p>
    <w:p w14:paraId="383A0BA2" w14:textId="24F70BD0" w:rsidR="00CD1E43" w:rsidRPr="003C6DBD" w:rsidRDefault="00FB7608" w:rsidP="00C3000E">
      <w:pPr>
        <w:tabs>
          <w:tab w:val="left" w:pos="72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b/>
        <w:t xml:space="preserve">Market ratios examine the market performance of a company. We use the P/E ratio that examines the company’s market price per share to diluted earnings per share. Earnings per share (EPS) estimates the profits made by a company for each share of its stock. Stock returns </w:t>
      </w:r>
      <w:r w:rsidR="00347627" w:rsidRPr="003C6DBD">
        <w:rPr>
          <w:rFonts w:ascii="Times New Roman" w:hAnsi="Times New Roman" w:cs="Times New Roman"/>
          <w:color w:val="0D0D0D" w:themeColor="text1" w:themeTint="F2"/>
          <w:sz w:val="24"/>
          <w:szCs w:val="24"/>
        </w:rPr>
        <w:t>estimate</w:t>
      </w:r>
      <w:r w:rsidRPr="003C6DBD">
        <w:rPr>
          <w:rFonts w:ascii="Times New Roman" w:hAnsi="Times New Roman" w:cs="Times New Roman"/>
          <w:color w:val="0D0D0D" w:themeColor="text1" w:themeTint="F2"/>
          <w:sz w:val="24"/>
          <w:szCs w:val="24"/>
        </w:rPr>
        <w:t xml:space="preserve"> the profit or loss made by an investor on their investment in a particular stock over a period. The Altman Z-score helps to evaluate the company's financial health and potential risk of bankruptcy. </w:t>
      </w:r>
      <w:r w:rsidR="00347627" w:rsidRPr="003C6DBD">
        <w:rPr>
          <w:rFonts w:ascii="Times New Roman" w:hAnsi="Times New Roman" w:cs="Times New Roman"/>
          <w:color w:val="0D0D0D" w:themeColor="text1" w:themeTint="F2"/>
          <w:sz w:val="24"/>
          <w:szCs w:val="24"/>
        </w:rPr>
        <w:t>Companies</w:t>
      </w:r>
      <w:r w:rsidRPr="003C6DBD">
        <w:rPr>
          <w:rFonts w:ascii="Times New Roman" w:hAnsi="Times New Roman" w:cs="Times New Roman"/>
          <w:color w:val="0D0D0D" w:themeColor="text1" w:themeTint="F2"/>
          <w:sz w:val="24"/>
          <w:szCs w:val="24"/>
        </w:rPr>
        <w:t xml:space="preserve"> with score 3.0 and higher are considered financially healthy and low risk of bankruptcy. Cash flows ratio measures </w:t>
      </w:r>
      <w:r w:rsidR="00347627" w:rsidRPr="003C6DBD">
        <w:rPr>
          <w:rFonts w:ascii="Times New Roman" w:hAnsi="Times New Roman" w:cs="Times New Roman"/>
          <w:color w:val="0D0D0D" w:themeColor="text1" w:themeTint="F2"/>
          <w:sz w:val="24"/>
          <w:szCs w:val="24"/>
        </w:rPr>
        <w:t>a company’s</w:t>
      </w:r>
      <w:r w:rsidRPr="003C6DBD">
        <w:rPr>
          <w:rFonts w:ascii="Times New Roman" w:hAnsi="Times New Roman" w:cs="Times New Roman"/>
          <w:color w:val="0D0D0D" w:themeColor="text1" w:themeTint="F2"/>
          <w:sz w:val="24"/>
          <w:szCs w:val="24"/>
        </w:rPr>
        <w:t xml:space="preserve"> ability to generate and manage cash. </w:t>
      </w:r>
    </w:p>
    <w:p w14:paraId="1707B7D4" w14:textId="77777777" w:rsidR="00ED708E" w:rsidRPr="003C6DBD" w:rsidRDefault="00ED708E" w:rsidP="00C3000E">
      <w:pPr>
        <w:tabs>
          <w:tab w:val="left" w:pos="720"/>
        </w:tabs>
        <w:spacing w:line="480" w:lineRule="auto"/>
        <w:rPr>
          <w:rFonts w:ascii="Times New Roman" w:hAnsi="Times New Roman" w:cs="Times New Roman"/>
          <w:color w:val="0D0D0D" w:themeColor="text1" w:themeTint="F2"/>
          <w:sz w:val="24"/>
          <w:szCs w:val="24"/>
        </w:rPr>
      </w:pPr>
    </w:p>
    <w:p w14:paraId="6668E19D" w14:textId="77777777" w:rsidR="00ED708E" w:rsidRPr="003C6DBD" w:rsidRDefault="00ED708E" w:rsidP="00C3000E">
      <w:pPr>
        <w:tabs>
          <w:tab w:val="left" w:pos="720"/>
        </w:tabs>
        <w:spacing w:line="480" w:lineRule="auto"/>
        <w:rPr>
          <w:rFonts w:ascii="Times New Roman" w:hAnsi="Times New Roman" w:cs="Times New Roman"/>
          <w:color w:val="0D0D0D" w:themeColor="text1" w:themeTint="F2"/>
          <w:sz w:val="24"/>
          <w:szCs w:val="24"/>
        </w:rPr>
      </w:pPr>
    </w:p>
    <w:p w14:paraId="75CB16B0" w14:textId="77777777" w:rsidR="00ED708E" w:rsidRPr="003C6DBD" w:rsidRDefault="00ED708E" w:rsidP="00C3000E">
      <w:pPr>
        <w:tabs>
          <w:tab w:val="left" w:pos="720"/>
        </w:tabs>
        <w:spacing w:line="480" w:lineRule="auto"/>
        <w:rPr>
          <w:rFonts w:ascii="Times New Roman" w:hAnsi="Times New Roman" w:cs="Times New Roman"/>
          <w:color w:val="0D0D0D" w:themeColor="text1" w:themeTint="F2"/>
          <w:sz w:val="24"/>
          <w:szCs w:val="24"/>
        </w:rPr>
      </w:pPr>
    </w:p>
    <w:p w14:paraId="3448CE5F" w14:textId="77777777" w:rsidR="00ED708E" w:rsidRPr="003C6DBD" w:rsidRDefault="00ED708E" w:rsidP="00C3000E">
      <w:pPr>
        <w:tabs>
          <w:tab w:val="left" w:pos="720"/>
        </w:tabs>
        <w:spacing w:line="480" w:lineRule="auto"/>
        <w:rPr>
          <w:rFonts w:ascii="Times New Roman" w:hAnsi="Times New Roman" w:cs="Times New Roman"/>
          <w:color w:val="0D0D0D" w:themeColor="text1" w:themeTint="F2"/>
          <w:sz w:val="24"/>
          <w:szCs w:val="24"/>
        </w:rPr>
      </w:pPr>
    </w:p>
    <w:p w14:paraId="5D5D19E4" w14:textId="77777777" w:rsidR="00ED708E" w:rsidRPr="003C6DBD" w:rsidRDefault="00ED708E" w:rsidP="00C3000E">
      <w:pPr>
        <w:tabs>
          <w:tab w:val="left" w:pos="720"/>
        </w:tabs>
        <w:spacing w:line="480" w:lineRule="auto"/>
        <w:rPr>
          <w:rFonts w:ascii="Times New Roman" w:hAnsi="Times New Roman" w:cs="Times New Roman"/>
          <w:color w:val="0D0D0D" w:themeColor="text1" w:themeTint="F2"/>
          <w:sz w:val="24"/>
          <w:szCs w:val="24"/>
        </w:rPr>
      </w:pPr>
    </w:p>
    <w:p w14:paraId="25DD13C7" w14:textId="77777777" w:rsidR="003069F9" w:rsidRPr="003C6DBD" w:rsidRDefault="003F6F35" w:rsidP="00ED708E">
      <w:pPr>
        <w:pStyle w:val="Heading1"/>
        <w:spacing w:line="480" w:lineRule="auto"/>
        <w:rPr>
          <w:rFonts w:cs="Times New Roman"/>
          <w:color w:val="0D0D0D" w:themeColor="text1" w:themeTint="F2"/>
          <w:szCs w:val="24"/>
        </w:rPr>
      </w:pPr>
      <w:bookmarkStart w:id="20" w:name="_Toc132761838"/>
      <w:r w:rsidRPr="003C6DBD">
        <w:rPr>
          <w:rFonts w:cs="Times New Roman"/>
          <w:color w:val="0D0D0D" w:themeColor="text1" w:themeTint="F2"/>
          <w:szCs w:val="24"/>
        </w:rPr>
        <w:lastRenderedPageBreak/>
        <w:t>CHAPTER</w:t>
      </w:r>
      <w:r w:rsidR="00062ED5" w:rsidRPr="003C6DBD">
        <w:rPr>
          <w:rFonts w:cs="Times New Roman"/>
          <w:color w:val="0D0D0D" w:themeColor="text1" w:themeTint="F2"/>
          <w:szCs w:val="24"/>
        </w:rPr>
        <w:t xml:space="preserve"> IV</w:t>
      </w:r>
      <w:bookmarkEnd w:id="20"/>
    </w:p>
    <w:p w14:paraId="2D4C8F89" w14:textId="6968F54F" w:rsidR="001E629A" w:rsidRPr="003C6DBD" w:rsidRDefault="003F6F35" w:rsidP="00ED708E">
      <w:pPr>
        <w:pStyle w:val="Heading2"/>
        <w:rPr>
          <w:color w:val="0D0D0D" w:themeColor="text1" w:themeTint="F2"/>
        </w:rPr>
      </w:pPr>
      <w:bookmarkStart w:id="21" w:name="_Toc427156470"/>
      <w:bookmarkStart w:id="22" w:name="_Toc428278477"/>
      <w:bookmarkStart w:id="23" w:name="_Toc132761839"/>
      <w:r w:rsidRPr="003C6DBD">
        <w:rPr>
          <w:color w:val="0D0D0D" w:themeColor="text1" w:themeTint="F2"/>
        </w:rPr>
        <w:t>MATERIALS AND METHODS</w:t>
      </w:r>
      <w:bookmarkEnd w:id="21"/>
      <w:bookmarkEnd w:id="22"/>
      <w:bookmarkEnd w:id="23"/>
    </w:p>
    <w:p w14:paraId="6D2B573B" w14:textId="77777777" w:rsidR="0048143C" w:rsidRPr="003C6DBD" w:rsidRDefault="003F6F35" w:rsidP="002A7494">
      <w:pPr>
        <w:pStyle w:val="Heading3"/>
        <w:spacing w:line="480" w:lineRule="auto"/>
        <w:rPr>
          <w:rFonts w:cs="Times New Roman"/>
          <w:i/>
          <w:iCs/>
          <w:color w:val="0D0D0D" w:themeColor="text1" w:themeTint="F2"/>
          <w:szCs w:val="24"/>
        </w:rPr>
      </w:pPr>
      <w:bookmarkStart w:id="24" w:name="_Toc132761840"/>
      <w:r w:rsidRPr="003C6DBD">
        <w:rPr>
          <w:rFonts w:cs="Times New Roman"/>
          <w:color w:val="0D0D0D" w:themeColor="text1" w:themeTint="F2"/>
          <w:szCs w:val="24"/>
        </w:rPr>
        <w:t xml:space="preserve">4.1 </w:t>
      </w:r>
      <w:r w:rsidR="0016294D" w:rsidRPr="003C6DBD">
        <w:rPr>
          <w:rFonts w:cs="Times New Roman"/>
          <w:color w:val="0D0D0D" w:themeColor="text1" w:themeTint="F2"/>
          <w:szCs w:val="24"/>
        </w:rPr>
        <w:t xml:space="preserve">Sample </w:t>
      </w:r>
      <w:r w:rsidR="00B4040C" w:rsidRPr="003C6DBD">
        <w:rPr>
          <w:rFonts w:cs="Times New Roman"/>
          <w:color w:val="0D0D0D" w:themeColor="text1" w:themeTint="F2"/>
          <w:szCs w:val="24"/>
        </w:rPr>
        <w:t>S</w:t>
      </w:r>
      <w:r w:rsidR="0016294D" w:rsidRPr="003C6DBD">
        <w:rPr>
          <w:rFonts w:cs="Times New Roman"/>
          <w:color w:val="0D0D0D" w:themeColor="text1" w:themeTint="F2"/>
          <w:szCs w:val="24"/>
        </w:rPr>
        <w:t>election</w:t>
      </w:r>
      <w:bookmarkEnd w:id="24"/>
    </w:p>
    <w:p w14:paraId="32BE51D2" w14:textId="18811C52" w:rsidR="00FA4E6B" w:rsidRPr="003C6DBD" w:rsidRDefault="00451BCF" w:rsidP="002A7494">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An organized search was performed to identify publicly traded biofuel companies regardless of the country of origin. We utilized the North American Industry Classification System (NAICS), google scholar and journal articles, and Standard and Poor’s as sources to identify those companies</w:t>
      </w:r>
      <w:r w:rsidR="003D2CBA" w:rsidRPr="003C6DBD">
        <w:rPr>
          <w:rFonts w:ascii="Times New Roman" w:hAnsi="Times New Roman" w:cs="Times New Roman"/>
          <w:color w:val="0D0D0D" w:themeColor="text1" w:themeTint="F2"/>
          <w:sz w:val="24"/>
          <w:szCs w:val="24"/>
        </w:rPr>
        <w:t>.</w:t>
      </w:r>
    </w:p>
    <w:p w14:paraId="4A55A19B" w14:textId="77777777" w:rsidR="0016294D" w:rsidRPr="003C6DBD" w:rsidRDefault="003F6F35" w:rsidP="002A7494">
      <w:pPr>
        <w:pStyle w:val="Heading4"/>
        <w:rPr>
          <w:color w:val="0D0D0D" w:themeColor="text1" w:themeTint="F2"/>
        </w:rPr>
      </w:pPr>
      <w:r w:rsidRPr="003C6DBD">
        <w:rPr>
          <w:color w:val="0D0D0D" w:themeColor="text1" w:themeTint="F2"/>
        </w:rPr>
        <w:t xml:space="preserve">4.1.1 </w:t>
      </w:r>
      <w:r w:rsidR="0048143C" w:rsidRPr="003C6DBD">
        <w:rPr>
          <w:color w:val="0D0D0D" w:themeColor="text1" w:themeTint="F2"/>
        </w:rPr>
        <w:t>Using North American Industry Classification System (NAICS) and Industry Identification</w:t>
      </w:r>
    </w:p>
    <w:p w14:paraId="3F504902" w14:textId="18A16EC4" w:rsidR="00BB12EE" w:rsidRPr="003C6DBD" w:rsidRDefault="00BB12EE" w:rsidP="002A7494">
      <w:pPr>
        <w:pStyle w:val="comp"/>
        <w:spacing w:before="0" w:beforeAutospacing="0" w:after="160" w:afterAutospacing="0" w:line="480" w:lineRule="auto"/>
        <w:ind w:firstLine="720"/>
        <w:rPr>
          <w:rFonts w:eastAsiaTheme="minorHAnsi"/>
          <w:color w:val="0D0D0D" w:themeColor="text1" w:themeTint="F2"/>
        </w:rPr>
      </w:pPr>
      <w:r w:rsidRPr="003C6DBD">
        <w:rPr>
          <w:rFonts w:eastAsiaTheme="minorHAnsi"/>
          <w:color w:val="0D0D0D" w:themeColor="text1" w:themeTint="F2"/>
        </w:rPr>
        <w:t xml:space="preserve">The NAICS is a standard system for classifying business establishments into multiple groups based on the similarities of the production processes employed in the industry. NAICS is a joint effort of Statistics Canada, Mexico’s Instituto Nacional de </w:t>
      </w:r>
      <w:proofErr w:type="spellStart"/>
      <w:r w:rsidRPr="003C6DBD">
        <w:rPr>
          <w:rFonts w:eastAsiaTheme="minorHAnsi"/>
          <w:color w:val="0D0D0D" w:themeColor="text1" w:themeTint="F2"/>
        </w:rPr>
        <w:t>Estadística</w:t>
      </w:r>
      <w:proofErr w:type="spellEnd"/>
      <w:r w:rsidRPr="003C6DBD">
        <w:rPr>
          <w:rFonts w:eastAsiaTheme="minorHAnsi"/>
          <w:color w:val="0D0D0D" w:themeColor="text1" w:themeTint="F2"/>
        </w:rPr>
        <w:t xml:space="preserve"> y </w:t>
      </w:r>
      <w:proofErr w:type="spellStart"/>
      <w:r w:rsidRPr="003C6DBD">
        <w:rPr>
          <w:rFonts w:eastAsiaTheme="minorHAnsi"/>
          <w:color w:val="0D0D0D" w:themeColor="text1" w:themeTint="F2"/>
        </w:rPr>
        <w:t>Geografía</w:t>
      </w:r>
      <w:proofErr w:type="spellEnd"/>
      <w:r w:rsidRPr="003C6DBD">
        <w:rPr>
          <w:rFonts w:eastAsiaTheme="minorHAnsi"/>
          <w:color w:val="0D0D0D" w:themeColor="text1" w:themeTint="F2"/>
        </w:rPr>
        <w:t xml:space="preserve"> (INEGI), and the US Economic Classification Policy Committee (ECPC) under the Office of Management and Budget (OMB). This system of classification came into practice to enhance uniformity and comparability for business statistics among North American countries. The 2017 NAICS </w:t>
      </w:r>
      <w:r w:rsidR="00862F9D" w:rsidRPr="003C6DBD">
        <w:rPr>
          <w:rFonts w:eastAsiaTheme="minorHAnsi"/>
          <w:color w:val="0D0D0D" w:themeColor="text1" w:themeTint="F2"/>
        </w:rPr>
        <w:t xml:space="preserve">has </w:t>
      </w:r>
      <w:r w:rsidRPr="003C6DBD">
        <w:rPr>
          <w:rFonts w:eastAsiaTheme="minorHAnsi"/>
          <w:color w:val="0D0D0D" w:themeColor="text1" w:themeTint="F2"/>
        </w:rPr>
        <w:t xml:space="preserve">20 sectors and 1,057 industries </w:t>
      </w:r>
      <w:r w:rsidRPr="003C6DBD">
        <w:rPr>
          <w:rFonts w:eastAsiaTheme="minorHAnsi"/>
          <w:color w:val="0D0D0D" w:themeColor="text1" w:themeTint="F2"/>
        </w:rPr>
        <w:fldChar w:fldCharType="begin"/>
      </w:r>
      <w:r w:rsidRPr="003C6DBD">
        <w:rPr>
          <w:rFonts w:eastAsiaTheme="minorHAnsi"/>
          <w:color w:val="0D0D0D" w:themeColor="text1" w:themeTint="F2"/>
        </w:rPr>
        <w:instrText xml:space="preserve"> ADDIN ZOTERO_ITEM CSL_CITATION {"citationID":"Jp2kTaCM","properties":{"formattedCitation":"(NAICS, 2017)","plainCitation":"(NAICS, 2017)","noteIndex":0},"citationItems":[{"id":250,"uris":["http://zotero.org/users/8949154/items/H26D8MZW"],"itemData":{"id":250,"type":"document","title":"North American Industry Classification System (NAICS)","author":[{"family":"NAICS","given":""}],"issued":{"date-parts":[["2017"]]}}}],"schema":"https://github.com/citation-style-language/schema/raw/master/csl-citation.json"} </w:instrText>
      </w:r>
      <w:r w:rsidRPr="003C6DBD">
        <w:rPr>
          <w:rFonts w:eastAsiaTheme="minorHAnsi"/>
          <w:color w:val="0D0D0D" w:themeColor="text1" w:themeTint="F2"/>
        </w:rPr>
        <w:fldChar w:fldCharType="separate"/>
      </w:r>
      <w:r w:rsidRPr="003C6DBD">
        <w:rPr>
          <w:rFonts w:eastAsiaTheme="minorHAnsi"/>
          <w:color w:val="0D0D0D" w:themeColor="text1" w:themeTint="F2"/>
        </w:rPr>
        <w:t>(NAICS, 2017)</w:t>
      </w:r>
      <w:r w:rsidRPr="003C6DBD">
        <w:rPr>
          <w:rFonts w:eastAsiaTheme="minorHAnsi"/>
          <w:color w:val="0D0D0D" w:themeColor="text1" w:themeTint="F2"/>
        </w:rPr>
        <w:fldChar w:fldCharType="end"/>
      </w:r>
      <w:r w:rsidRPr="003C6DBD">
        <w:rPr>
          <w:rFonts w:eastAsiaTheme="minorHAnsi"/>
          <w:color w:val="0D0D0D" w:themeColor="text1" w:themeTint="F2"/>
        </w:rPr>
        <w:t>.</w:t>
      </w:r>
    </w:p>
    <w:p w14:paraId="060DB695" w14:textId="05E737BC" w:rsidR="00BB12EE" w:rsidRPr="003C6DBD" w:rsidRDefault="00BB12EE" w:rsidP="002A7494">
      <w:pPr>
        <w:spacing w:before="240"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NAICS codes</w:t>
      </w:r>
      <w:r w:rsidRPr="003C6DBD">
        <w:rPr>
          <w:rStyle w:val="FootnoteReference"/>
          <w:rFonts w:ascii="Times New Roman" w:hAnsi="Times New Roman" w:cs="Times New Roman"/>
          <w:color w:val="0D0D0D" w:themeColor="text1" w:themeTint="F2"/>
          <w:sz w:val="24"/>
          <w:szCs w:val="24"/>
        </w:rPr>
        <w:footnoteReference w:id="5"/>
      </w:r>
      <w:r w:rsidRPr="003C6DBD">
        <w:rPr>
          <w:rFonts w:ascii="Times New Roman" w:hAnsi="Times New Roman" w:cs="Times New Roman"/>
          <w:color w:val="0D0D0D" w:themeColor="text1" w:themeTint="F2"/>
          <w:sz w:val="24"/>
          <w:szCs w:val="24"/>
        </w:rPr>
        <w:t xml:space="preserve"> 324110 (Industry Name: Petroleum Refineries), 324199 (Industry Name: All Other Petroleum and Coal Products Manufacturing), 325193 (Industry Name: Ethyl Alcohol Manufacturing), and 325199 (Industry Name: All Other Basic Organic Chemical Manufacturing) were identified as the potential industries under which biofuel related companies could be grouped. We used Standard &amp; Poor’s COMPUSTAT, a database containing financial </w:t>
      </w:r>
      <w:r w:rsidRPr="003C6DBD">
        <w:rPr>
          <w:rFonts w:ascii="Times New Roman" w:hAnsi="Times New Roman" w:cs="Times New Roman"/>
          <w:color w:val="0D0D0D" w:themeColor="text1" w:themeTint="F2"/>
          <w:sz w:val="24"/>
          <w:szCs w:val="24"/>
        </w:rPr>
        <w:lastRenderedPageBreak/>
        <w:t xml:space="preserve">information of </w:t>
      </w:r>
      <w:r w:rsidR="00DB0055" w:rsidRPr="003C6DBD">
        <w:rPr>
          <w:rFonts w:ascii="Times New Roman" w:hAnsi="Times New Roman" w:cs="Times New Roman"/>
          <w:color w:val="0D0D0D" w:themeColor="text1" w:themeTint="F2"/>
          <w:sz w:val="24"/>
          <w:szCs w:val="24"/>
        </w:rPr>
        <w:t>publicly traded</w:t>
      </w:r>
      <w:r w:rsidRPr="003C6DBD">
        <w:rPr>
          <w:rFonts w:ascii="Times New Roman" w:hAnsi="Times New Roman" w:cs="Times New Roman"/>
          <w:color w:val="0D0D0D" w:themeColor="text1" w:themeTint="F2"/>
          <w:sz w:val="24"/>
          <w:szCs w:val="24"/>
        </w:rPr>
        <w:t xml:space="preserve"> firms, to identify firms classified under these four NAICS codes. A total of 106 companies with these NAICS codes were available in the COMPUSTAT database. Since the four NAICS codes </w:t>
      </w:r>
      <w:r w:rsidR="006B026F" w:rsidRPr="003C6DBD">
        <w:rPr>
          <w:rFonts w:ascii="Times New Roman" w:hAnsi="Times New Roman" w:cs="Times New Roman"/>
          <w:color w:val="0D0D0D" w:themeColor="text1" w:themeTint="F2"/>
          <w:sz w:val="24"/>
          <w:szCs w:val="24"/>
        </w:rPr>
        <w:t>mentioned above</w:t>
      </w:r>
      <w:r w:rsidRPr="003C6DBD">
        <w:rPr>
          <w:rFonts w:ascii="Times New Roman" w:hAnsi="Times New Roman" w:cs="Times New Roman"/>
          <w:color w:val="0D0D0D" w:themeColor="text1" w:themeTint="F2"/>
          <w:sz w:val="24"/>
          <w:szCs w:val="24"/>
        </w:rPr>
        <w:t xml:space="preserve"> contain firms </w:t>
      </w:r>
      <w:r w:rsidR="0037194F" w:rsidRPr="003C6DBD">
        <w:rPr>
          <w:rFonts w:ascii="Times New Roman" w:hAnsi="Times New Roman" w:cs="Times New Roman"/>
          <w:color w:val="0D0D0D" w:themeColor="text1" w:themeTint="F2"/>
          <w:sz w:val="24"/>
          <w:szCs w:val="24"/>
        </w:rPr>
        <w:t xml:space="preserve">from </w:t>
      </w:r>
      <w:r w:rsidRPr="003C6DBD">
        <w:rPr>
          <w:rFonts w:ascii="Times New Roman" w:hAnsi="Times New Roman" w:cs="Times New Roman"/>
          <w:color w:val="0D0D0D" w:themeColor="text1" w:themeTint="F2"/>
          <w:sz w:val="24"/>
          <w:szCs w:val="24"/>
        </w:rPr>
        <w:t>different industries (not only biofuel firms) we needed to identify biofuel firms among these 106 firms.</w:t>
      </w:r>
    </w:p>
    <w:p w14:paraId="7AD37432" w14:textId="287A4B00" w:rsidR="00C032A9" w:rsidRPr="003C6DBD" w:rsidRDefault="00BB12EE" w:rsidP="002A7494">
      <w:pPr>
        <w:spacing w:before="240"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To identify what companies out of these 106 firms are biofuel firms (e.g., firms supplying feedstock, </w:t>
      </w:r>
      <w:r w:rsidR="005E0FBF" w:rsidRPr="003C6DBD">
        <w:rPr>
          <w:rFonts w:ascii="Times New Roman" w:hAnsi="Times New Roman" w:cs="Times New Roman"/>
          <w:color w:val="0D0D0D" w:themeColor="text1" w:themeTint="F2"/>
          <w:sz w:val="24"/>
          <w:szCs w:val="24"/>
        </w:rPr>
        <w:t xml:space="preserve">or involved in the </w:t>
      </w:r>
      <w:r w:rsidRPr="003C6DBD">
        <w:rPr>
          <w:rFonts w:ascii="Times New Roman" w:hAnsi="Times New Roman" w:cs="Times New Roman"/>
          <w:color w:val="0D0D0D" w:themeColor="text1" w:themeTint="F2"/>
          <w:sz w:val="24"/>
          <w:szCs w:val="24"/>
        </w:rPr>
        <w:t xml:space="preserve">production, logistics and storage, and distribution of biofuels), additional screening was performed. We used the companies’ </w:t>
      </w:r>
      <w:proofErr w:type="spellStart"/>
      <w:r w:rsidRPr="003C6DBD">
        <w:rPr>
          <w:rFonts w:ascii="Times New Roman" w:hAnsi="Times New Roman" w:cs="Times New Roman"/>
          <w:color w:val="0D0D0D" w:themeColor="text1" w:themeTint="F2"/>
          <w:sz w:val="24"/>
          <w:szCs w:val="24"/>
        </w:rPr>
        <w:t>tearsheets</w:t>
      </w:r>
      <w:proofErr w:type="spellEnd"/>
      <w:r w:rsidRPr="003C6DBD">
        <w:rPr>
          <w:rStyle w:val="FootnoteReference"/>
          <w:rFonts w:ascii="Times New Roman" w:hAnsi="Times New Roman" w:cs="Times New Roman"/>
          <w:color w:val="0D0D0D" w:themeColor="text1" w:themeTint="F2"/>
          <w:sz w:val="24"/>
          <w:szCs w:val="24"/>
        </w:rPr>
        <w:footnoteReference w:id="6"/>
      </w:r>
      <w:r w:rsidRPr="003C6DBD">
        <w:rPr>
          <w:rFonts w:ascii="Times New Roman" w:hAnsi="Times New Roman" w:cs="Times New Roman"/>
          <w:color w:val="0D0D0D" w:themeColor="text1" w:themeTint="F2"/>
          <w:sz w:val="24"/>
          <w:szCs w:val="24"/>
        </w:rPr>
        <w:t xml:space="preserve"> of the 106 firms and identified, according to the companies’ description of business activities, the potential biofuel firms to include in our sample (we call this a preliminary list of biofuel firms). </w:t>
      </w:r>
    </w:p>
    <w:p w14:paraId="56D81CA6" w14:textId="5F2A81CB" w:rsidR="00BB12EE" w:rsidRPr="003C6DBD" w:rsidRDefault="00C032A9" w:rsidP="00561129">
      <w:pPr>
        <w:spacing w:before="240"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We proceeded</w:t>
      </w:r>
      <w:r w:rsidR="00BB12EE" w:rsidRPr="003C6DBD">
        <w:rPr>
          <w:rFonts w:ascii="Times New Roman" w:hAnsi="Times New Roman" w:cs="Times New Roman"/>
          <w:color w:val="0D0D0D" w:themeColor="text1" w:themeTint="F2"/>
          <w:sz w:val="24"/>
          <w:szCs w:val="24"/>
        </w:rPr>
        <w:t xml:space="preserve"> to download (from Capital IQ) and examine the most recent annual (10-K) and quarterly reports (10-Q) of firms in the preliminary list</w:t>
      </w:r>
      <w:r w:rsidR="001510E1" w:rsidRPr="003C6DBD">
        <w:rPr>
          <w:rFonts w:ascii="Times New Roman" w:hAnsi="Times New Roman" w:cs="Times New Roman"/>
          <w:color w:val="0D0D0D" w:themeColor="text1" w:themeTint="F2"/>
          <w:sz w:val="24"/>
          <w:szCs w:val="24"/>
        </w:rPr>
        <w:t>,</w:t>
      </w:r>
      <w:r w:rsidR="00BB12EE" w:rsidRPr="003C6DBD">
        <w:rPr>
          <w:rFonts w:ascii="Times New Roman" w:hAnsi="Times New Roman" w:cs="Times New Roman"/>
          <w:color w:val="0D0D0D" w:themeColor="text1" w:themeTint="F2"/>
          <w:sz w:val="24"/>
          <w:szCs w:val="24"/>
        </w:rPr>
        <w:t xml:space="preserve"> and confirm</w:t>
      </w:r>
      <w:r w:rsidR="001510E1" w:rsidRPr="003C6DBD">
        <w:rPr>
          <w:rFonts w:ascii="Times New Roman" w:hAnsi="Times New Roman" w:cs="Times New Roman"/>
          <w:color w:val="0D0D0D" w:themeColor="text1" w:themeTint="F2"/>
          <w:sz w:val="24"/>
          <w:szCs w:val="24"/>
        </w:rPr>
        <w:t>ed</w:t>
      </w:r>
      <w:r w:rsidR="00BB12EE" w:rsidRPr="003C6DBD">
        <w:rPr>
          <w:rFonts w:ascii="Times New Roman" w:hAnsi="Times New Roman" w:cs="Times New Roman"/>
          <w:color w:val="0D0D0D" w:themeColor="text1" w:themeTint="F2"/>
          <w:sz w:val="24"/>
          <w:szCs w:val="24"/>
        </w:rPr>
        <w:t xml:space="preserve"> (e.g., further reduce the preliminary list) what companies were involved in biofuel production or the value chain of biofuel business</w:t>
      </w:r>
      <w:r w:rsidR="00E530DD" w:rsidRPr="003C6DBD">
        <w:rPr>
          <w:rFonts w:ascii="Times New Roman" w:hAnsi="Times New Roman" w:cs="Times New Roman"/>
          <w:color w:val="0D0D0D" w:themeColor="text1" w:themeTint="F2"/>
          <w:sz w:val="24"/>
          <w:szCs w:val="24"/>
        </w:rPr>
        <w:t xml:space="preserve"> (i.e., referred to as biofuel firms in this study)</w:t>
      </w:r>
      <w:r w:rsidR="00957BE2" w:rsidRPr="003C6DBD">
        <w:rPr>
          <w:rFonts w:ascii="Times New Roman" w:hAnsi="Times New Roman" w:cs="Times New Roman"/>
          <w:color w:val="0D0D0D" w:themeColor="text1" w:themeTint="F2"/>
          <w:sz w:val="24"/>
          <w:szCs w:val="24"/>
        </w:rPr>
        <w:t>.</w:t>
      </w:r>
      <w:r w:rsidR="00BB12EE" w:rsidRPr="003C6DBD">
        <w:rPr>
          <w:rStyle w:val="FootnoteReference"/>
          <w:rFonts w:ascii="Times New Roman" w:hAnsi="Times New Roman" w:cs="Times New Roman"/>
          <w:color w:val="0D0D0D" w:themeColor="text1" w:themeTint="F2"/>
          <w:sz w:val="24"/>
          <w:szCs w:val="24"/>
        </w:rPr>
        <w:footnoteReference w:id="7"/>
      </w:r>
      <w:r w:rsidR="00BB12EE" w:rsidRPr="003C6DBD">
        <w:rPr>
          <w:rFonts w:ascii="Times New Roman" w:hAnsi="Times New Roman" w:cs="Times New Roman"/>
          <w:color w:val="0D0D0D" w:themeColor="text1" w:themeTint="F2"/>
          <w:sz w:val="24"/>
          <w:szCs w:val="24"/>
        </w:rPr>
        <w:t xml:space="preserve"> In most cases, the “Item 1- Business” section of the annual reports disclosed the involvement of the firm in biofuel-related activities.</w:t>
      </w:r>
      <w:r w:rsidR="004E11B6" w:rsidRPr="003C6DBD">
        <w:rPr>
          <w:rFonts w:ascii="Times New Roman" w:hAnsi="Times New Roman" w:cs="Times New Roman"/>
          <w:color w:val="0D0D0D" w:themeColor="text1" w:themeTint="F2"/>
          <w:sz w:val="24"/>
          <w:szCs w:val="24"/>
        </w:rPr>
        <w:t xml:space="preserve"> </w:t>
      </w:r>
      <w:r w:rsidR="00BB12EE" w:rsidRPr="003C6DBD">
        <w:rPr>
          <w:rFonts w:ascii="Times New Roman" w:hAnsi="Times New Roman" w:cs="Times New Roman"/>
          <w:color w:val="0D0D0D" w:themeColor="text1" w:themeTint="F2"/>
          <w:sz w:val="24"/>
          <w:szCs w:val="24"/>
        </w:rPr>
        <w:t xml:space="preserve">A total of 19 companies were identified as biofuel companies after screening their most recent reports to investors. Table 2 provides the list of biofuel companies after the screening process. In addition, we conducted a systematic search of journal articles related to biofuel industries in google scholar to identify more companies in similar businesses besides the 19 already identified.   </w:t>
      </w:r>
    </w:p>
    <w:p w14:paraId="0325296C" w14:textId="77777777" w:rsidR="00E40234" w:rsidRPr="003C6DBD" w:rsidRDefault="003F6F35" w:rsidP="002A7494">
      <w:pPr>
        <w:pStyle w:val="Heading4"/>
        <w:rPr>
          <w:rFonts w:eastAsiaTheme="minorHAnsi"/>
          <w:color w:val="0D0D0D" w:themeColor="text1" w:themeTint="F2"/>
        </w:rPr>
      </w:pPr>
      <w:r w:rsidRPr="003C6DBD">
        <w:rPr>
          <w:rFonts w:eastAsiaTheme="minorHAnsi"/>
          <w:color w:val="0D0D0D" w:themeColor="text1" w:themeTint="F2"/>
        </w:rPr>
        <w:lastRenderedPageBreak/>
        <w:t xml:space="preserve">4.1.2 </w:t>
      </w:r>
      <w:r w:rsidR="0047567D" w:rsidRPr="003C6DBD">
        <w:rPr>
          <w:rFonts w:eastAsiaTheme="minorHAnsi"/>
          <w:color w:val="0D0D0D" w:themeColor="text1" w:themeTint="F2"/>
        </w:rPr>
        <w:t xml:space="preserve">Google </w:t>
      </w:r>
      <w:r w:rsidR="00911978" w:rsidRPr="003C6DBD">
        <w:rPr>
          <w:rFonts w:eastAsiaTheme="minorHAnsi"/>
          <w:color w:val="0D0D0D" w:themeColor="text1" w:themeTint="F2"/>
        </w:rPr>
        <w:t xml:space="preserve">Scholar </w:t>
      </w:r>
      <w:r w:rsidR="00B4040C" w:rsidRPr="003C6DBD">
        <w:rPr>
          <w:rFonts w:eastAsiaTheme="minorHAnsi"/>
          <w:color w:val="0D0D0D" w:themeColor="text1" w:themeTint="F2"/>
        </w:rPr>
        <w:t>S</w:t>
      </w:r>
      <w:r w:rsidR="0047567D" w:rsidRPr="003C6DBD">
        <w:rPr>
          <w:rFonts w:eastAsiaTheme="minorHAnsi"/>
          <w:color w:val="0D0D0D" w:themeColor="text1" w:themeTint="F2"/>
        </w:rPr>
        <w:t xml:space="preserve">earch and </w:t>
      </w:r>
      <w:r w:rsidR="00B4040C" w:rsidRPr="003C6DBD">
        <w:rPr>
          <w:rFonts w:eastAsiaTheme="minorHAnsi"/>
          <w:color w:val="0D0D0D" w:themeColor="text1" w:themeTint="F2"/>
        </w:rPr>
        <w:t>J</w:t>
      </w:r>
      <w:r w:rsidR="00326AC1" w:rsidRPr="003C6DBD">
        <w:rPr>
          <w:rFonts w:eastAsiaTheme="minorHAnsi"/>
          <w:color w:val="0D0D0D" w:themeColor="text1" w:themeTint="F2"/>
        </w:rPr>
        <w:t xml:space="preserve">ournal </w:t>
      </w:r>
      <w:r w:rsidR="00B4040C" w:rsidRPr="003C6DBD">
        <w:rPr>
          <w:rFonts w:eastAsiaTheme="minorHAnsi"/>
          <w:color w:val="0D0D0D" w:themeColor="text1" w:themeTint="F2"/>
        </w:rPr>
        <w:t>A</w:t>
      </w:r>
      <w:r w:rsidR="0047567D" w:rsidRPr="003C6DBD">
        <w:rPr>
          <w:rFonts w:eastAsiaTheme="minorHAnsi"/>
          <w:color w:val="0D0D0D" w:themeColor="text1" w:themeTint="F2"/>
        </w:rPr>
        <w:t>rticles</w:t>
      </w:r>
    </w:p>
    <w:p w14:paraId="3C549EAA" w14:textId="0DE2C4E3" w:rsidR="0057704D" w:rsidRPr="003C6DBD" w:rsidRDefault="0057704D" w:rsidP="002A7494">
      <w:pPr>
        <w:pStyle w:val="NormalWeb"/>
        <w:spacing w:before="0" w:beforeAutospacing="0" w:after="160" w:afterAutospacing="0" w:line="480" w:lineRule="auto"/>
        <w:ind w:firstLine="720"/>
        <w:rPr>
          <w:rFonts w:eastAsiaTheme="minorHAnsi"/>
          <w:color w:val="0D0D0D" w:themeColor="text1" w:themeTint="F2"/>
        </w:rPr>
      </w:pPr>
      <w:r w:rsidRPr="003C6DBD">
        <w:rPr>
          <w:rFonts w:eastAsiaTheme="minorHAnsi"/>
          <w:color w:val="0D0D0D" w:themeColor="text1" w:themeTint="F2"/>
        </w:rPr>
        <w:t xml:space="preserve">A </w:t>
      </w:r>
      <w:r w:rsidR="001D3633" w:rsidRPr="003C6DBD">
        <w:rPr>
          <w:rFonts w:eastAsiaTheme="minorHAnsi"/>
          <w:color w:val="0D0D0D" w:themeColor="text1" w:themeTint="F2"/>
        </w:rPr>
        <w:t xml:space="preserve">systematic </w:t>
      </w:r>
      <w:r w:rsidRPr="003C6DBD">
        <w:rPr>
          <w:rFonts w:eastAsiaTheme="minorHAnsi"/>
          <w:color w:val="0D0D0D" w:themeColor="text1" w:themeTint="F2"/>
        </w:rPr>
        <w:t>search in the google search engine</w:t>
      </w:r>
      <w:r w:rsidR="006F76A6" w:rsidRPr="003C6DBD">
        <w:rPr>
          <w:rFonts w:eastAsiaTheme="minorHAnsi"/>
          <w:color w:val="0D0D0D" w:themeColor="text1" w:themeTint="F2"/>
        </w:rPr>
        <w:t>, and specifically in google scholar,</w:t>
      </w:r>
      <w:r w:rsidRPr="003C6DBD">
        <w:rPr>
          <w:rFonts w:eastAsiaTheme="minorHAnsi"/>
          <w:color w:val="0D0D0D" w:themeColor="text1" w:themeTint="F2"/>
        </w:rPr>
        <w:t xml:space="preserve"> was done using the keywords “biofuel companies” and “biofuel industry” to identify companies involved in the biofuel business. To confirm whether the </w:t>
      </w:r>
      <w:r w:rsidR="00CD3005" w:rsidRPr="003C6DBD">
        <w:rPr>
          <w:rFonts w:eastAsiaTheme="minorHAnsi"/>
          <w:color w:val="0D0D0D" w:themeColor="text1" w:themeTint="F2"/>
        </w:rPr>
        <w:t xml:space="preserve">identified </w:t>
      </w:r>
      <w:r w:rsidRPr="003C6DBD">
        <w:rPr>
          <w:rFonts w:eastAsiaTheme="minorHAnsi"/>
          <w:color w:val="0D0D0D" w:themeColor="text1" w:themeTint="F2"/>
        </w:rPr>
        <w:t>company is involved in the biofuel business, we repeated the same two steps screening process using S&amp;P Capital IQ as we did for the companies obtained from NAICS. We identified seven additional companies after screening. Table 3 provides the list of additional companies identified from google searches and journal articles.</w:t>
      </w:r>
      <w:r w:rsidRPr="003C6DBD">
        <w:rPr>
          <w:color w:val="0D0D0D" w:themeColor="text1" w:themeTint="F2"/>
        </w:rPr>
        <w:t xml:space="preserve">   </w:t>
      </w:r>
    </w:p>
    <w:p w14:paraId="3C53E66A" w14:textId="77777777" w:rsidR="00B75D45" w:rsidRPr="003C6DBD" w:rsidRDefault="003F6F35" w:rsidP="002A7494">
      <w:pPr>
        <w:pStyle w:val="Heading4"/>
        <w:rPr>
          <w:rFonts w:eastAsiaTheme="minorHAnsi"/>
          <w:color w:val="0D0D0D" w:themeColor="text1" w:themeTint="F2"/>
        </w:rPr>
      </w:pPr>
      <w:r w:rsidRPr="003C6DBD">
        <w:rPr>
          <w:rFonts w:eastAsiaTheme="minorHAnsi"/>
          <w:color w:val="0D0D0D" w:themeColor="text1" w:themeTint="F2"/>
        </w:rPr>
        <w:t xml:space="preserve">4.1.3 </w:t>
      </w:r>
      <w:r w:rsidR="00F4791C" w:rsidRPr="003C6DBD">
        <w:rPr>
          <w:rFonts w:eastAsiaTheme="minorHAnsi"/>
          <w:color w:val="0D0D0D" w:themeColor="text1" w:themeTint="F2"/>
        </w:rPr>
        <w:t>Standard and Poor's</w:t>
      </w:r>
      <w:r w:rsidR="002B352A" w:rsidRPr="003C6DBD">
        <w:rPr>
          <w:rFonts w:eastAsiaTheme="minorHAnsi"/>
          <w:color w:val="0D0D0D" w:themeColor="text1" w:themeTint="F2"/>
        </w:rPr>
        <w:t xml:space="preserve"> </w:t>
      </w:r>
      <w:r w:rsidR="00B4040C" w:rsidRPr="003C6DBD">
        <w:rPr>
          <w:rFonts w:eastAsiaTheme="minorHAnsi"/>
          <w:color w:val="0D0D0D" w:themeColor="text1" w:themeTint="F2"/>
        </w:rPr>
        <w:t>Q</w:t>
      </w:r>
      <w:r w:rsidR="002B352A" w:rsidRPr="003C6DBD">
        <w:rPr>
          <w:rFonts w:eastAsiaTheme="minorHAnsi"/>
          <w:color w:val="0D0D0D" w:themeColor="text1" w:themeTint="F2"/>
        </w:rPr>
        <w:t xml:space="preserve">uick </w:t>
      </w:r>
      <w:proofErr w:type="spellStart"/>
      <w:r w:rsidR="00B4040C" w:rsidRPr="003C6DBD">
        <w:rPr>
          <w:rFonts w:eastAsiaTheme="minorHAnsi"/>
          <w:color w:val="0D0D0D" w:themeColor="text1" w:themeTint="F2"/>
        </w:rPr>
        <w:t>C</w:t>
      </w:r>
      <w:r w:rsidR="002B352A" w:rsidRPr="003C6DBD">
        <w:rPr>
          <w:rFonts w:eastAsiaTheme="minorHAnsi"/>
          <w:color w:val="0D0D0D" w:themeColor="text1" w:themeTint="F2"/>
        </w:rPr>
        <w:t>omparables</w:t>
      </w:r>
      <w:proofErr w:type="spellEnd"/>
    </w:p>
    <w:p w14:paraId="5DA8EAB5" w14:textId="4B81F2CE" w:rsidR="0057704D" w:rsidRPr="003C6DBD" w:rsidRDefault="0057704D" w:rsidP="002A7494">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After obtaining the names of companies involved in biofuel business from NAICS, google search, and journal articles, “quick </w:t>
      </w:r>
      <w:proofErr w:type="spellStart"/>
      <w:r w:rsidRPr="003C6DBD">
        <w:rPr>
          <w:rFonts w:ascii="Times New Roman" w:hAnsi="Times New Roman" w:cs="Times New Roman"/>
          <w:color w:val="0D0D0D" w:themeColor="text1" w:themeTint="F2"/>
          <w:sz w:val="24"/>
          <w:szCs w:val="24"/>
        </w:rPr>
        <w:t>comparables</w:t>
      </w:r>
      <w:proofErr w:type="spellEnd"/>
      <w:r w:rsidRPr="003C6DBD">
        <w:rPr>
          <w:rFonts w:ascii="Times New Roman" w:hAnsi="Times New Roman" w:cs="Times New Roman"/>
          <w:color w:val="0D0D0D" w:themeColor="text1" w:themeTint="F2"/>
          <w:sz w:val="24"/>
          <w:szCs w:val="24"/>
        </w:rPr>
        <w:t xml:space="preserve">,” an instrument of S&amp;P Capital IQ, was used to identify other companies involved in a similar business, or peers. </w:t>
      </w:r>
      <w:r w:rsidR="00E137CF" w:rsidRPr="003C6DBD">
        <w:rPr>
          <w:rFonts w:ascii="Times New Roman" w:hAnsi="Times New Roman" w:cs="Times New Roman"/>
          <w:color w:val="0D0D0D" w:themeColor="text1" w:themeTint="F2"/>
          <w:sz w:val="24"/>
          <w:szCs w:val="24"/>
        </w:rPr>
        <w:t xml:space="preserve">After identifying the companies, we followed the same two steps used for companies obtained from NAICS to screen them and confirm their involvement in the biofuel business. </w:t>
      </w:r>
      <w:r w:rsidRPr="003C6DBD">
        <w:rPr>
          <w:rFonts w:ascii="Times New Roman" w:hAnsi="Times New Roman" w:cs="Times New Roman"/>
          <w:color w:val="0D0D0D" w:themeColor="text1" w:themeTint="F2"/>
          <w:sz w:val="24"/>
          <w:szCs w:val="24"/>
        </w:rPr>
        <w:t xml:space="preserve">Table 4 provides the list of </w:t>
      </w:r>
      <w:r w:rsidR="007B018C" w:rsidRPr="003C6DBD">
        <w:rPr>
          <w:rFonts w:ascii="Times New Roman" w:hAnsi="Times New Roman" w:cs="Times New Roman"/>
          <w:color w:val="0D0D0D" w:themeColor="text1" w:themeTint="F2"/>
          <w:sz w:val="24"/>
          <w:szCs w:val="24"/>
        </w:rPr>
        <w:t xml:space="preserve">biofuel </w:t>
      </w:r>
      <w:r w:rsidRPr="003C6DBD">
        <w:rPr>
          <w:rFonts w:ascii="Times New Roman" w:hAnsi="Times New Roman" w:cs="Times New Roman"/>
          <w:color w:val="0D0D0D" w:themeColor="text1" w:themeTint="F2"/>
          <w:sz w:val="24"/>
          <w:szCs w:val="24"/>
        </w:rPr>
        <w:t xml:space="preserve">companies identified from the S&amp;P Capital IQ quick comparable instrument, that are not listed in Tables 2 and 3. </w:t>
      </w:r>
    </w:p>
    <w:p w14:paraId="1B561815" w14:textId="5FD9F2C5" w:rsidR="00E97288" w:rsidRPr="003C6DBD" w:rsidRDefault="0057704D" w:rsidP="00D8427E">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Finally, the sample of firms for this study was prepared by compiling the companies from the above three sections. A total of 35 firms </w:t>
      </w:r>
      <w:r w:rsidR="000F7369" w:rsidRPr="003C6DBD">
        <w:rPr>
          <w:rFonts w:ascii="Times New Roman" w:hAnsi="Times New Roman" w:cs="Times New Roman"/>
          <w:color w:val="0D0D0D" w:themeColor="text1" w:themeTint="F2"/>
          <w:sz w:val="24"/>
          <w:szCs w:val="24"/>
        </w:rPr>
        <w:t xml:space="preserve">were </w:t>
      </w:r>
      <w:r w:rsidRPr="003C6DBD">
        <w:rPr>
          <w:rFonts w:ascii="Times New Roman" w:hAnsi="Times New Roman" w:cs="Times New Roman"/>
          <w:color w:val="0D0D0D" w:themeColor="text1" w:themeTint="F2"/>
          <w:sz w:val="24"/>
          <w:szCs w:val="24"/>
        </w:rPr>
        <w:t xml:space="preserve">selected by screening and removal based on the most recent annual reports (10K, 20-F for foreign companies) and quarterly reports (10Q). Table 5 provides </w:t>
      </w:r>
      <w:r w:rsidR="00305825" w:rsidRPr="003C6DBD">
        <w:rPr>
          <w:rFonts w:ascii="Times New Roman" w:hAnsi="Times New Roman" w:cs="Times New Roman"/>
          <w:color w:val="0D0D0D" w:themeColor="text1" w:themeTint="F2"/>
          <w:sz w:val="24"/>
          <w:szCs w:val="24"/>
        </w:rPr>
        <w:t>a final</w:t>
      </w:r>
      <w:r w:rsidRPr="003C6DBD">
        <w:rPr>
          <w:rFonts w:ascii="Times New Roman" w:hAnsi="Times New Roman" w:cs="Times New Roman"/>
          <w:color w:val="0D0D0D" w:themeColor="text1" w:themeTint="F2"/>
          <w:sz w:val="24"/>
          <w:szCs w:val="24"/>
        </w:rPr>
        <w:t xml:space="preserve"> sample of biofuel companies. All firms in Table 5 are biofuel firms with available financial statements and stock price data in Capital IQ. The last column of Table </w:t>
      </w:r>
      <w:r w:rsidR="00534601" w:rsidRPr="003C6DBD">
        <w:rPr>
          <w:rFonts w:ascii="Times New Roman" w:hAnsi="Times New Roman" w:cs="Times New Roman"/>
          <w:color w:val="0D0D0D" w:themeColor="text1" w:themeTint="F2"/>
          <w:sz w:val="24"/>
          <w:szCs w:val="24"/>
        </w:rPr>
        <w:t>5</w:t>
      </w:r>
      <w:r w:rsidRPr="003C6DBD">
        <w:rPr>
          <w:rFonts w:ascii="Times New Roman" w:hAnsi="Times New Roman" w:cs="Times New Roman"/>
          <w:color w:val="0D0D0D" w:themeColor="text1" w:themeTint="F2"/>
          <w:sz w:val="24"/>
          <w:szCs w:val="24"/>
        </w:rPr>
        <w:t xml:space="preserve"> provides a category for these firms based on the primary activity performed by the companies in the biofuel </w:t>
      </w:r>
      <w:r w:rsidR="00305825" w:rsidRPr="003C6DBD">
        <w:rPr>
          <w:rFonts w:ascii="Times New Roman" w:hAnsi="Times New Roman" w:cs="Times New Roman"/>
          <w:color w:val="0D0D0D" w:themeColor="text1" w:themeTint="F2"/>
          <w:sz w:val="24"/>
          <w:szCs w:val="24"/>
        </w:rPr>
        <w:t>business</w:t>
      </w:r>
      <w:r w:rsidRPr="003C6DBD">
        <w:rPr>
          <w:rFonts w:ascii="Times New Roman" w:hAnsi="Times New Roman" w:cs="Times New Roman"/>
          <w:color w:val="0D0D0D" w:themeColor="text1" w:themeTint="F2"/>
          <w:sz w:val="24"/>
          <w:szCs w:val="24"/>
        </w:rPr>
        <w:t>.</w:t>
      </w:r>
      <w:r w:rsidR="000002E6" w:rsidRPr="003C6DBD">
        <w:rPr>
          <w:rFonts w:ascii="Times New Roman" w:hAnsi="Times New Roman" w:cs="Times New Roman"/>
          <w:color w:val="0D0D0D" w:themeColor="text1" w:themeTint="F2"/>
          <w:sz w:val="24"/>
          <w:szCs w:val="24"/>
        </w:rPr>
        <w:t xml:space="preserve"> The categorization of the primary activity was done by carefully a</w:t>
      </w:r>
      <w:r w:rsidR="00671CB2" w:rsidRPr="003C6DBD">
        <w:rPr>
          <w:rFonts w:ascii="Times New Roman" w:hAnsi="Times New Roman" w:cs="Times New Roman"/>
          <w:color w:val="0D0D0D" w:themeColor="text1" w:themeTint="F2"/>
          <w:sz w:val="24"/>
          <w:szCs w:val="24"/>
        </w:rPr>
        <w:t>ssessing</w:t>
      </w:r>
      <w:r w:rsidR="000002E6" w:rsidRPr="003C6DBD">
        <w:rPr>
          <w:rFonts w:ascii="Times New Roman" w:hAnsi="Times New Roman" w:cs="Times New Roman"/>
          <w:color w:val="0D0D0D" w:themeColor="text1" w:themeTint="F2"/>
          <w:sz w:val="24"/>
          <w:szCs w:val="24"/>
        </w:rPr>
        <w:t xml:space="preserve"> </w:t>
      </w:r>
      <w:r w:rsidR="000002E6" w:rsidRPr="003C6DBD">
        <w:rPr>
          <w:rFonts w:ascii="Times New Roman" w:hAnsi="Times New Roman" w:cs="Times New Roman"/>
          <w:color w:val="0D0D0D" w:themeColor="text1" w:themeTint="F2"/>
          <w:sz w:val="24"/>
          <w:szCs w:val="24"/>
        </w:rPr>
        <w:lastRenderedPageBreak/>
        <w:t xml:space="preserve">the business segment </w:t>
      </w:r>
      <w:r w:rsidR="00671CB2" w:rsidRPr="003C6DBD">
        <w:rPr>
          <w:rFonts w:ascii="Times New Roman" w:hAnsi="Times New Roman" w:cs="Times New Roman"/>
          <w:color w:val="0D0D0D" w:themeColor="text1" w:themeTint="F2"/>
          <w:sz w:val="24"/>
          <w:szCs w:val="24"/>
        </w:rPr>
        <w:t xml:space="preserve">section </w:t>
      </w:r>
      <w:r w:rsidR="000002E6" w:rsidRPr="003C6DBD">
        <w:rPr>
          <w:rFonts w:ascii="Times New Roman" w:hAnsi="Times New Roman" w:cs="Times New Roman"/>
          <w:color w:val="0D0D0D" w:themeColor="text1" w:themeTint="F2"/>
          <w:sz w:val="24"/>
          <w:szCs w:val="24"/>
        </w:rPr>
        <w:t xml:space="preserve">of annual reports of the companies. </w:t>
      </w:r>
      <w:r w:rsidR="007E7DD8" w:rsidRPr="003C6DBD">
        <w:rPr>
          <w:rFonts w:ascii="Times New Roman" w:hAnsi="Times New Roman" w:cs="Times New Roman"/>
          <w:color w:val="0D0D0D" w:themeColor="text1" w:themeTint="F2"/>
          <w:sz w:val="24"/>
          <w:szCs w:val="24"/>
        </w:rPr>
        <w:t xml:space="preserve">The business segment </w:t>
      </w:r>
      <w:r w:rsidR="00D8427E" w:rsidRPr="003C6DBD">
        <w:rPr>
          <w:rFonts w:ascii="Times New Roman" w:hAnsi="Times New Roman" w:cs="Times New Roman"/>
          <w:color w:val="0D0D0D" w:themeColor="text1" w:themeTint="F2"/>
          <w:sz w:val="24"/>
          <w:szCs w:val="24"/>
        </w:rPr>
        <w:t>o</w:t>
      </w:r>
      <w:r w:rsidR="007E7DD8" w:rsidRPr="003C6DBD">
        <w:rPr>
          <w:rFonts w:ascii="Times New Roman" w:hAnsi="Times New Roman" w:cs="Times New Roman"/>
          <w:color w:val="0D0D0D" w:themeColor="text1" w:themeTint="F2"/>
          <w:sz w:val="24"/>
          <w:szCs w:val="24"/>
        </w:rPr>
        <w:t>f annual report</w:t>
      </w:r>
      <w:r w:rsidR="005E5844" w:rsidRPr="003C6DBD">
        <w:rPr>
          <w:rFonts w:ascii="Times New Roman" w:hAnsi="Times New Roman" w:cs="Times New Roman"/>
          <w:color w:val="0D0D0D" w:themeColor="text1" w:themeTint="F2"/>
          <w:sz w:val="24"/>
          <w:szCs w:val="24"/>
        </w:rPr>
        <w:t>s</w:t>
      </w:r>
      <w:r w:rsidR="007E7DD8" w:rsidRPr="003C6DBD">
        <w:rPr>
          <w:rFonts w:ascii="Times New Roman" w:hAnsi="Times New Roman" w:cs="Times New Roman"/>
          <w:color w:val="0D0D0D" w:themeColor="text1" w:themeTint="F2"/>
          <w:sz w:val="24"/>
          <w:szCs w:val="24"/>
        </w:rPr>
        <w:t xml:space="preserve"> provides a brief overview of the</w:t>
      </w:r>
      <w:r w:rsidR="00D8427E" w:rsidRPr="003C6DBD">
        <w:rPr>
          <w:rFonts w:ascii="Times New Roman" w:hAnsi="Times New Roman" w:cs="Times New Roman"/>
          <w:color w:val="0D0D0D" w:themeColor="text1" w:themeTint="F2"/>
          <w:sz w:val="24"/>
          <w:szCs w:val="24"/>
        </w:rPr>
        <w:t xml:space="preserve"> company</w:t>
      </w:r>
      <w:r w:rsidR="005E5844" w:rsidRPr="003C6DBD">
        <w:rPr>
          <w:rFonts w:ascii="Times New Roman" w:hAnsi="Times New Roman" w:cs="Times New Roman"/>
          <w:color w:val="0D0D0D" w:themeColor="text1" w:themeTint="F2"/>
          <w:sz w:val="24"/>
          <w:szCs w:val="24"/>
        </w:rPr>
        <w:t>’s main activities</w:t>
      </w:r>
      <w:r w:rsidR="00D8427E" w:rsidRPr="003C6DBD">
        <w:rPr>
          <w:rFonts w:ascii="Times New Roman" w:hAnsi="Times New Roman" w:cs="Times New Roman"/>
          <w:color w:val="0D0D0D" w:themeColor="text1" w:themeTint="F2"/>
          <w:sz w:val="24"/>
          <w:szCs w:val="24"/>
        </w:rPr>
        <w:t xml:space="preserve">. </w:t>
      </w:r>
    </w:p>
    <w:p w14:paraId="14231769" w14:textId="00D16E60" w:rsidR="00677771" w:rsidRPr="003C6DBD" w:rsidRDefault="00D47CF8" w:rsidP="00F42934">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After retrieving the final list of sample companies, an attempt was made to explore the types of biofuels produced and categorize them based on the raw materials used for production (Generations of biofuels). The segments describing raw materials, products, and revenues in the annual reports were inspected for all the sample companies to collect information that can be used to categorize the sample companies based on the type of biofuel produced. The raw material section could not provide explicit information to categorize the companies. Although some companies were explicit about the products and had clear mentions such as “ethanol sales”, and “biomass-based diesel sales”, etc., in the revenues section, the remaining companies in the sample used generic terms like “biofuel sales”, “fuel ingredients”, etc. making it impossible to categorize the companies based on the type of biofuel produced. </w:t>
      </w:r>
    </w:p>
    <w:p w14:paraId="494360F4" w14:textId="3608DC47" w:rsidR="00A22788" w:rsidRPr="003C6DBD" w:rsidRDefault="00A22788" w:rsidP="002A7494">
      <w:pPr>
        <w:pStyle w:val="Heading3"/>
        <w:rPr>
          <w:rFonts w:cs="Times New Roman"/>
          <w:color w:val="0D0D0D" w:themeColor="text1" w:themeTint="F2"/>
          <w:szCs w:val="24"/>
        </w:rPr>
      </w:pPr>
      <w:bookmarkStart w:id="25" w:name="_Toc132761841"/>
      <w:r w:rsidRPr="003C6DBD">
        <w:rPr>
          <w:rFonts w:cs="Times New Roman"/>
          <w:color w:val="0D0D0D" w:themeColor="text1" w:themeTint="F2"/>
          <w:szCs w:val="24"/>
        </w:rPr>
        <w:t>4.2 Risk Analysis</w:t>
      </w:r>
      <w:bookmarkEnd w:id="25"/>
    </w:p>
    <w:p w14:paraId="0CF75541" w14:textId="77777777" w:rsidR="00A22788" w:rsidRPr="003C6DBD" w:rsidRDefault="00A22788" w:rsidP="002A7494">
      <w:pPr>
        <w:rPr>
          <w:rFonts w:ascii="Times New Roman" w:hAnsi="Times New Roman" w:cs="Times New Roman"/>
          <w:color w:val="0D0D0D" w:themeColor="text1" w:themeTint="F2"/>
          <w:sz w:val="24"/>
          <w:szCs w:val="24"/>
        </w:rPr>
      </w:pPr>
    </w:p>
    <w:p w14:paraId="70B5A4CE" w14:textId="4A2A981C" w:rsidR="009D1CE2" w:rsidRPr="003C6DBD" w:rsidRDefault="003F6F35" w:rsidP="002A7494">
      <w:pPr>
        <w:pStyle w:val="Heading4"/>
        <w:rPr>
          <w:color w:val="0D0D0D" w:themeColor="text1" w:themeTint="F2"/>
        </w:rPr>
      </w:pPr>
      <w:r w:rsidRPr="003C6DBD">
        <w:rPr>
          <w:color w:val="0D0D0D" w:themeColor="text1" w:themeTint="F2"/>
        </w:rPr>
        <w:t>4.2</w:t>
      </w:r>
      <w:r w:rsidR="00A22788" w:rsidRPr="003C6DBD">
        <w:rPr>
          <w:color w:val="0D0D0D" w:themeColor="text1" w:themeTint="F2"/>
        </w:rPr>
        <w:t>.1</w:t>
      </w:r>
      <w:r w:rsidRPr="003C6DBD">
        <w:rPr>
          <w:color w:val="0D0D0D" w:themeColor="text1" w:themeTint="F2"/>
        </w:rPr>
        <w:t xml:space="preserve"> Identification and </w:t>
      </w:r>
      <w:r w:rsidR="00B4040C" w:rsidRPr="003C6DBD">
        <w:rPr>
          <w:color w:val="0D0D0D" w:themeColor="text1" w:themeTint="F2"/>
        </w:rPr>
        <w:t>C</w:t>
      </w:r>
      <w:r w:rsidRPr="003C6DBD">
        <w:rPr>
          <w:color w:val="0D0D0D" w:themeColor="text1" w:themeTint="F2"/>
        </w:rPr>
        <w:t xml:space="preserve">oding of </w:t>
      </w:r>
      <w:r w:rsidR="00B4040C" w:rsidRPr="003C6DBD">
        <w:rPr>
          <w:color w:val="0D0D0D" w:themeColor="text1" w:themeTint="F2"/>
        </w:rPr>
        <w:t>R</w:t>
      </w:r>
      <w:r w:rsidRPr="003C6DBD">
        <w:rPr>
          <w:color w:val="0D0D0D" w:themeColor="text1" w:themeTint="F2"/>
        </w:rPr>
        <w:t>isks</w:t>
      </w:r>
    </w:p>
    <w:p w14:paraId="4CD7F602" w14:textId="77777777" w:rsidR="002778BB" w:rsidRPr="003C6DBD" w:rsidRDefault="003F6F35" w:rsidP="002A7494">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b/>
      </w:r>
      <w:bookmarkStart w:id="26" w:name="_Hlk119346568"/>
      <w:r w:rsidR="000015D7" w:rsidRPr="003C6DBD">
        <w:rPr>
          <w:rFonts w:ascii="Times New Roman" w:hAnsi="Times New Roman" w:cs="Times New Roman"/>
          <w:color w:val="0D0D0D" w:themeColor="text1" w:themeTint="F2"/>
          <w:sz w:val="24"/>
          <w:szCs w:val="24"/>
        </w:rPr>
        <w:t>The</w:t>
      </w:r>
      <w:r w:rsidR="00BA5602" w:rsidRPr="003C6DBD">
        <w:rPr>
          <w:rFonts w:ascii="Times New Roman" w:hAnsi="Times New Roman" w:cs="Times New Roman"/>
          <w:color w:val="0D0D0D" w:themeColor="text1" w:themeTint="F2"/>
          <w:sz w:val="24"/>
          <w:szCs w:val="24"/>
        </w:rPr>
        <w:t xml:space="preserve"> method used by </w:t>
      </w:r>
      <w:r w:rsidR="00BA5602" w:rsidRPr="003C6DBD">
        <w:rPr>
          <w:rFonts w:ascii="Times New Roman" w:hAnsi="Times New Roman" w:cs="Times New Roman"/>
          <w:color w:val="0D0D0D" w:themeColor="text1" w:themeTint="F2"/>
          <w:sz w:val="24"/>
          <w:szCs w:val="24"/>
        </w:rPr>
        <w:fldChar w:fldCharType="begin"/>
      </w:r>
      <w:r w:rsidR="00BA5602" w:rsidRPr="003C6DBD">
        <w:rPr>
          <w:rFonts w:ascii="Times New Roman" w:hAnsi="Times New Roman" w:cs="Times New Roman"/>
          <w:color w:val="0D0D0D" w:themeColor="text1" w:themeTint="F2"/>
          <w:sz w:val="24"/>
          <w:szCs w:val="24"/>
        </w:rPr>
        <w:instrText xml:space="preserve"> ADDIN ZOTERO_ITEM CSL_CITATION {"citationID":"7tipc9r6","properties":{"custom":"Pries et al. (2016)","formattedCitation":"Pries et al. (2016)","plainCitation":"Pries et al. (2016)","noteIndex":0},"citationItems":[{"id":251,"uris":["http://zotero.org/users/8949154/items/P6NYLUEB"],"itemData":{"id":251,"type":"article-journal","container-title":"Energy Policy","note":"publisher: Elsevier","page":"93–101","source":"Google Scholar","title":"Risks affecting the biofuels industry: A US and Canadian company perspective","title-short":"Risks affecting the biofuels industry","volume":"97","author":[{"family":"Pries","given":"Fred"},{"family":"Talebi","given":"Alireza"},{"family":"Schillo","given":"R. Sandra"},{"family":"Lemay","given":"Margaret A."}],"issued":{"date-parts":[["2016"]]}}}],"schema":"https://github.com/citation-style-language/schema/raw/master/csl-citation.json"} </w:instrText>
      </w:r>
      <w:r w:rsidR="00BA5602" w:rsidRPr="003C6DBD">
        <w:rPr>
          <w:rFonts w:ascii="Times New Roman" w:hAnsi="Times New Roman" w:cs="Times New Roman"/>
          <w:color w:val="0D0D0D" w:themeColor="text1" w:themeTint="F2"/>
          <w:sz w:val="24"/>
          <w:szCs w:val="24"/>
        </w:rPr>
        <w:fldChar w:fldCharType="separate"/>
      </w:r>
      <w:r w:rsidR="00BA5602" w:rsidRPr="003C6DBD">
        <w:rPr>
          <w:rFonts w:ascii="Times New Roman" w:hAnsi="Times New Roman" w:cs="Times New Roman"/>
          <w:color w:val="0D0D0D" w:themeColor="text1" w:themeTint="F2"/>
          <w:sz w:val="24"/>
          <w:szCs w:val="24"/>
        </w:rPr>
        <w:t>Pries et al. (2016)</w:t>
      </w:r>
      <w:r w:rsidR="00BA5602" w:rsidRPr="003C6DBD">
        <w:rPr>
          <w:rFonts w:ascii="Times New Roman" w:hAnsi="Times New Roman" w:cs="Times New Roman"/>
          <w:color w:val="0D0D0D" w:themeColor="text1" w:themeTint="F2"/>
          <w:sz w:val="24"/>
          <w:szCs w:val="24"/>
        </w:rPr>
        <w:fldChar w:fldCharType="end"/>
      </w:r>
      <w:r w:rsidR="00BA5602" w:rsidRPr="003C6DBD">
        <w:rPr>
          <w:rFonts w:ascii="Times New Roman" w:hAnsi="Times New Roman" w:cs="Times New Roman"/>
          <w:color w:val="0D0D0D" w:themeColor="text1" w:themeTint="F2"/>
          <w:sz w:val="24"/>
          <w:szCs w:val="24"/>
        </w:rPr>
        <w:t xml:space="preserve"> was adopted in identifying and coding risk factors. However, this study is a more comprehensive risk assessment of </w:t>
      </w:r>
      <w:r w:rsidR="00DB0055" w:rsidRPr="003C6DBD">
        <w:rPr>
          <w:rFonts w:ascii="Times New Roman" w:hAnsi="Times New Roman" w:cs="Times New Roman"/>
          <w:color w:val="0D0D0D" w:themeColor="text1" w:themeTint="F2"/>
          <w:sz w:val="24"/>
          <w:szCs w:val="24"/>
        </w:rPr>
        <w:t>publicly traded</w:t>
      </w:r>
      <w:r w:rsidR="00BA5602" w:rsidRPr="003C6DBD">
        <w:rPr>
          <w:rFonts w:ascii="Times New Roman" w:hAnsi="Times New Roman" w:cs="Times New Roman"/>
          <w:color w:val="0D0D0D" w:themeColor="text1" w:themeTint="F2"/>
          <w:sz w:val="24"/>
          <w:szCs w:val="24"/>
        </w:rPr>
        <w:t xml:space="preserve"> biofuel companies. Unlike the study by </w:t>
      </w:r>
      <w:r w:rsidR="00BA5602" w:rsidRPr="003C6DBD">
        <w:rPr>
          <w:rFonts w:ascii="Times New Roman" w:hAnsi="Times New Roman" w:cs="Times New Roman"/>
          <w:color w:val="0D0D0D" w:themeColor="text1" w:themeTint="F2"/>
          <w:sz w:val="24"/>
          <w:szCs w:val="24"/>
        </w:rPr>
        <w:fldChar w:fldCharType="begin"/>
      </w:r>
      <w:r w:rsidR="00BA5602" w:rsidRPr="003C6DBD">
        <w:rPr>
          <w:rFonts w:ascii="Times New Roman" w:hAnsi="Times New Roman" w:cs="Times New Roman"/>
          <w:color w:val="0D0D0D" w:themeColor="text1" w:themeTint="F2"/>
          <w:sz w:val="24"/>
          <w:szCs w:val="24"/>
        </w:rPr>
        <w:instrText xml:space="preserve"> ADDIN ZOTERO_ITEM CSL_CITATION {"citationID":"DNMOJQeI","properties":{"custom":"Pries et al. (2016)","formattedCitation":"Pries et al. (2016)","plainCitation":"Pries et al. (2016)","noteIndex":0},"citationItems":[{"id":251,"uris":["http://zotero.org/users/8949154/items/P6NYLUEB"],"itemData":{"id":251,"type":"article-journal","container-title":"Energy Policy","note":"publisher: Elsevier","page":"93–101","source":"Google Scholar","title":"Risks affecting the biofuels industry: A US and Canadian company perspective","title-short":"Risks affecting the biofuels industry","volume":"97","author":[{"family":"Pries","given":"Fred"},{"family":"Talebi","given":"Alireza"},{"family":"Schillo","given":"R. Sandra"},{"family":"Lemay","given":"Margaret A."}],"issued":{"date-parts":[["2016"]]}}}],"schema":"https://github.com/citation-style-language/schema/raw/master/csl-citation.json"} </w:instrText>
      </w:r>
      <w:r w:rsidR="00BA5602" w:rsidRPr="003C6DBD">
        <w:rPr>
          <w:rFonts w:ascii="Times New Roman" w:hAnsi="Times New Roman" w:cs="Times New Roman"/>
          <w:color w:val="0D0D0D" w:themeColor="text1" w:themeTint="F2"/>
          <w:sz w:val="24"/>
          <w:szCs w:val="24"/>
        </w:rPr>
        <w:fldChar w:fldCharType="separate"/>
      </w:r>
      <w:r w:rsidR="00BA5602" w:rsidRPr="003C6DBD">
        <w:rPr>
          <w:rFonts w:ascii="Times New Roman" w:hAnsi="Times New Roman" w:cs="Times New Roman"/>
          <w:color w:val="0D0D0D" w:themeColor="text1" w:themeTint="F2"/>
          <w:sz w:val="24"/>
          <w:szCs w:val="24"/>
        </w:rPr>
        <w:t>Pries et al. (2016)</w:t>
      </w:r>
      <w:r w:rsidR="00BA5602" w:rsidRPr="003C6DBD">
        <w:rPr>
          <w:rFonts w:ascii="Times New Roman" w:hAnsi="Times New Roman" w:cs="Times New Roman"/>
          <w:color w:val="0D0D0D" w:themeColor="text1" w:themeTint="F2"/>
          <w:sz w:val="24"/>
          <w:szCs w:val="24"/>
        </w:rPr>
        <w:fldChar w:fldCharType="end"/>
      </w:r>
      <w:r w:rsidR="00BA5602" w:rsidRPr="003C6DBD">
        <w:rPr>
          <w:rFonts w:ascii="Times New Roman" w:hAnsi="Times New Roman" w:cs="Times New Roman"/>
          <w:color w:val="0D0D0D" w:themeColor="text1" w:themeTint="F2"/>
          <w:sz w:val="24"/>
          <w:szCs w:val="24"/>
        </w:rPr>
        <w:t xml:space="preserve"> which assesses the risks for just one year</w:t>
      </w:r>
      <w:r w:rsidR="0045350D" w:rsidRPr="003C6DBD">
        <w:rPr>
          <w:rFonts w:ascii="Times New Roman" w:hAnsi="Times New Roman" w:cs="Times New Roman"/>
          <w:color w:val="0D0D0D" w:themeColor="text1" w:themeTint="F2"/>
          <w:sz w:val="24"/>
          <w:szCs w:val="24"/>
        </w:rPr>
        <w:t xml:space="preserve"> –2013 fiscal year</w:t>
      </w:r>
      <w:r w:rsidR="00BA5602" w:rsidRPr="003C6DBD">
        <w:rPr>
          <w:rFonts w:ascii="Times New Roman" w:hAnsi="Times New Roman" w:cs="Times New Roman"/>
          <w:color w:val="0D0D0D" w:themeColor="text1" w:themeTint="F2"/>
          <w:sz w:val="24"/>
          <w:szCs w:val="24"/>
        </w:rPr>
        <w:t xml:space="preserve">, </w:t>
      </w:r>
      <w:r w:rsidR="00D35A8A" w:rsidRPr="003C6DBD">
        <w:rPr>
          <w:rFonts w:ascii="Times New Roman" w:hAnsi="Times New Roman" w:cs="Times New Roman"/>
          <w:color w:val="0D0D0D" w:themeColor="text1" w:themeTint="F2"/>
          <w:sz w:val="24"/>
          <w:szCs w:val="24"/>
        </w:rPr>
        <w:t>this</w:t>
      </w:r>
      <w:r w:rsidR="00BA5602" w:rsidRPr="003C6DBD">
        <w:rPr>
          <w:rFonts w:ascii="Times New Roman" w:hAnsi="Times New Roman" w:cs="Times New Roman"/>
          <w:color w:val="0D0D0D" w:themeColor="text1" w:themeTint="F2"/>
          <w:sz w:val="24"/>
          <w:szCs w:val="24"/>
        </w:rPr>
        <w:t xml:space="preserve"> study assesses the risks faced by publicly traded biofuel companies for three years from 2018 to 2020. Risks assessment for just one year may present risks observed in that particular year. Risk assessment for three years, on the other hand, may have some risks rectified and some novel risks observed. </w:t>
      </w:r>
    </w:p>
    <w:p w14:paraId="6B560720" w14:textId="549FFC37" w:rsidR="00BA5602" w:rsidRPr="003C6DBD" w:rsidRDefault="00BA5602" w:rsidP="002A7494">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lastRenderedPageBreak/>
        <w:t xml:space="preserve">In addition, our study comprises </w:t>
      </w:r>
      <w:r w:rsidR="005E07D7" w:rsidRPr="003C6DBD">
        <w:rPr>
          <w:rFonts w:ascii="Times New Roman" w:hAnsi="Times New Roman" w:cs="Times New Roman"/>
          <w:color w:val="0D0D0D" w:themeColor="text1" w:themeTint="F2"/>
          <w:sz w:val="24"/>
          <w:szCs w:val="24"/>
        </w:rPr>
        <w:t>of 2</w:t>
      </w:r>
      <w:r w:rsidR="001A4875" w:rsidRPr="003C6DBD">
        <w:rPr>
          <w:rFonts w:ascii="Times New Roman" w:hAnsi="Times New Roman" w:cs="Times New Roman"/>
          <w:color w:val="0D0D0D" w:themeColor="text1" w:themeTint="F2"/>
          <w:sz w:val="24"/>
          <w:szCs w:val="24"/>
        </w:rPr>
        <w:t>2</w:t>
      </w:r>
      <w:r w:rsidR="00615AEF" w:rsidRPr="003C6DBD">
        <w:rPr>
          <w:rStyle w:val="FootnoteReference"/>
          <w:rFonts w:ascii="Times New Roman" w:hAnsi="Times New Roman" w:cs="Times New Roman"/>
          <w:color w:val="0D0D0D" w:themeColor="text1" w:themeTint="F2"/>
          <w:sz w:val="24"/>
          <w:szCs w:val="24"/>
        </w:rPr>
        <w:footnoteReference w:id="8"/>
      </w:r>
      <w:r w:rsidR="005E07D7" w:rsidRPr="003C6DBD">
        <w:rPr>
          <w:rFonts w:ascii="Times New Roman" w:hAnsi="Times New Roman" w:cs="Times New Roman"/>
          <w:color w:val="0D0D0D" w:themeColor="text1" w:themeTint="F2"/>
          <w:sz w:val="24"/>
          <w:szCs w:val="24"/>
        </w:rPr>
        <w:t xml:space="preserve"> companies </w:t>
      </w:r>
      <w:r w:rsidRPr="003C6DBD">
        <w:rPr>
          <w:rFonts w:ascii="Times New Roman" w:hAnsi="Times New Roman" w:cs="Times New Roman"/>
          <w:color w:val="0D0D0D" w:themeColor="text1" w:themeTint="F2"/>
          <w:sz w:val="24"/>
          <w:szCs w:val="24"/>
        </w:rPr>
        <w:t xml:space="preserve">for the analysis </w:t>
      </w:r>
      <w:r w:rsidR="005E07D7" w:rsidRPr="003C6DBD">
        <w:rPr>
          <w:rFonts w:ascii="Times New Roman" w:hAnsi="Times New Roman" w:cs="Times New Roman"/>
          <w:color w:val="0D0D0D" w:themeColor="text1" w:themeTint="F2"/>
          <w:sz w:val="24"/>
          <w:szCs w:val="24"/>
        </w:rPr>
        <w:t xml:space="preserve">which is different </w:t>
      </w:r>
      <w:r w:rsidRPr="003C6DBD">
        <w:rPr>
          <w:rFonts w:ascii="Times New Roman" w:hAnsi="Times New Roman" w:cs="Times New Roman"/>
          <w:color w:val="0D0D0D" w:themeColor="text1" w:themeTint="F2"/>
          <w:sz w:val="24"/>
          <w:szCs w:val="24"/>
        </w:rPr>
        <w:t xml:space="preserve">than those used by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{"citationID":"mMDx4qyj","properties":{"custom":"Pries et al. (2016)","formattedCitation":"Pries et al. (2016)","plainCitation":"Pries et al. (2016)","noteIndex":0},"citationItems":[{"id":251,"uris":["http://zotero.org/users/8949154/items/P6NYLUEB"],"itemData":{"id":251,"type":"article-journal","container-title":"Energy Policy","note":"publisher: Elsevier","page":"93–101","source":"Google Scholar","title":"Risks affecting the biofuels industry: A US and Canadian company perspective","title-short":"Risks affecting the biofuels industry","volume":"97","author":[{"family":"Pries","given":"Fred"},{"family":"Talebi","given":"Alireza"},{"family":"Schillo","given":"R. Sandra"},{"family":"Lemay","given":"Margaret A."}],"issued":{"date-parts":[["2016"]]}}}],"schema":"https://github.com/citation-style-language/schema/raw/master/csl-citation.json"}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Pries et al. (2016)</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w:t>
      </w:r>
      <w:r w:rsidR="00D63D47" w:rsidRPr="003C6DBD">
        <w:rPr>
          <w:rFonts w:ascii="Times New Roman" w:hAnsi="Times New Roman" w:cs="Times New Roman"/>
          <w:color w:val="0D0D0D" w:themeColor="text1" w:themeTint="F2"/>
          <w:sz w:val="24"/>
          <w:szCs w:val="24"/>
        </w:rPr>
        <w:t xml:space="preserve">which used 26 companies operating in US and Canada. Furthermore, </w:t>
      </w:r>
      <w:r w:rsidR="00194034" w:rsidRPr="003C6DBD">
        <w:rPr>
          <w:rFonts w:ascii="Times New Roman" w:hAnsi="Times New Roman" w:cs="Times New Roman"/>
          <w:color w:val="0D0D0D" w:themeColor="text1" w:themeTint="F2"/>
          <w:sz w:val="24"/>
          <w:szCs w:val="24"/>
        </w:rPr>
        <w:t>our</w:t>
      </w:r>
      <w:r w:rsidR="00D63D47" w:rsidRPr="003C6DBD">
        <w:rPr>
          <w:rFonts w:ascii="Times New Roman" w:hAnsi="Times New Roman" w:cs="Times New Roman"/>
          <w:color w:val="0D0D0D" w:themeColor="text1" w:themeTint="F2"/>
          <w:sz w:val="24"/>
          <w:szCs w:val="24"/>
        </w:rPr>
        <w:t xml:space="preserve"> study </w:t>
      </w:r>
      <w:r w:rsidRPr="003C6DBD">
        <w:rPr>
          <w:rFonts w:ascii="Times New Roman" w:hAnsi="Times New Roman" w:cs="Times New Roman"/>
          <w:color w:val="0D0D0D" w:themeColor="text1" w:themeTint="F2"/>
          <w:sz w:val="24"/>
          <w:szCs w:val="24"/>
        </w:rPr>
        <w:t>assesses the risks from the year</w:t>
      </w:r>
      <w:r w:rsidR="00DD1970" w:rsidRPr="003C6DBD">
        <w:rPr>
          <w:rFonts w:ascii="Times New Roman" w:hAnsi="Times New Roman" w:cs="Times New Roman"/>
          <w:color w:val="0D0D0D" w:themeColor="text1" w:themeTint="F2"/>
          <w:sz w:val="24"/>
          <w:szCs w:val="24"/>
        </w:rPr>
        <w:t>s</w:t>
      </w:r>
      <w:r w:rsidRPr="003C6DBD">
        <w:rPr>
          <w:rFonts w:ascii="Times New Roman" w:hAnsi="Times New Roman" w:cs="Times New Roman"/>
          <w:color w:val="0D0D0D" w:themeColor="text1" w:themeTint="F2"/>
          <w:sz w:val="24"/>
          <w:szCs w:val="24"/>
        </w:rPr>
        <w:t xml:space="preserve"> 2018 to </w:t>
      </w:r>
      <w:r w:rsidR="00002C76" w:rsidRPr="003C6DBD">
        <w:rPr>
          <w:rFonts w:ascii="Times New Roman" w:hAnsi="Times New Roman" w:cs="Times New Roman"/>
          <w:color w:val="0D0D0D" w:themeColor="text1" w:themeTint="F2"/>
          <w:sz w:val="24"/>
          <w:szCs w:val="24"/>
        </w:rPr>
        <w:t>2021</w:t>
      </w:r>
      <w:r w:rsidR="00B71030" w:rsidRPr="003C6DBD">
        <w:rPr>
          <w:rFonts w:ascii="Times New Roman" w:hAnsi="Times New Roman" w:cs="Times New Roman"/>
          <w:color w:val="0D0D0D" w:themeColor="text1" w:themeTint="F2"/>
          <w:sz w:val="24"/>
          <w:szCs w:val="24"/>
        </w:rPr>
        <w:t>,</w:t>
      </w:r>
      <w:r w:rsidRPr="003C6DBD">
        <w:rPr>
          <w:rFonts w:ascii="Times New Roman" w:hAnsi="Times New Roman" w:cs="Times New Roman"/>
          <w:color w:val="0D0D0D" w:themeColor="text1" w:themeTint="F2"/>
          <w:sz w:val="24"/>
          <w:szCs w:val="24"/>
        </w:rPr>
        <w:t xml:space="preserve"> which provides us with </w:t>
      </w:r>
      <w:r w:rsidR="00A152B2" w:rsidRPr="003C6DBD">
        <w:rPr>
          <w:rFonts w:ascii="Times New Roman" w:hAnsi="Times New Roman" w:cs="Times New Roman"/>
          <w:color w:val="0D0D0D" w:themeColor="text1" w:themeTint="F2"/>
          <w:sz w:val="24"/>
          <w:szCs w:val="24"/>
        </w:rPr>
        <w:t xml:space="preserve">current or recent </w:t>
      </w:r>
      <w:r w:rsidRPr="003C6DBD">
        <w:rPr>
          <w:rFonts w:ascii="Times New Roman" w:hAnsi="Times New Roman" w:cs="Times New Roman"/>
          <w:color w:val="0D0D0D" w:themeColor="text1" w:themeTint="F2"/>
          <w:sz w:val="24"/>
          <w:szCs w:val="24"/>
        </w:rPr>
        <w:t>risks faced by the biofuel companies. We used t</w:t>
      </w:r>
      <w:r w:rsidR="001B04DB" w:rsidRPr="003C6DBD">
        <w:rPr>
          <w:rFonts w:ascii="Times New Roman" w:hAnsi="Times New Roman" w:cs="Times New Roman"/>
          <w:color w:val="0D0D0D" w:themeColor="text1" w:themeTint="F2"/>
          <w:sz w:val="24"/>
          <w:szCs w:val="24"/>
        </w:rPr>
        <w:t>hree</w:t>
      </w:r>
      <w:r w:rsidRPr="003C6DBD">
        <w:rPr>
          <w:rFonts w:ascii="Times New Roman" w:hAnsi="Times New Roman" w:cs="Times New Roman"/>
          <w:color w:val="0D0D0D" w:themeColor="text1" w:themeTint="F2"/>
          <w:sz w:val="24"/>
          <w:szCs w:val="24"/>
        </w:rPr>
        <w:t xml:space="preserve"> criteria for selecting companies that will be used for risk assessment of the biofuel industry:</w:t>
      </w:r>
    </w:p>
    <w:p w14:paraId="0A5025C7" w14:textId="4E2CC9A3" w:rsidR="009848E4" w:rsidRPr="003C6DBD" w:rsidRDefault="009848E4" w:rsidP="009848E4">
      <w:pPr>
        <w:pStyle w:val="ListParagraph"/>
        <w:numPr>
          <w:ilvl w:val="0"/>
          <w:numId w:val="13"/>
        </w:num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The company should be involved in the biofuel business for at least </w:t>
      </w:r>
      <w:r w:rsidR="00D570A5" w:rsidRPr="003C6DBD">
        <w:rPr>
          <w:rFonts w:ascii="Times New Roman" w:hAnsi="Times New Roman" w:cs="Times New Roman"/>
          <w:color w:val="0D0D0D" w:themeColor="text1" w:themeTint="F2"/>
          <w:sz w:val="24"/>
          <w:szCs w:val="24"/>
        </w:rPr>
        <w:t xml:space="preserve">four </w:t>
      </w:r>
      <w:r w:rsidRPr="003C6DBD">
        <w:rPr>
          <w:rFonts w:ascii="Times New Roman" w:hAnsi="Times New Roman" w:cs="Times New Roman"/>
          <w:color w:val="0D0D0D" w:themeColor="text1" w:themeTint="F2"/>
          <w:sz w:val="24"/>
          <w:szCs w:val="24"/>
        </w:rPr>
        <w:t>years, from 2018-2021.</w:t>
      </w:r>
    </w:p>
    <w:p w14:paraId="7A4961DA" w14:textId="5E7C25F4" w:rsidR="001B04DB" w:rsidRPr="003C6DBD" w:rsidRDefault="009848E4" w:rsidP="001B04DB">
      <w:pPr>
        <w:pStyle w:val="ListParagraph"/>
        <w:numPr>
          <w:ilvl w:val="0"/>
          <w:numId w:val="13"/>
        </w:num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The companies should have reported risk factors in their annual reports as required by the Securities and Exchange </w:t>
      </w:r>
      <w:r w:rsidR="001A4875" w:rsidRPr="003C6DBD">
        <w:rPr>
          <w:rFonts w:ascii="Times New Roman" w:hAnsi="Times New Roman" w:cs="Times New Roman"/>
          <w:color w:val="0D0D0D" w:themeColor="text1" w:themeTint="F2"/>
          <w:sz w:val="24"/>
          <w:szCs w:val="24"/>
        </w:rPr>
        <w:t>Commission</w:t>
      </w:r>
      <w:r w:rsidRPr="003C6DBD">
        <w:rPr>
          <w:rFonts w:ascii="Times New Roman" w:hAnsi="Times New Roman" w:cs="Times New Roman"/>
          <w:color w:val="0D0D0D" w:themeColor="text1" w:themeTint="F2"/>
          <w:sz w:val="24"/>
          <w:szCs w:val="24"/>
        </w:rPr>
        <w:t xml:space="preserve"> (SEC).</w:t>
      </w:r>
    </w:p>
    <w:p w14:paraId="4353D276" w14:textId="53FF1BF2" w:rsidR="001B04DB" w:rsidRPr="003C6DBD" w:rsidRDefault="001B04DB" w:rsidP="001B04DB">
      <w:pPr>
        <w:pStyle w:val="ListParagraph"/>
        <w:numPr>
          <w:ilvl w:val="0"/>
          <w:numId w:val="13"/>
        </w:num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The companies should have their financial statements </w:t>
      </w:r>
      <w:r w:rsidR="00002C76" w:rsidRPr="003C6DBD">
        <w:rPr>
          <w:rFonts w:ascii="Times New Roman" w:hAnsi="Times New Roman" w:cs="Times New Roman"/>
          <w:color w:val="0D0D0D" w:themeColor="text1" w:themeTint="F2"/>
          <w:sz w:val="24"/>
          <w:szCs w:val="24"/>
        </w:rPr>
        <w:t xml:space="preserve">available in </w:t>
      </w:r>
      <w:r w:rsidR="00CA37F6" w:rsidRPr="003C6DBD">
        <w:rPr>
          <w:rFonts w:ascii="Times New Roman" w:hAnsi="Times New Roman" w:cs="Times New Roman"/>
          <w:color w:val="0D0D0D" w:themeColor="text1" w:themeTint="F2"/>
          <w:sz w:val="24"/>
          <w:szCs w:val="24"/>
        </w:rPr>
        <w:t>the Standard and Poor’s</w:t>
      </w:r>
      <w:r w:rsidR="00002C76" w:rsidRPr="003C6DBD">
        <w:rPr>
          <w:rFonts w:ascii="Times New Roman" w:hAnsi="Times New Roman" w:cs="Times New Roman"/>
          <w:color w:val="0D0D0D" w:themeColor="text1" w:themeTint="F2"/>
          <w:sz w:val="24"/>
          <w:szCs w:val="24"/>
        </w:rPr>
        <w:t xml:space="preserve"> database used in this study for </w:t>
      </w:r>
      <w:r w:rsidR="00347627" w:rsidRPr="003C6DBD">
        <w:rPr>
          <w:rFonts w:ascii="Times New Roman" w:hAnsi="Times New Roman" w:cs="Times New Roman"/>
          <w:color w:val="0D0D0D" w:themeColor="text1" w:themeTint="F2"/>
          <w:sz w:val="24"/>
          <w:szCs w:val="24"/>
        </w:rPr>
        <w:t>financial</w:t>
      </w:r>
      <w:r w:rsidR="00002C76" w:rsidRPr="003C6DBD">
        <w:rPr>
          <w:rFonts w:ascii="Times New Roman" w:hAnsi="Times New Roman" w:cs="Times New Roman"/>
          <w:color w:val="0D0D0D" w:themeColor="text1" w:themeTint="F2"/>
          <w:sz w:val="24"/>
          <w:szCs w:val="24"/>
        </w:rPr>
        <w:t xml:space="preserve"> analysis</w:t>
      </w:r>
      <w:r w:rsidRPr="003C6DBD">
        <w:rPr>
          <w:rFonts w:ascii="Times New Roman" w:hAnsi="Times New Roman" w:cs="Times New Roman"/>
          <w:color w:val="0D0D0D" w:themeColor="text1" w:themeTint="F2"/>
          <w:sz w:val="24"/>
          <w:szCs w:val="24"/>
        </w:rPr>
        <w:t>.</w:t>
      </w:r>
    </w:p>
    <w:p w14:paraId="385BB631" w14:textId="0F07F0DA" w:rsidR="00EB2198" w:rsidRPr="003C6DBD" w:rsidRDefault="00BA5602" w:rsidP="00F42934">
      <w:pPr>
        <w:pStyle w:val="BodyTextIndent"/>
        <w:ind w:firstLine="720"/>
        <w:rPr>
          <w:color w:val="0D0D0D" w:themeColor="text1" w:themeTint="F2"/>
        </w:rPr>
      </w:pPr>
      <w:r w:rsidRPr="003C6DBD">
        <w:rPr>
          <w:color w:val="0D0D0D" w:themeColor="text1" w:themeTint="F2"/>
        </w:rPr>
        <w:t>A total of 2</w:t>
      </w:r>
      <w:r w:rsidR="00C21739" w:rsidRPr="003C6DBD">
        <w:rPr>
          <w:color w:val="0D0D0D" w:themeColor="text1" w:themeTint="F2"/>
        </w:rPr>
        <w:t>2</w:t>
      </w:r>
      <w:r w:rsidRPr="003C6DBD">
        <w:rPr>
          <w:color w:val="0D0D0D" w:themeColor="text1" w:themeTint="F2"/>
        </w:rPr>
        <w:t xml:space="preserve"> biofuel companies from Table 5 were selected for the risk assessment because only these 2</w:t>
      </w:r>
      <w:r w:rsidR="00C21739" w:rsidRPr="003C6DBD">
        <w:rPr>
          <w:color w:val="0D0D0D" w:themeColor="text1" w:themeTint="F2"/>
        </w:rPr>
        <w:t>2</w:t>
      </w:r>
      <w:r w:rsidRPr="003C6DBD">
        <w:rPr>
          <w:color w:val="0D0D0D" w:themeColor="text1" w:themeTint="F2"/>
        </w:rPr>
        <w:t xml:space="preserve"> companies fulfilled our criteria. </w:t>
      </w:r>
      <w:r w:rsidR="00DA3B2D" w:rsidRPr="003C6DBD">
        <w:rPr>
          <w:color w:val="0D0D0D" w:themeColor="text1" w:themeTint="F2"/>
        </w:rPr>
        <w:t>T</w:t>
      </w:r>
      <w:r w:rsidRPr="003C6DBD">
        <w:rPr>
          <w:color w:val="0D0D0D" w:themeColor="text1" w:themeTint="F2"/>
        </w:rPr>
        <w:t xml:space="preserve">he risk segment in the annual report of the companies was used as the basis for obtaining specific data for risk analysis. </w:t>
      </w:r>
      <w:r w:rsidR="00194034" w:rsidRPr="003C6DBD">
        <w:rPr>
          <w:color w:val="0D0D0D" w:themeColor="text1" w:themeTint="F2"/>
        </w:rPr>
        <w:t xml:space="preserve">The data for </w:t>
      </w:r>
      <w:r w:rsidR="006F41E4" w:rsidRPr="003C6DBD">
        <w:rPr>
          <w:color w:val="0D0D0D" w:themeColor="text1" w:themeTint="F2"/>
        </w:rPr>
        <w:t xml:space="preserve">the </w:t>
      </w:r>
      <w:r w:rsidR="00194034" w:rsidRPr="003C6DBD">
        <w:rPr>
          <w:color w:val="0D0D0D" w:themeColor="text1" w:themeTint="F2"/>
        </w:rPr>
        <w:t xml:space="preserve">risk analysis </w:t>
      </w:r>
      <w:r w:rsidR="006F41E4" w:rsidRPr="003C6DBD">
        <w:rPr>
          <w:color w:val="0D0D0D" w:themeColor="text1" w:themeTint="F2"/>
        </w:rPr>
        <w:t>consisted of</w:t>
      </w:r>
      <w:r w:rsidR="00194034" w:rsidRPr="003C6DBD">
        <w:rPr>
          <w:color w:val="0D0D0D" w:themeColor="text1" w:themeTint="F2"/>
        </w:rPr>
        <w:t xml:space="preserve"> qualitative information about individual </w:t>
      </w:r>
      <w:r w:rsidR="006F41E4" w:rsidRPr="003C6DBD">
        <w:rPr>
          <w:color w:val="0D0D0D" w:themeColor="text1" w:themeTint="F2"/>
        </w:rPr>
        <w:t xml:space="preserve">firm </w:t>
      </w:r>
      <w:r w:rsidR="00194034" w:rsidRPr="003C6DBD">
        <w:rPr>
          <w:color w:val="0D0D0D" w:themeColor="text1" w:themeTint="F2"/>
        </w:rPr>
        <w:t>risk factors</w:t>
      </w:r>
      <w:r w:rsidR="00333530" w:rsidRPr="003C6DBD">
        <w:rPr>
          <w:color w:val="0D0D0D" w:themeColor="text1" w:themeTint="F2"/>
        </w:rPr>
        <w:t xml:space="preserve">, </w:t>
      </w:r>
      <w:r w:rsidR="006F41E4" w:rsidRPr="003C6DBD">
        <w:rPr>
          <w:color w:val="0D0D0D" w:themeColor="text1" w:themeTint="F2"/>
        </w:rPr>
        <w:t>as</w:t>
      </w:r>
      <w:r w:rsidR="00194034" w:rsidRPr="003C6DBD">
        <w:rPr>
          <w:color w:val="0D0D0D" w:themeColor="text1" w:themeTint="F2"/>
        </w:rPr>
        <w:t xml:space="preserve"> reported by the companies</w:t>
      </w:r>
      <w:r w:rsidR="006F41E4" w:rsidRPr="003C6DBD">
        <w:rPr>
          <w:color w:val="0D0D0D" w:themeColor="text1" w:themeTint="F2"/>
        </w:rPr>
        <w:t xml:space="preserve"> to the SEC</w:t>
      </w:r>
      <w:r w:rsidR="00194034" w:rsidRPr="003C6DBD">
        <w:rPr>
          <w:color w:val="0D0D0D" w:themeColor="text1" w:themeTint="F2"/>
        </w:rPr>
        <w:t xml:space="preserve">. </w:t>
      </w:r>
      <w:r w:rsidRPr="003C6DBD">
        <w:rPr>
          <w:color w:val="0D0D0D" w:themeColor="text1" w:themeTint="F2"/>
        </w:rPr>
        <w:t xml:space="preserve">After collecting the data for risk analysis from the annual reports, the elements of risks reported were coded in a two steps hierarchy using a concept-driven approach. First, the broad risk categories were identified (Political, Economic, Social, Technological, Primary Activities, and Support Activities). Secondly, specific risks were </w:t>
      </w:r>
      <w:r w:rsidRPr="003C6DBD">
        <w:rPr>
          <w:color w:val="0D0D0D" w:themeColor="text1" w:themeTint="F2"/>
        </w:rPr>
        <w:lastRenderedPageBreak/>
        <w:t xml:space="preserve">identified for each broad category and coded by analyzing the descriptions for the risks in the annual report. In the process of qualitative risk assessment, coding changes were considered by creating a new specific risk category in the cases where novel specific risks that were out of the scope of previously set specific risk categories </w:t>
      </w:r>
      <w:r w:rsidR="00506829" w:rsidRPr="003C6DBD">
        <w:rPr>
          <w:color w:val="0D0D0D" w:themeColor="text1" w:themeTint="F2"/>
        </w:rPr>
        <w:t xml:space="preserve">were </w:t>
      </w:r>
      <w:r w:rsidRPr="003C6DBD">
        <w:rPr>
          <w:color w:val="0D0D0D" w:themeColor="text1" w:themeTint="F2"/>
        </w:rPr>
        <w:t xml:space="preserve">identified. Table 6 </w:t>
      </w:r>
      <w:r w:rsidR="00A9409C" w:rsidRPr="003C6DBD">
        <w:rPr>
          <w:color w:val="0D0D0D" w:themeColor="text1" w:themeTint="F2"/>
        </w:rPr>
        <w:t>shows</w:t>
      </w:r>
      <w:r w:rsidRPr="003C6DBD">
        <w:rPr>
          <w:color w:val="0D0D0D" w:themeColor="text1" w:themeTint="F2"/>
        </w:rPr>
        <w:t xml:space="preserve"> </w:t>
      </w:r>
      <w:r w:rsidR="00194034" w:rsidRPr="003C6DBD">
        <w:rPr>
          <w:color w:val="0D0D0D" w:themeColor="text1" w:themeTint="F2"/>
        </w:rPr>
        <w:t xml:space="preserve">an example of </w:t>
      </w:r>
      <w:r w:rsidRPr="003C6DBD">
        <w:rPr>
          <w:color w:val="0D0D0D" w:themeColor="text1" w:themeTint="F2"/>
        </w:rPr>
        <w:t xml:space="preserve">broad risk categories and specific risk factors reported by the </w:t>
      </w:r>
      <w:r w:rsidR="00853960" w:rsidRPr="003C6DBD">
        <w:rPr>
          <w:color w:val="0D0D0D" w:themeColor="text1" w:themeTint="F2"/>
        </w:rPr>
        <w:t xml:space="preserve">biofuel </w:t>
      </w:r>
      <w:r w:rsidRPr="003C6DBD">
        <w:rPr>
          <w:color w:val="0D0D0D" w:themeColor="text1" w:themeTint="F2"/>
        </w:rPr>
        <w:t>companies in the risk factors section of annual reports.</w:t>
      </w:r>
      <w:bookmarkStart w:id="27" w:name="_Toc102229896"/>
      <w:bookmarkEnd w:id="26"/>
    </w:p>
    <w:p w14:paraId="31693E55" w14:textId="2084B9A5" w:rsidR="00F70A21" w:rsidRPr="003C6DBD" w:rsidRDefault="003F6F35" w:rsidP="002A7494">
      <w:pPr>
        <w:pStyle w:val="Heading4"/>
        <w:rPr>
          <w:color w:val="0D0D0D" w:themeColor="text1" w:themeTint="F2"/>
        </w:rPr>
      </w:pPr>
      <w:r w:rsidRPr="003C6DBD">
        <w:rPr>
          <w:color w:val="0D0D0D" w:themeColor="text1" w:themeTint="F2"/>
        </w:rPr>
        <w:t>4.</w:t>
      </w:r>
      <w:r w:rsidR="00937D0E" w:rsidRPr="003C6DBD">
        <w:rPr>
          <w:color w:val="0D0D0D" w:themeColor="text1" w:themeTint="F2"/>
        </w:rPr>
        <w:t>2.2</w:t>
      </w:r>
      <w:r w:rsidRPr="003C6DBD">
        <w:rPr>
          <w:color w:val="0D0D0D" w:themeColor="text1" w:themeTint="F2"/>
        </w:rPr>
        <w:t xml:space="preserve"> Measures of Importance</w:t>
      </w:r>
      <w:bookmarkEnd w:id="27"/>
    </w:p>
    <w:p w14:paraId="30A3333A" w14:textId="1EFFDB4E" w:rsidR="00E328B9" w:rsidRPr="003C6DBD" w:rsidRDefault="008D11DA" w:rsidP="002A7494">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The study employed two measures, prevalence and significance, to evaluate the </w:t>
      </w:r>
      <w:r w:rsidR="00BD498E" w:rsidRPr="003C6DBD">
        <w:rPr>
          <w:rFonts w:ascii="Times New Roman" w:hAnsi="Times New Roman" w:cs="Times New Roman"/>
          <w:color w:val="0D0D0D" w:themeColor="text1" w:themeTint="F2"/>
          <w:sz w:val="24"/>
          <w:szCs w:val="24"/>
        </w:rPr>
        <w:t xml:space="preserve">seriousness </w:t>
      </w:r>
      <w:r w:rsidRPr="003C6DBD">
        <w:rPr>
          <w:rFonts w:ascii="Times New Roman" w:hAnsi="Times New Roman" w:cs="Times New Roman"/>
          <w:color w:val="0D0D0D" w:themeColor="text1" w:themeTint="F2"/>
          <w:sz w:val="24"/>
          <w:szCs w:val="24"/>
        </w:rPr>
        <w:t xml:space="preserve">of a particular risk to the sample biofuel companies, according to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{"citationID":"mOB8JS2b","properties":{"custom":"Pries et al. (2016)","formattedCitation":"Pries et al. (2016)","plainCitation":"Pries et al. (2016)","noteIndex":0},"citationItems":[{"id":251,"uris":["http://zotero.org/users/8949154/items/P6NYLUEB"],"itemData":{"id":251,"type":"article-journal","container-title":"Energy Policy","note":"publisher: Elsevier","page":"93–101","source":"Google Scholar","title":"Risks affecting the biofuels industry: A US and Canadian company perspective","title-short":"Risks affecting the biofuels industry","volume":"97","author":[{"family":"Pries","given":"Fred"},{"family":"Talebi","given":"Alireza"},{"family":"Schillo","given":"R. Sandra"},{"family":"Lemay","given":"Margaret A."}],"issued":{"date-parts":[["2016"]]}}}],"schema":"https://github.com/citation-style-language/schema/raw/master/csl-citation.json"}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Pries et al. (2016)</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Prevalence measured how common is a particular risk in the sample</w:t>
      </w:r>
      <w:r w:rsidR="005B12E4" w:rsidRPr="003C6DBD">
        <w:rPr>
          <w:rFonts w:ascii="Times New Roman" w:hAnsi="Times New Roman" w:cs="Times New Roman"/>
          <w:color w:val="0D0D0D" w:themeColor="text1" w:themeTint="F2"/>
          <w:sz w:val="24"/>
          <w:szCs w:val="24"/>
        </w:rPr>
        <w:t xml:space="preserve"> of</w:t>
      </w:r>
      <w:r w:rsidRPr="003C6DBD">
        <w:rPr>
          <w:rFonts w:ascii="Times New Roman" w:hAnsi="Times New Roman" w:cs="Times New Roman"/>
          <w:color w:val="0D0D0D" w:themeColor="text1" w:themeTint="F2"/>
          <w:sz w:val="24"/>
          <w:szCs w:val="24"/>
        </w:rPr>
        <w:t xml:space="preserve"> </w:t>
      </w:r>
      <w:r w:rsidR="00DB0055" w:rsidRPr="003C6DBD">
        <w:rPr>
          <w:rFonts w:ascii="Times New Roman" w:hAnsi="Times New Roman" w:cs="Times New Roman"/>
          <w:color w:val="0D0D0D" w:themeColor="text1" w:themeTint="F2"/>
          <w:sz w:val="24"/>
          <w:szCs w:val="24"/>
        </w:rPr>
        <w:t>companies and</w:t>
      </w:r>
      <w:r w:rsidRPr="003C6DBD">
        <w:rPr>
          <w:rFonts w:ascii="Times New Roman" w:hAnsi="Times New Roman" w:cs="Times New Roman"/>
          <w:color w:val="0D0D0D" w:themeColor="text1" w:themeTint="F2"/>
          <w:sz w:val="24"/>
          <w:szCs w:val="24"/>
        </w:rPr>
        <w:t xml:space="preserve"> was determined by the </w:t>
      </w:r>
      <w:r w:rsidR="00BD498E" w:rsidRPr="003C6DBD">
        <w:rPr>
          <w:rFonts w:ascii="Times New Roman" w:hAnsi="Times New Roman" w:cs="Times New Roman"/>
          <w:color w:val="0D0D0D" w:themeColor="text1" w:themeTint="F2"/>
          <w:sz w:val="24"/>
          <w:szCs w:val="24"/>
        </w:rPr>
        <w:t xml:space="preserve">frequency </w:t>
      </w:r>
      <w:r w:rsidRPr="003C6DBD">
        <w:rPr>
          <w:rFonts w:ascii="Times New Roman" w:hAnsi="Times New Roman" w:cs="Times New Roman"/>
          <w:color w:val="0D0D0D" w:themeColor="text1" w:themeTint="F2"/>
          <w:sz w:val="24"/>
          <w:szCs w:val="24"/>
        </w:rPr>
        <w:t>of companies reporting a particular risk factor. For example, a prevalence score of 20 for biofuel regulation means 20 biofuel companies among the total of 2</w:t>
      </w:r>
      <w:r w:rsidR="001D419C" w:rsidRPr="003C6DBD">
        <w:rPr>
          <w:rFonts w:ascii="Times New Roman" w:hAnsi="Times New Roman" w:cs="Times New Roman"/>
          <w:color w:val="0D0D0D" w:themeColor="text1" w:themeTint="F2"/>
          <w:sz w:val="24"/>
          <w:szCs w:val="24"/>
        </w:rPr>
        <w:t>2</w:t>
      </w:r>
      <w:r w:rsidRPr="003C6DBD">
        <w:rPr>
          <w:rFonts w:ascii="Times New Roman" w:hAnsi="Times New Roman" w:cs="Times New Roman"/>
          <w:color w:val="0D0D0D" w:themeColor="text1" w:themeTint="F2"/>
          <w:sz w:val="24"/>
          <w:szCs w:val="24"/>
        </w:rPr>
        <w:t xml:space="preserve"> sample companies reported biofuel regulation as a risk in their annual report. </w:t>
      </w:r>
    </w:p>
    <w:p w14:paraId="50431F11" w14:textId="1FE25357" w:rsidR="008D11DA" w:rsidRPr="003C6DBD" w:rsidRDefault="008D11DA" w:rsidP="002A7494">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Significance scores measured the severity of the particular risk in the industry. </w:t>
      </w:r>
      <w:r w:rsidR="002A7494" w:rsidRPr="003C6DBD">
        <w:rPr>
          <w:rFonts w:ascii="Times New Roman" w:hAnsi="Times New Roman" w:cs="Times New Roman"/>
          <w:color w:val="0D0D0D" w:themeColor="text1" w:themeTint="F2"/>
          <w:sz w:val="24"/>
          <w:szCs w:val="24"/>
        </w:rPr>
        <w:t>Significance</w:t>
      </w:r>
      <w:r w:rsidRPr="003C6DBD">
        <w:rPr>
          <w:rFonts w:ascii="Times New Roman" w:hAnsi="Times New Roman" w:cs="Times New Roman"/>
          <w:color w:val="0D0D0D" w:themeColor="text1" w:themeTint="F2"/>
          <w:sz w:val="24"/>
          <w:szCs w:val="24"/>
        </w:rPr>
        <w:t xml:space="preserve"> was calculated by assigning significance scores to risks based on the order of reporting of risks in the annual reports</w:t>
      </w:r>
      <w:r w:rsidR="00B21CF5"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t>For example</w:t>
      </w:r>
      <w:r w:rsidR="004B6585" w:rsidRPr="003C6DBD">
        <w:rPr>
          <w:rFonts w:ascii="Times New Roman" w:hAnsi="Times New Roman" w:cs="Times New Roman"/>
          <w:color w:val="0D0D0D" w:themeColor="text1" w:themeTint="F2"/>
          <w:sz w:val="24"/>
          <w:szCs w:val="24"/>
        </w:rPr>
        <w:t xml:space="preserve">, if </w:t>
      </w:r>
      <w:r w:rsidRPr="003C6DBD">
        <w:rPr>
          <w:rFonts w:ascii="Times New Roman" w:hAnsi="Times New Roman" w:cs="Times New Roman"/>
          <w:color w:val="0D0D0D" w:themeColor="text1" w:themeTint="F2"/>
          <w:sz w:val="24"/>
          <w:szCs w:val="24"/>
        </w:rPr>
        <w:t>four risks are reported in the annual report of a company</w:t>
      </w:r>
      <w:r w:rsidR="00652401" w:rsidRPr="003C6DBD">
        <w:rPr>
          <w:rFonts w:ascii="Times New Roman" w:hAnsi="Times New Roman" w:cs="Times New Roman"/>
          <w:color w:val="0D0D0D" w:themeColor="text1" w:themeTint="F2"/>
          <w:sz w:val="24"/>
          <w:szCs w:val="24"/>
        </w:rPr>
        <w:t xml:space="preserve">, the </w:t>
      </w:r>
      <w:r w:rsidRPr="003C6DBD">
        <w:rPr>
          <w:rFonts w:ascii="Times New Roman" w:hAnsi="Times New Roman" w:cs="Times New Roman"/>
          <w:color w:val="0D0D0D" w:themeColor="text1" w:themeTint="F2"/>
          <w:sz w:val="24"/>
          <w:szCs w:val="24"/>
        </w:rPr>
        <w:t>first risk reported in the risk factors section of the annual report was assigned a score of 4, the second risk was assigned 3, the third risk was assigned 2, and the fourth risk was assigned 1.</w:t>
      </w:r>
      <w:r w:rsidR="001D4B60" w:rsidRPr="003C6DBD">
        <w:rPr>
          <w:rFonts w:ascii="Times New Roman" w:hAnsi="Times New Roman" w:cs="Times New Roman"/>
          <w:color w:val="0D0D0D" w:themeColor="text1" w:themeTint="F2"/>
          <w:sz w:val="24"/>
          <w:szCs w:val="24"/>
        </w:rPr>
        <w:t xml:space="preserve"> Also, the significance scores are assigned independently for each company and for each year. </w:t>
      </w:r>
      <w:r w:rsidRPr="003C6DBD">
        <w:rPr>
          <w:rFonts w:ascii="Times New Roman" w:hAnsi="Times New Roman" w:cs="Times New Roman"/>
          <w:color w:val="0D0D0D" w:themeColor="text1" w:themeTint="F2"/>
          <w:sz w:val="24"/>
          <w:szCs w:val="24"/>
        </w:rPr>
        <w:t xml:space="preserve">Significance score were assigned in such a way </w:t>
      </w:r>
      <w:r w:rsidR="00BD498E" w:rsidRPr="003C6DBD">
        <w:rPr>
          <w:rFonts w:ascii="Times New Roman" w:hAnsi="Times New Roman" w:cs="Times New Roman"/>
          <w:color w:val="0D0D0D" w:themeColor="text1" w:themeTint="F2"/>
          <w:sz w:val="24"/>
          <w:szCs w:val="24"/>
        </w:rPr>
        <w:t>because c</w:t>
      </w:r>
      <w:r w:rsidRPr="003C6DBD">
        <w:rPr>
          <w:rFonts w:ascii="Times New Roman" w:hAnsi="Times New Roman" w:cs="Times New Roman"/>
          <w:color w:val="0D0D0D" w:themeColor="text1" w:themeTint="F2"/>
          <w:sz w:val="24"/>
          <w:szCs w:val="24"/>
        </w:rPr>
        <w:t xml:space="preserve">ompanies are encouraged by securities regulator to report the </w:t>
      </w:r>
      <w:r w:rsidR="00BD498E" w:rsidRPr="003C6DBD">
        <w:rPr>
          <w:rFonts w:ascii="Times New Roman" w:hAnsi="Times New Roman" w:cs="Times New Roman"/>
          <w:color w:val="0D0D0D" w:themeColor="text1" w:themeTint="F2"/>
          <w:sz w:val="24"/>
          <w:szCs w:val="24"/>
        </w:rPr>
        <w:t xml:space="preserve">individual risks in </w:t>
      </w:r>
      <w:r w:rsidRPr="003C6DBD">
        <w:rPr>
          <w:rFonts w:ascii="Times New Roman" w:hAnsi="Times New Roman" w:cs="Times New Roman"/>
          <w:color w:val="0D0D0D" w:themeColor="text1" w:themeTint="F2"/>
          <w:sz w:val="24"/>
          <w:szCs w:val="24"/>
        </w:rPr>
        <w:t xml:space="preserve">risk factors </w:t>
      </w:r>
      <w:r w:rsidR="00BD498E" w:rsidRPr="003C6DBD">
        <w:rPr>
          <w:rFonts w:ascii="Times New Roman" w:hAnsi="Times New Roman" w:cs="Times New Roman"/>
          <w:color w:val="0D0D0D" w:themeColor="text1" w:themeTint="F2"/>
          <w:sz w:val="24"/>
          <w:szCs w:val="24"/>
        </w:rPr>
        <w:t>segment of annual report</w:t>
      </w:r>
      <w:r w:rsidR="004A1842" w:rsidRPr="003C6DBD">
        <w:rPr>
          <w:rFonts w:ascii="Times New Roman" w:hAnsi="Times New Roman" w:cs="Times New Roman"/>
          <w:color w:val="0D0D0D" w:themeColor="text1" w:themeTint="F2"/>
          <w:sz w:val="24"/>
          <w:szCs w:val="24"/>
        </w:rPr>
        <w:t>s</w:t>
      </w:r>
      <w:r w:rsidR="00BD498E"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t>in the order of priority</w:t>
      </w:r>
      <w:r w:rsidR="00BD498E" w:rsidRPr="003C6DBD">
        <w:rPr>
          <w:rFonts w:ascii="Times New Roman" w:hAnsi="Times New Roman" w:cs="Times New Roman"/>
          <w:color w:val="0D0D0D" w:themeColor="text1" w:themeTint="F2"/>
          <w:sz w:val="24"/>
          <w:szCs w:val="24"/>
        </w:rPr>
        <w:t xml:space="preserve"> or seriousness</w:t>
      </w:r>
      <w:r w:rsidRPr="003C6DBD">
        <w:rPr>
          <w:rFonts w:ascii="Times New Roman" w:hAnsi="Times New Roman" w:cs="Times New Roman"/>
          <w:color w:val="0D0D0D" w:themeColor="text1" w:themeTint="F2"/>
          <w:sz w:val="24"/>
          <w:szCs w:val="24"/>
        </w:rPr>
        <w:t xml:space="preserve"> for the company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{"citationID":"b0ubj3tV","properties":{"formattedCitation":"(Pries et al., 2016; SEC, 2015)","plainCitation":"(Pries et al., 2016; SEC, 2015)","noteIndex":0},"citationItems":[{"id":251,"uris":["http://zotero.org/users/8949154/items/P6NYLUEB"],"itemData":{"id":251,"type":"article-journal","container-title":"Energy Policy","note":"publisher: Elsevier","page":"93–101","source":"Google Scholar","title":"Risks affecting the biofuels industry: A US and Canadian company perspective","title-short":"Risks affecting the biofuels industry","volume":"97","author":[{"family":"Pries","given":"Fred"},{"family":"Talebi","given":"Alireza"},{"family":"Schillo","given":"R. Sandra"},{"family":"Lemay","given":"Margaret A."}],"issued":{"date-parts":[["2016"]]}}},{"id":67,"uris":["http://zotero.org/users/8949154/items/H9JTUKFP"],"itemData":{"id":67,"type":"document","publisher":"Securities and Exchange Commission, Washington.","title":"Form 20-F.","author":[{"family":"SEC","given":""}],"issued":{"date-parts":[["2015"]]}}}],"schema":"https://github.com/citation-style-language/schema/raw/master/csl-citation.json"}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(Pries et al., 2016; SEC, 2015)</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w:t>
      </w:r>
      <w:r w:rsidR="00BD498E" w:rsidRPr="003C6DBD">
        <w:rPr>
          <w:rFonts w:ascii="Times New Roman" w:hAnsi="Times New Roman" w:cs="Times New Roman"/>
          <w:color w:val="0D0D0D" w:themeColor="text1" w:themeTint="F2"/>
          <w:sz w:val="24"/>
          <w:szCs w:val="24"/>
        </w:rPr>
        <w:t xml:space="preserve">The risk that is most important to the company is reported first and the risk that is least important to the </w:t>
      </w:r>
      <w:r w:rsidR="00BD498E" w:rsidRPr="003C6DBD">
        <w:rPr>
          <w:rFonts w:ascii="Times New Roman" w:hAnsi="Times New Roman" w:cs="Times New Roman"/>
          <w:color w:val="0D0D0D" w:themeColor="text1" w:themeTint="F2"/>
          <w:sz w:val="24"/>
          <w:szCs w:val="24"/>
        </w:rPr>
        <w:lastRenderedPageBreak/>
        <w:t xml:space="preserve">company is </w:t>
      </w:r>
      <w:r w:rsidR="004B6585" w:rsidRPr="003C6DBD">
        <w:rPr>
          <w:rFonts w:ascii="Times New Roman" w:hAnsi="Times New Roman" w:cs="Times New Roman"/>
          <w:color w:val="0D0D0D" w:themeColor="text1" w:themeTint="F2"/>
          <w:sz w:val="24"/>
          <w:szCs w:val="24"/>
        </w:rPr>
        <w:t>reported</w:t>
      </w:r>
      <w:r w:rsidR="00BD498E" w:rsidRPr="003C6DBD">
        <w:rPr>
          <w:rFonts w:ascii="Times New Roman" w:hAnsi="Times New Roman" w:cs="Times New Roman"/>
          <w:color w:val="0D0D0D" w:themeColor="text1" w:themeTint="F2"/>
          <w:sz w:val="24"/>
          <w:szCs w:val="24"/>
        </w:rPr>
        <w:t xml:space="preserve"> last. </w:t>
      </w:r>
      <w:r w:rsidRPr="003C6DBD">
        <w:rPr>
          <w:rFonts w:ascii="Times New Roman" w:hAnsi="Times New Roman" w:cs="Times New Roman"/>
          <w:color w:val="0D0D0D" w:themeColor="text1" w:themeTint="F2"/>
          <w:sz w:val="24"/>
          <w:szCs w:val="24"/>
        </w:rPr>
        <w:t>Then, the significance scores were normalized by dividing the assigned scores by summed assigned scores for all the risks reported. Table 7 briefly presents an example of the process used for assigning and normalizing significance scores for the risks reported by a company.</w:t>
      </w:r>
    </w:p>
    <w:p w14:paraId="5333E2A0" w14:textId="18FB3CF0" w:rsidR="00766565" w:rsidRPr="003C6DBD" w:rsidRDefault="008D11DA" w:rsidP="00F42934">
      <w:pPr>
        <w:pStyle w:val="comp"/>
        <w:spacing w:before="0" w:beforeAutospacing="0" w:after="160" w:afterAutospacing="0" w:line="480" w:lineRule="auto"/>
        <w:ind w:firstLine="720"/>
        <w:rPr>
          <w:rFonts w:eastAsiaTheme="minorHAnsi"/>
          <w:color w:val="0D0D0D" w:themeColor="text1" w:themeTint="F2"/>
        </w:rPr>
      </w:pPr>
      <w:r w:rsidRPr="003C6DBD">
        <w:rPr>
          <w:rFonts w:eastAsiaTheme="minorHAnsi"/>
          <w:color w:val="0D0D0D" w:themeColor="text1" w:themeTint="F2"/>
        </w:rPr>
        <w:t>The results of the risk analysis are presented graphically using a quadrant matrix with the prevalence of risk on the horizontal axis and the significance of the risk on the vertical axis. The lines passing across horizontal and vertical spaces in the figures are the average prevalence scores and average significance scores across all risks. The risks that are more important to the sample companies appear in the top-right corner of the figures and less important risks appear in the lower-left corner of the figures</w:t>
      </w:r>
      <w:r w:rsidR="00367AEA" w:rsidRPr="003C6DBD">
        <w:rPr>
          <w:rFonts w:eastAsiaTheme="minorHAnsi"/>
          <w:color w:val="0D0D0D" w:themeColor="text1" w:themeTint="F2"/>
        </w:rPr>
        <w:t>.</w:t>
      </w:r>
      <w:r w:rsidR="00DB1436" w:rsidRPr="003C6DBD">
        <w:rPr>
          <w:rFonts w:eastAsiaTheme="minorHAnsi"/>
          <w:color w:val="0D0D0D" w:themeColor="text1" w:themeTint="F2"/>
        </w:rPr>
        <w:t xml:space="preserve"> The risks that appear in </w:t>
      </w:r>
      <w:r w:rsidR="00EE1508" w:rsidRPr="003C6DBD">
        <w:rPr>
          <w:rFonts w:eastAsiaTheme="minorHAnsi"/>
          <w:color w:val="0D0D0D" w:themeColor="text1" w:themeTint="F2"/>
        </w:rPr>
        <w:t>the lower</w:t>
      </w:r>
      <w:r w:rsidR="00DB1436" w:rsidRPr="003C6DBD">
        <w:rPr>
          <w:rFonts w:eastAsiaTheme="minorHAnsi"/>
          <w:color w:val="0D0D0D" w:themeColor="text1" w:themeTint="F2"/>
        </w:rPr>
        <w:t xml:space="preserve"> right corner are prevalent but not significant</w:t>
      </w:r>
      <w:r w:rsidR="00EE1508" w:rsidRPr="003C6DBD">
        <w:rPr>
          <w:rFonts w:eastAsiaTheme="minorHAnsi"/>
          <w:color w:val="0D0D0D" w:themeColor="text1" w:themeTint="F2"/>
        </w:rPr>
        <w:t>,</w:t>
      </w:r>
      <w:r w:rsidR="00DB1436" w:rsidRPr="003C6DBD">
        <w:rPr>
          <w:rFonts w:eastAsiaTheme="minorHAnsi"/>
          <w:color w:val="0D0D0D" w:themeColor="text1" w:themeTint="F2"/>
        </w:rPr>
        <w:t xml:space="preserve"> and the risks that appear in top left corner are significant but not prevalent.</w:t>
      </w:r>
    </w:p>
    <w:p w14:paraId="4205F6D1" w14:textId="7C1F8941" w:rsidR="00D059DD" w:rsidRPr="003C6DBD" w:rsidRDefault="002D4A21" w:rsidP="002A7494">
      <w:pPr>
        <w:pStyle w:val="Heading3"/>
        <w:rPr>
          <w:rFonts w:cs="Times New Roman"/>
          <w:color w:val="0D0D0D" w:themeColor="text1" w:themeTint="F2"/>
          <w:szCs w:val="24"/>
        </w:rPr>
      </w:pPr>
      <w:bookmarkStart w:id="28" w:name="_Toc132761842"/>
      <w:r w:rsidRPr="003C6DBD">
        <w:rPr>
          <w:rFonts w:cs="Times New Roman"/>
          <w:color w:val="0D0D0D" w:themeColor="text1" w:themeTint="F2"/>
          <w:szCs w:val="24"/>
        </w:rPr>
        <w:t>4.3 Financial Analysis</w:t>
      </w:r>
      <w:bookmarkEnd w:id="28"/>
    </w:p>
    <w:p w14:paraId="60E16E49" w14:textId="77777777" w:rsidR="002D4A21" w:rsidRPr="003C6DBD" w:rsidRDefault="002D4A21" w:rsidP="002A7494">
      <w:pPr>
        <w:rPr>
          <w:rFonts w:ascii="Times New Roman" w:hAnsi="Times New Roman" w:cs="Times New Roman"/>
          <w:color w:val="0D0D0D" w:themeColor="text1" w:themeTint="F2"/>
          <w:sz w:val="24"/>
          <w:szCs w:val="24"/>
        </w:rPr>
      </w:pPr>
    </w:p>
    <w:p w14:paraId="5B9769C1" w14:textId="5710999D" w:rsidR="002D4A21" w:rsidRPr="003C6DBD" w:rsidRDefault="002D4A21" w:rsidP="002A7494">
      <w:pPr>
        <w:pStyle w:val="Heading4"/>
        <w:rPr>
          <w:color w:val="0D0D0D" w:themeColor="text1" w:themeTint="F2"/>
        </w:rPr>
      </w:pPr>
      <w:r w:rsidRPr="003C6DBD">
        <w:rPr>
          <w:color w:val="0D0D0D" w:themeColor="text1" w:themeTint="F2"/>
        </w:rPr>
        <w:t>4.3.1</w:t>
      </w:r>
      <w:r w:rsidR="005C5DF4" w:rsidRPr="003C6DBD">
        <w:rPr>
          <w:color w:val="0D0D0D" w:themeColor="text1" w:themeTint="F2"/>
        </w:rPr>
        <w:t xml:space="preserve"> </w:t>
      </w:r>
      <w:r w:rsidRPr="003C6DBD">
        <w:rPr>
          <w:color w:val="0D0D0D" w:themeColor="text1" w:themeTint="F2"/>
        </w:rPr>
        <w:t>Financial data</w:t>
      </w:r>
    </w:p>
    <w:p w14:paraId="013933A6" w14:textId="452F09D4" w:rsidR="001E0784" w:rsidRPr="003C6DBD" w:rsidRDefault="002D4A21" w:rsidP="009F6A69">
      <w:pPr>
        <w:tabs>
          <w:tab w:val="left" w:pos="720"/>
        </w:tabs>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The financial data of the sample </w:t>
      </w:r>
      <w:r w:rsidR="00780804" w:rsidRPr="003C6DBD">
        <w:rPr>
          <w:rFonts w:ascii="Times New Roman" w:hAnsi="Times New Roman" w:cs="Times New Roman"/>
          <w:color w:val="0D0D0D" w:themeColor="text1" w:themeTint="F2"/>
          <w:sz w:val="24"/>
          <w:szCs w:val="24"/>
        </w:rPr>
        <w:t xml:space="preserve">of </w:t>
      </w:r>
      <w:r w:rsidRPr="003C6DBD">
        <w:rPr>
          <w:rFonts w:ascii="Times New Roman" w:hAnsi="Times New Roman" w:cs="Times New Roman"/>
          <w:color w:val="0D0D0D" w:themeColor="text1" w:themeTint="F2"/>
          <w:sz w:val="24"/>
          <w:szCs w:val="24"/>
        </w:rPr>
        <w:t xml:space="preserve">biofuel companies were obtained from the </w:t>
      </w:r>
      <w:r w:rsidR="00CA37F6" w:rsidRPr="003C6DBD">
        <w:rPr>
          <w:rFonts w:ascii="Times New Roman" w:hAnsi="Times New Roman" w:cs="Times New Roman"/>
          <w:color w:val="0D0D0D" w:themeColor="text1" w:themeTint="F2"/>
          <w:sz w:val="24"/>
          <w:szCs w:val="24"/>
        </w:rPr>
        <w:t xml:space="preserve">Standard </w:t>
      </w:r>
      <w:r w:rsidRPr="003C6DBD">
        <w:rPr>
          <w:rFonts w:ascii="Times New Roman" w:hAnsi="Times New Roman" w:cs="Times New Roman"/>
          <w:color w:val="0D0D0D" w:themeColor="text1" w:themeTint="F2"/>
          <w:sz w:val="24"/>
          <w:szCs w:val="24"/>
        </w:rPr>
        <w:t>and Poor’s database, accessed through the University of Tennessee</w:t>
      </w:r>
      <w:r w:rsidR="00126D33" w:rsidRPr="003C6DBD">
        <w:rPr>
          <w:rFonts w:ascii="Times New Roman" w:hAnsi="Times New Roman" w:cs="Times New Roman"/>
          <w:color w:val="0D0D0D" w:themeColor="text1" w:themeTint="F2"/>
          <w:sz w:val="24"/>
          <w:szCs w:val="24"/>
        </w:rPr>
        <w:t xml:space="preserve"> at </w:t>
      </w:r>
      <w:r w:rsidRPr="003C6DBD">
        <w:rPr>
          <w:rFonts w:ascii="Times New Roman" w:hAnsi="Times New Roman" w:cs="Times New Roman"/>
          <w:color w:val="0D0D0D" w:themeColor="text1" w:themeTint="F2"/>
          <w:sz w:val="24"/>
          <w:szCs w:val="24"/>
        </w:rPr>
        <w:t xml:space="preserve">Knoxville, library services. The data comprised the items </w:t>
      </w:r>
      <w:r w:rsidR="00681715" w:rsidRPr="003C6DBD">
        <w:rPr>
          <w:rFonts w:ascii="Times New Roman" w:hAnsi="Times New Roman" w:cs="Times New Roman"/>
          <w:color w:val="0D0D0D" w:themeColor="text1" w:themeTint="F2"/>
          <w:sz w:val="24"/>
          <w:szCs w:val="24"/>
        </w:rPr>
        <w:t xml:space="preserve">needed </w:t>
      </w:r>
      <w:r w:rsidRPr="003C6DBD">
        <w:rPr>
          <w:rFonts w:ascii="Times New Roman" w:hAnsi="Times New Roman" w:cs="Times New Roman"/>
          <w:color w:val="0D0D0D" w:themeColor="text1" w:themeTint="F2"/>
          <w:sz w:val="24"/>
          <w:szCs w:val="24"/>
        </w:rPr>
        <w:t xml:space="preserve">from the income statement, balance sheet, and statement of cash flows to compute the financial ratios for the analysis. </w:t>
      </w:r>
      <w:r w:rsidR="00447815" w:rsidRPr="003C6DBD">
        <w:rPr>
          <w:rFonts w:ascii="Times New Roman" w:hAnsi="Times New Roman" w:cs="Times New Roman"/>
          <w:color w:val="0D0D0D" w:themeColor="text1" w:themeTint="F2"/>
          <w:sz w:val="24"/>
          <w:szCs w:val="24"/>
        </w:rPr>
        <w:t>L</w:t>
      </w:r>
      <w:r w:rsidRPr="003C6DBD">
        <w:rPr>
          <w:rFonts w:ascii="Times New Roman" w:hAnsi="Times New Roman" w:cs="Times New Roman"/>
          <w:color w:val="0D0D0D" w:themeColor="text1" w:themeTint="F2"/>
          <w:sz w:val="24"/>
          <w:szCs w:val="24"/>
        </w:rPr>
        <w:t>ast twelve-month data (LTM)</w:t>
      </w:r>
      <w:r w:rsidR="0050736E" w:rsidRPr="003C6DBD">
        <w:rPr>
          <w:rFonts w:ascii="Times New Roman" w:hAnsi="Times New Roman" w:cs="Times New Roman"/>
          <w:color w:val="0D0D0D" w:themeColor="text1" w:themeTint="F2"/>
          <w:sz w:val="24"/>
          <w:szCs w:val="24"/>
        </w:rPr>
        <w:t xml:space="preserve"> for each quarter</w:t>
      </w:r>
      <w:r w:rsidR="00447815" w:rsidRPr="003C6DBD">
        <w:rPr>
          <w:rFonts w:ascii="Times New Roman" w:hAnsi="Times New Roman" w:cs="Times New Roman"/>
          <w:color w:val="0D0D0D" w:themeColor="text1" w:themeTint="F2"/>
          <w:sz w:val="24"/>
          <w:szCs w:val="24"/>
        </w:rPr>
        <w:t xml:space="preserve"> were downloaded</w:t>
      </w:r>
      <w:r w:rsidR="00B52F60" w:rsidRPr="003C6DBD">
        <w:rPr>
          <w:rFonts w:ascii="Times New Roman" w:hAnsi="Times New Roman" w:cs="Times New Roman"/>
          <w:color w:val="0D0D0D" w:themeColor="text1" w:themeTint="F2"/>
          <w:sz w:val="24"/>
          <w:szCs w:val="24"/>
        </w:rPr>
        <w:t xml:space="preserve"> from</w:t>
      </w:r>
      <w:r w:rsidR="002A7494" w:rsidRPr="003C6DBD">
        <w:rPr>
          <w:rFonts w:ascii="Times New Roman" w:hAnsi="Times New Roman" w:cs="Times New Roman"/>
          <w:color w:val="0D0D0D" w:themeColor="text1" w:themeTint="F2"/>
          <w:sz w:val="24"/>
          <w:szCs w:val="24"/>
        </w:rPr>
        <w:t xml:space="preserve"> Standard and Poor</w:t>
      </w:r>
      <w:r w:rsidR="00CA37F6" w:rsidRPr="003C6DBD">
        <w:rPr>
          <w:rFonts w:ascii="Times New Roman" w:hAnsi="Times New Roman" w:cs="Times New Roman"/>
          <w:color w:val="0D0D0D" w:themeColor="text1" w:themeTint="F2"/>
          <w:sz w:val="24"/>
          <w:szCs w:val="24"/>
        </w:rPr>
        <w:t>’s</w:t>
      </w:r>
      <w:r w:rsidR="002A7494" w:rsidRPr="003C6DBD">
        <w:rPr>
          <w:rFonts w:ascii="Times New Roman" w:hAnsi="Times New Roman" w:cs="Times New Roman"/>
          <w:color w:val="0D0D0D" w:themeColor="text1" w:themeTint="F2"/>
          <w:sz w:val="24"/>
          <w:szCs w:val="24"/>
        </w:rPr>
        <w:t xml:space="preserve"> database</w:t>
      </w:r>
      <w:r w:rsidRPr="003C6DBD">
        <w:rPr>
          <w:rFonts w:ascii="Times New Roman" w:hAnsi="Times New Roman" w:cs="Times New Roman"/>
          <w:color w:val="0D0D0D" w:themeColor="text1" w:themeTint="F2"/>
          <w:sz w:val="24"/>
          <w:szCs w:val="24"/>
        </w:rPr>
        <w:t xml:space="preserve">, </w:t>
      </w:r>
      <w:r w:rsidR="0050736E" w:rsidRPr="003C6DBD">
        <w:rPr>
          <w:rFonts w:ascii="Times New Roman" w:hAnsi="Times New Roman" w:cs="Times New Roman"/>
          <w:color w:val="0D0D0D" w:themeColor="text1" w:themeTint="F2"/>
          <w:sz w:val="24"/>
          <w:szCs w:val="24"/>
        </w:rPr>
        <w:t xml:space="preserve">starting </w:t>
      </w:r>
      <w:r w:rsidRPr="003C6DBD">
        <w:rPr>
          <w:rFonts w:ascii="Times New Roman" w:hAnsi="Times New Roman" w:cs="Times New Roman"/>
          <w:color w:val="0D0D0D" w:themeColor="text1" w:themeTint="F2"/>
          <w:sz w:val="24"/>
          <w:szCs w:val="24"/>
        </w:rPr>
        <w:t xml:space="preserve">from the </w:t>
      </w:r>
      <w:r w:rsidR="001A79E8" w:rsidRPr="003C6DBD">
        <w:rPr>
          <w:rFonts w:ascii="Times New Roman" w:hAnsi="Times New Roman" w:cs="Times New Roman"/>
          <w:color w:val="0D0D0D" w:themeColor="text1" w:themeTint="F2"/>
          <w:sz w:val="24"/>
          <w:szCs w:val="24"/>
        </w:rPr>
        <w:t>first</w:t>
      </w:r>
      <w:r w:rsidRPr="003C6DBD">
        <w:rPr>
          <w:rFonts w:ascii="Times New Roman" w:hAnsi="Times New Roman" w:cs="Times New Roman"/>
          <w:color w:val="0D0D0D" w:themeColor="text1" w:themeTint="F2"/>
          <w:sz w:val="24"/>
          <w:szCs w:val="24"/>
        </w:rPr>
        <w:t xml:space="preserve"> quarter of 201</w:t>
      </w:r>
      <w:r w:rsidR="001A79E8" w:rsidRPr="003C6DBD">
        <w:rPr>
          <w:rFonts w:ascii="Times New Roman" w:hAnsi="Times New Roman" w:cs="Times New Roman"/>
          <w:color w:val="0D0D0D" w:themeColor="text1" w:themeTint="F2"/>
          <w:sz w:val="24"/>
          <w:szCs w:val="24"/>
        </w:rPr>
        <w:t>8</w:t>
      </w:r>
      <w:r w:rsidRPr="003C6DBD">
        <w:rPr>
          <w:rFonts w:ascii="Times New Roman" w:hAnsi="Times New Roman" w:cs="Times New Roman"/>
          <w:color w:val="0D0D0D" w:themeColor="text1" w:themeTint="F2"/>
          <w:sz w:val="24"/>
          <w:szCs w:val="24"/>
        </w:rPr>
        <w:t xml:space="preserve"> to the </w:t>
      </w:r>
      <w:r w:rsidR="001A79E8" w:rsidRPr="003C6DBD">
        <w:rPr>
          <w:rFonts w:ascii="Times New Roman" w:hAnsi="Times New Roman" w:cs="Times New Roman"/>
          <w:color w:val="0D0D0D" w:themeColor="text1" w:themeTint="F2"/>
          <w:sz w:val="24"/>
          <w:szCs w:val="24"/>
        </w:rPr>
        <w:t>last</w:t>
      </w:r>
      <w:r w:rsidRPr="003C6DBD">
        <w:rPr>
          <w:rFonts w:ascii="Times New Roman" w:hAnsi="Times New Roman" w:cs="Times New Roman"/>
          <w:color w:val="0D0D0D" w:themeColor="text1" w:themeTint="F2"/>
          <w:sz w:val="24"/>
          <w:szCs w:val="24"/>
        </w:rPr>
        <w:t xml:space="preserve"> quarter of 202</w:t>
      </w:r>
      <w:r w:rsidR="001A79E8" w:rsidRPr="003C6DBD">
        <w:rPr>
          <w:rFonts w:ascii="Times New Roman" w:hAnsi="Times New Roman" w:cs="Times New Roman"/>
          <w:color w:val="0D0D0D" w:themeColor="text1" w:themeTint="F2"/>
          <w:sz w:val="24"/>
          <w:szCs w:val="24"/>
        </w:rPr>
        <w:t>1</w:t>
      </w:r>
      <w:r w:rsidRPr="003C6DBD">
        <w:rPr>
          <w:rFonts w:ascii="Times New Roman" w:hAnsi="Times New Roman" w:cs="Times New Roman"/>
          <w:color w:val="0D0D0D" w:themeColor="text1" w:themeTint="F2"/>
          <w:sz w:val="24"/>
          <w:szCs w:val="24"/>
        </w:rPr>
        <w:t xml:space="preserve">. </w:t>
      </w:r>
      <w:r w:rsidR="002A7494" w:rsidRPr="003C6DBD">
        <w:rPr>
          <w:rFonts w:ascii="Times New Roman" w:hAnsi="Times New Roman" w:cs="Times New Roman"/>
          <w:color w:val="0D0D0D" w:themeColor="text1" w:themeTint="F2"/>
          <w:sz w:val="24"/>
          <w:szCs w:val="24"/>
        </w:rPr>
        <w:t>This period was selected for the study because</w:t>
      </w:r>
      <w:r w:rsidR="00C616D5" w:rsidRPr="003C6DBD">
        <w:rPr>
          <w:rFonts w:ascii="Times New Roman" w:hAnsi="Times New Roman" w:cs="Times New Roman"/>
          <w:color w:val="0D0D0D" w:themeColor="text1" w:themeTint="F2"/>
          <w:sz w:val="24"/>
          <w:szCs w:val="24"/>
        </w:rPr>
        <w:t xml:space="preserve"> of </w:t>
      </w:r>
      <w:r w:rsidR="004E0CDF" w:rsidRPr="003C6DBD">
        <w:rPr>
          <w:rFonts w:ascii="Times New Roman" w:hAnsi="Times New Roman" w:cs="Times New Roman"/>
          <w:color w:val="0D0D0D" w:themeColor="text1" w:themeTint="F2"/>
          <w:sz w:val="24"/>
          <w:szCs w:val="24"/>
        </w:rPr>
        <w:t>two</w:t>
      </w:r>
      <w:r w:rsidR="00C616D5" w:rsidRPr="003C6DBD">
        <w:rPr>
          <w:rFonts w:ascii="Times New Roman" w:hAnsi="Times New Roman" w:cs="Times New Roman"/>
          <w:color w:val="0D0D0D" w:themeColor="text1" w:themeTint="F2"/>
          <w:sz w:val="24"/>
          <w:szCs w:val="24"/>
        </w:rPr>
        <w:t xml:space="preserve"> reasons. </w:t>
      </w:r>
      <w:r w:rsidR="004E0CDF" w:rsidRPr="003C6DBD">
        <w:rPr>
          <w:rFonts w:ascii="Times New Roman" w:hAnsi="Times New Roman" w:cs="Times New Roman"/>
          <w:color w:val="0D0D0D" w:themeColor="text1" w:themeTint="F2"/>
          <w:sz w:val="24"/>
          <w:szCs w:val="24"/>
        </w:rPr>
        <w:t>First</w:t>
      </w:r>
      <w:r w:rsidR="00C616D5" w:rsidRPr="003C6DBD">
        <w:rPr>
          <w:rFonts w:ascii="Times New Roman" w:hAnsi="Times New Roman" w:cs="Times New Roman"/>
          <w:color w:val="0D0D0D" w:themeColor="text1" w:themeTint="F2"/>
          <w:sz w:val="24"/>
          <w:szCs w:val="24"/>
        </w:rPr>
        <w:t xml:space="preserve">, </w:t>
      </w:r>
      <w:r w:rsidR="002A7494" w:rsidRPr="003C6DBD">
        <w:rPr>
          <w:rFonts w:ascii="Times New Roman" w:hAnsi="Times New Roman" w:cs="Times New Roman"/>
          <w:color w:val="0D0D0D" w:themeColor="text1" w:themeTint="F2"/>
          <w:sz w:val="24"/>
          <w:szCs w:val="24"/>
        </w:rPr>
        <w:t xml:space="preserve">the </w:t>
      </w:r>
      <w:r w:rsidR="00C616D5" w:rsidRPr="003C6DBD">
        <w:rPr>
          <w:rFonts w:ascii="Times New Roman" w:hAnsi="Times New Roman" w:cs="Times New Roman"/>
          <w:color w:val="0D0D0D" w:themeColor="text1" w:themeTint="F2"/>
          <w:sz w:val="24"/>
          <w:szCs w:val="24"/>
        </w:rPr>
        <w:t xml:space="preserve">financial data was available </w:t>
      </w:r>
      <w:r w:rsidR="002A7494" w:rsidRPr="003C6DBD">
        <w:rPr>
          <w:rFonts w:ascii="Times New Roman" w:hAnsi="Times New Roman" w:cs="Times New Roman"/>
          <w:color w:val="0D0D0D" w:themeColor="text1" w:themeTint="F2"/>
          <w:sz w:val="24"/>
          <w:szCs w:val="24"/>
        </w:rPr>
        <w:t>for only this period</w:t>
      </w:r>
      <w:r w:rsidR="00187901" w:rsidRPr="003C6DBD">
        <w:rPr>
          <w:rFonts w:ascii="Times New Roman" w:hAnsi="Times New Roman" w:cs="Times New Roman"/>
          <w:color w:val="0D0D0D" w:themeColor="text1" w:themeTint="F2"/>
          <w:sz w:val="24"/>
          <w:szCs w:val="24"/>
        </w:rPr>
        <w:t xml:space="preserve"> in the Standard and Poor’s database</w:t>
      </w:r>
      <w:r w:rsidR="002A7494" w:rsidRPr="003C6DBD">
        <w:rPr>
          <w:rFonts w:ascii="Times New Roman" w:hAnsi="Times New Roman" w:cs="Times New Roman"/>
          <w:color w:val="0D0D0D" w:themeColor="text1" w:themeTint="F2"/>
          <w:sz w:val="24"/>
          <w:szCs w:val="24"/>
        </w:rPr>
        <w:t xml:space="preserve">. </w:t>
      </w:r>
      <w:r w:rsidR="00C616D5" w:rsidRPr="003C6DBD">
        <w:rPr>
          <w:rFonts w:ascii="Times New Roman" w:hAnsi="Times New Roman" w:cs="Times New Roman"/>
          <w:color w:val="0D0D0D" w:themeColor="text1" w:themeTint="F2"/>
          <w:sz w:val="24"/>
          <w:szCs w:val="24"/>
        </w:rPr>
        <w:t xml:space="preserve">Second, we analyzed the annual reports of the sample companies during this period confirming their involvement in </w:t>
      </w:r>
      <w:r w:rsidR="00D42B13" w:rsidRPr="003C6DBD">
        <w:rPr>
          <w:rFonts w:ascii="Times New Roman" w:hAnsi="Times New Roman" w:cs="Times New Roman"/>
          <w:color w:val="0D0D0D" w:themeColor="text1" w:themeTint="F2"/>
          <w:sz w:val="24"/>
          <w:szCs w:val="24"/>
        </w:rPr>
        <w:t>the biofuel</w:t>
      </w:r>
      <w:r w:rsidR="00C616D5" w:rsidRPr="003C6DBD">
        <w:rPr>
          <w:rFonts w:ascii="Times New Roman" w:hAnsi="Times New Roman" w:cs="Times New Roman"/>
          <w:color w:val="0D0D0D" w:themeColor="text1" w:themeTint="F2"/>
          <w:sz w:val="24"/>
          <w:szCs w:val="24"/>
        </w:rPr>
        <w:t xml:space="preserve"> business. </w:t>
      </w:r>
      <w:r w:rsidR="00C721A3" w:rsidRPr="003C6DBD">
        <w:rPr>
          <w:rFonts w:ascii="Times New Roman" w:hAnsi="Times New Roman" w:cs="Times New Roman"/>
          <w:color w:val="0D0D0D" w:themeColor="text1" w:themeTint="F2"/>
          <w:sz w:val="24"/>
          <w:szCs w:val="24"/>
        </w:rPr>
        <w:t>The stock</w:t>
      </w:r>
      <w:r w:rsidRPr="003C6DBD">
        <w:rPr>
          <w:rFonts w:ascii="Times New Roman" w:hAnsi="Times New Roman" w:cs="Times New Roman"/>
          <w:color w:val="0D0D0D" w:themeColor="text1" w:themeTint="F2"/>
          <w:sz w:val="24"/>
          <w:szCs w:val="24"/>
        </w:rPr>
        <w:t xml:space="preserve"> prices for </w:t>
      </w:r>
      <w:r w:rsidR="00C16959" w:rsidRPr="003C6DBD">
        <w:rPr>
          <w:rFonts w:ascii="Times New Roman" w:hAnsi="Times New Roman" w:cs="Times New Roman"/>
          <w:color w:val="0D0D0D" w:themeColor="text1" w:themeTint="F2"/>
          <w:sz w:val="24"/>
          <w:szCs w:val="24"/>
        </w:rPr>
        <w:t xml:space="preserve">most companies in </w:t>
      </w:r>
      <w:r w:rsidR="00B52F60" w:rsidRPr="003C6DBD">
        <w:rPr>
          <w:rFonts w:ascii="Times New Roman" w:hAnsi="Times New Roman" w:cs="Times New Roman"/>
          <w:color w:val="0D0D0D" w:themeColor="text1" w:themeTint="F2"/>
          <w:sz w:val="24"/>
          <w:szCs w:val="24"/>
        </w:rPr>
        <w:t xml:space="preserve">the </w:t>
      </w:r>
      <w:r w:rsidRPr="003C6DBD">
        <w:rPr>
          <w:rFonts w:ascii="Times New Roman" w:hAnsi="Times New Roman" w:cs="Times New Roman"/>
          <w:color w:val="0D0D0D" w:themeColor="text1" w:themeTint="F2"/>
          <w:sz w:val="24"/>
          <w:szCs w:val="24"/>
        </w:rPr>
        <w:t xml:space="preserve">sample were obtained from </w:t>
      </w:r>
      <w:r w:rsidR="00F73C49" w:rsidRPr="003C6DBD">
        <w:rPr>
          <w:rFonts w:ascii="Times New Roman" w:hAnsi="Times New Roman" w:cs="Times New Roman"/>
          <w:color w:val="0D0D0D" w:themeColor="text1" w:themeTint="F2"/>
          <w:sz w:val="24"/>
          <w:szCs w:val="24"/>
        </w:rPr>
        <w:t xml:space="preserve">COMPUSTAT/Capital IQ. </w:t>
      </w:r>
      <w:r w:rsidRPr="003C6DBD">
        <w:rPr>
          <w:rFonts w:ascii="Times New Roman" w:hAnsi="Times New Roman" w:cs="Times New Roman"/>
          <w:color w:val="0D0D0D" w:themeColor="text1" w:themeTint="F2"/>
          <w:sz w:val="24"/>
          <w:szCs w:val="24"/>
        </w:rPr>
        <w:t xml:space="preserve">The stock prices of the companies that </w:t>
      </w:r>
      <w:r w:rsidRPr="003C6DBD">
        <w:rPr>
          <w:rFonts w:ascii="Times New Roman" w:hAnsi="Times New Roman" w:cs="Times New Roman"/>
          <w:color w:val="0D0D0D" w:themeColor="text1" w:themeTint="F2"/>
          <w:sz w:val="24"/>
          <w:szCs w:val="24"/>
        </w:rPr>
        <w:lastRenderedPageBreak/>
        <w:t xml:space="preserve">were not </w:t>
      </w:r>
      <w:r w:rsidR="00C16959" w:rsidRPr="003C6DBD">
        <w:rPr>
          <w:rFonts w:ascii="Times New Roman" w:hAnsi="Times New Roman" w:cs="Times New Roman"/>
          <w:color w:val="0D0D0D" w:themeColor="text1" w:themeTint="F2"/>
          <w:sz w:val="24"/>
          <w:szCs w:val="24"/>
        </w:rPr>
        <w:t>available in COMPUSTAT/Capital IQ</w:t>
      </w:r>
      <w:r w:rsidRPr="003C6DBD">
        <w:rPr>
          <w:rFonts w:ascii="Times New Roman" w:hAnsi="Times New Roman" w:cs="Times New Roman"/>
          <w:color w:val="0D0D0D" w:themeColor="text1" w:themeTint="F2"/>
          <w:sz w:val="24"/>
          <w:szCs w:val="24"/>
        </w:rPr>
        <w:t xml:space="preserve"> were retrieved using google sheet and google finance</w:t>
      </w:r>
      <w:r w:rsidRPr="003C6DBD">
        <w:rPr>
          <w:rStyle w:val="FootnoteReference"/>
          <w:rFonts w:ascii="Times New Roman" w:hAnsi="Times New Roman" w:cs="Times New Roman"/>
          <w:color w:val="0D0D0D" w:themeColor="text1" w:themeTint="F2"/>
          <w:sz w:val="24"/>
          <w:szCs w:val="24"/>
        </w:rPr>
        <w:footnoteReference w:id="9"/>
      </w:r>
      <w:r w:rsidR="007C2B8F"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t xml:space="preserve">The closing stock prices at the end of each quarter were used in the study. The formula </w:t>
      </w:r>
      <w:r w:rsidR="009B6E68" w:rsidRPr="003C6DBD">
        <w:rPr>
          <w:rFonts w:ascii="Times New Roman" w:hAnsi="Times New Roman" w:cs="Times New Roman"/>
          <w:color w:val="0D0D0D" w:themeColor="text1" w:themeTint="F2"/>
          <w:sz w:val="24"/>
          <w:szCs w:val="24"/>
        </w:rPr>
        <w:t xml:space="preserve">used by </w:t>
      </w:r>
      <w:r w:rsidR="009B6E68" w:rsidRPr="003C6DBD">
        <w:rPr>
          <w:rFonts w:ascii="Times New Roman" w:hAnsi="Times New Roman" w:cs="Times New Roman"/>
          <w:color w:val="0D0D0D" w:themeColor="text1" w:themeTint="F2"/>
          <w:sz w:val="24"/>
          <w:szCs w:val="24"/>
        </w:rPr>
        <w:fldChar w:fldCharType="begin"/>
      </w:r>
      <w:r w:rsidR="009D26C8" w:rsidRPr="003C6DBD">
        <w:rPr>
          <w:rFonts w:ascii="Times New Roman" w:hAnsi="Times New Roman" w:cs="Times New Roman"/>
          <w:color w:val="0D0D0D" w:themeColor="text1" w:themeTint="F2"/>
          <w:sz w:val="24"/>
          <w:szCs w:val="24"/>
        </w:rPr>
        <w:instrText xml:space="preserve"> ADDIN ZOTERO_ITEM CSL_CITATION {"citationID":"GKbUAdWm","properties":{"custom":"Muhammad &amp; Ali (2018)","formattedCitation":"Muhammad &amp; Ali (2018)","plainCitation":"Muhammad &amp; Ali (2018)","noteIndex":0},"citationItems":[{"id":592,"uris":["http://zotero.org/users/8949154/items/SWYFUXBZ"],"itemData":{"id":592,"type":"article-journal","container-title":"Research Journal of Finance and Accounting","issue":"3","page":"84–96","source":"Google Scholar","title":"The relationship between fundamental analysis and stock returns based on the panel data analysis; evidence from karachi stock exchange (kse)","volume":"9","author":[{"family":"Muhammad","given":"Shakeel"},{"family":"Ali","given":"Gohar"}],"issued":{"date-parts":[["2018"]]}}}],"schema":"https://github.com/citation-style-language/schema/raw/master/csl-citation.json"} </w:instrText>
      </w:r>
      <w:r w:rsidR="009B6E68" w:rsidRPr="003C6DBD">
        <w:rPr>
          <w:rFonts w:ascii="Times New Roman" w:hAnsi="Times New Roman" w:cs="Times New Roman"/>
          <w:color w:val="0D0D0D" w:themeColor="text1" w:themeTint="F2"/>
          <w:sz w:val="24"/>
          <w:szCs w:val="24"/>
        </w:rPr>
        <w:fldChar w:fldCharType="separate"/>
      </w:r>
      <w:r w:rsidR="009D26C8" w:rsidRPr="003C6DBD">
        <w:rPr>
          <w:rFonts w:ascii="Times New Roman" w:hAnsi="Times New Roman" w:cs="Times New Roman"/>
          <w:color w:val="0D0D0D" w:themeColor="text1" w:themeTint="F2"/>
          <w:sz w:val="24"/>
          <w:szCs w:val="24"/>
        </w:rPr>
        <w:t>Muhammad &amp; Ali (2018)</w:t>
      </w:r>
      <w:r w:rsidR="009B6E68" w:rsidRPr="003C6DBD">
        <w:rPr>
          <w:rFonts w:ascii="Times New Roman" w:hAnsi="Times New Roman" w:cs="Times New Roman"/>
          <w:color w:val="0D0D0D" w:themeColor="text1" w:themeTint="F2"/>
          <w:sz w:val="24"/>
          <w:szCs w:val="24"/>
        </w:rPr>
        <w:fldChar w:fldCharType="end"/>
      </w:r>
      <w:r w:rsidR="009B6E68" w:rsidRPr="003C6DBD">
        <w:rPr>
          <w:rFonts w:ascii="Times New Roman" w:hAnsi="Times New Roman" w:cs="Times New Roman"/>
          <w:color w:val="0D0D0D" w:themeColor="text1" w:themeTint="F2"/>
          <w:sz w:val="24"/>
          <w:szCs w:val="24"/>
        </w:rPr>
        <w:t xml:space="preserve"> was employed </w:t>
      </w:r>
      <w:r w:rsidRPr="003C6DBD">
        <w:rPr>
          <w:rFonts w:ascii="Times New Roman" w:hAnsi="Times New Roman" w:cs="Times New Roman"/>
          <w:color w:val="0D0D0D" w:themeColor="text1" w:themeTint="F2"/>
          <w:sz w:val="24"/>
          <w:szCs w:val="24"/>
        </w:rPr>
        <w:t>for calculating stock returns</w:t>
      </w:r>
      <w:r w:rsidR="00D63C3A" w:rsidRPr="003C6DBD">
        <w:rPr>
          <w:rFonts w:ascii="Times New Roman" w:hAnsi="Times New Roman" w:cs="Times New Roman"/>
          <w:color w:val="0D0D0D" w:themeColor="text1" w:themeTint="F2"/>
          <w:sz w:val="24"/>
          <w:szCs w:val="24"/>
        </w:rPr>
        <w:t>.</w:t>
      </w:r>
    </w:p>
    <w:p w14:paraId="1C5C4AA6" w14:textId="7B9C1B73" w:rsidR="001967A8" w:rsidRPr="003C6DBD" w:rsidRDefault="00A375CC" w:rsidP="009F6A69">
      <w:pPr>
        <w:tabs>
          <w:tab w:val="left" w:pos="720"/>
        </w:tabs>
        <w:spacing w:line="480" w:lineRule="auto"/>
        <w:ind w:firstLine="720"/>
        <w:rPr>
          <w:rFonts w:ascii="Times New Roman" w:hAnsi="Times New Roman" w:cs="Times New Roman"/>
          <w:color w:val="0D0D0D" w:themeColor="text1" w:themeTint="F2"/>
          <w:sz w:val="24"/>
          <w:szCs w:val="24"/>
        </w:rPr>
      </w:pPr>
      <w:r w:rsidRPr="003C6DBD">
        <w:rPr>
          <w:rFonts w:ascii="Times New Roman" w:eastAsiaTheme="minorEastAsia" w:hAnsi="Times New Roman" w:cs="Times New Roman"/>
          <w:iCs/>
          <w:color w:val="0D0D0D" w:themeColor="text1" w:themeTint="F2"/>
          <w:sz w:val="24"/>
          <w:szCs w:val="24"/>
        </w:rPr>
        <w:t xml:space="preserve">The data was treated to remove observations for financial </w:t>
      </w:r>
      <w:r w:rsidR="00CB161D" w:rsidRPr="003C6DBD">
        <w:rPr>
          <w:rFonts w:ascii="Times New Roman" w:eastAsiaTheme="minorEastAsia" w:hAnsi="Times New Roman" w:cs="Times New Roman"/>
          <w:iCs/>
          <w:color w:val="0D0D0D" w:themeColor="text1" w:themeTint="F2"/>
          <w:sz w:val="24"/>
          <w:szCs w:val="24"/>
        </w:rPr>
        <w:t xml:space="preserve">variables </w:t>
      </w:r>
      <w:r w:rsidRPr="003C6DBD">
        <w:rPr>
          <w:rFonts w:ascii="Times New Roman" w:eastAsiaTheme="minorEastAsia" w:hAnsi="Times New Roman" w:cs="Times New Roman"/>
          <w:iCs/>
          <w:color w:val="0D0D0D" w:themeColor="text1" w:themeTint="F2"/>
          <w:sz w:val="24"/>
          <w:szCs w:val="24"/>
        </w:rPr>
        <w:t>with zero or negative assets, equity, invested capital, or revenue from the database</w:t>
      </w:r>
      <w:r w:rsidR="002D48EB" w:rsidRPr="003C6DBD">
        <w:rPr>
          <w:rFonts w:ascii="Times New Roman" w:eastAsiaTheme="minorEastAsia" w:hAnsi="Times New Roman" w:cs="Times New Roman"/>
          <w:iCs/>
          <w:color w:val="0D0D0D" w:themeColor="text1" w:themeTint="F2"/>
          <w:sz w:val="24"/>
          <w:szCs w:val="24"/>
        </w:rPr>
        <w:t xml:space="preserve"> </w:t>
      </w:r>
      <w:r w:rsidR="002D48EB" w:rsidRPr="003C6DBD">
        <w:rPr>
          <w:rFonts w:ascii="Times New Roman" w:eastAsiaTheme="minorEastAsia" w:hAnsi="Times New Roman" w:cs="Times New Roman"/>
          <w:iCs/>
          <w:color w:val="0D0D0D" w:themeColor="text1" w:themeTint="F2"/>
          <w:sz w:val="24"/>
          <w:szCs w:val="24"/>
        </w:rPr>
        <w:fldChar w:fldCharType="begin"/>
      </w:r>
      <w:r w:rsidR="00E179DB" w:rsidRPr="003C6DBD">
        <w:rPr>
          <w:rFonts w:ascii="Times New Roman" w:eastAsiaTheme="minorEastAsia" w:hAnsi="Times New Roman" w:cs="Times New Roman"/>
          <w:iCs/>
          <w:color w:val="0D0D0D" w:themeColor="text1" w:themeTint="F2"/>
          <w:sz w:val="24"/>
          <w:szCs w:val="24"/>
        </w:rPr>
        <w:instrText xml:space="preserve"> ADDIN ZOTERO_ITEM CSL_CITATION {"citationID":"o50pQyUU","properties":{"formattedCitation":"(Adams et al., 2019; Trejo-Pech et al., 2023)","plainCitation":"(Adams et al., 2019; Trejo-Pech et al., 2023)","noteIndex":0},"citationItems":[{"id":583,"uris":["http://zotero.org/users/8949154/items/ZVJFTAYF"],"itemData":{"id":583,"type":"article-journal","container-title":"Financial Management","issue":"2","note":"publisher: Wiley Online Library","page":"345–384","source":"Google Scholar","title":"Identifying and treating outliers in finance","volume":"48","author":[{"family":"Adams","given":"John"},{"family":"Hayunga","given":"Darren"},{"family":"Mansi","given":"Sattar"},{"family":"Reeb","given":"David"},{"family":"Verardi","given":"Vincenzo"}],"issued":{"date-parts":[["2019"]]}}},{"id":183,"uris":["http://zotero.org/users/8949154/items/GSWF26NN"],"itemData":{"id":183,"type":"article-journal","container-title":"Agricultural Finance Review","title":"How does the financial performance of sugar-using firms compare to other agribusinesses? An accounting and economic profit rates analysis. (Forthcoming).","author":[{"family":"Trejo-Pech","given":"C."},{"family":"DeLong","given":"K."},{"family":"Johansson","given":"R."}],"issued":{"date-parts":[["2023"]]}}}],"schema":"https://github.com/citation-style-language/schema/raw/master/csl-citation.json"} </w:instrText>
      </w:r>
      <w:r w:rsidR="002D48EB" w:rsidRPr="003C6DBD">
        <w:rPr>
          <w:rFonts w:ascii="Times New Roman" w:eastAsiaTheme="minorEastAsia" w:hAnsi="Times New Roman" w:cs="Times New Roman"/>
          <w:iCs/>
          <w:color w:val="0D0D0D" w:themeColor="text1" w:themeTint="F2"/>
          <w:sz w:val="24"/>
          <w:szCs w:val="24"/>
        </w:rPr>
        <w:fldChar w:fldCharType="separate"/>
      </w:r>
      <w:r w:rsidR="00E179DB" w:rsidRPr="003C6DBD">
        <w:rPr>
          <w:rFonts w:ascii="Times New Roman" w:hAnsi="Times New Roman" w:cs="Times New Roman"/>
          <w:color w:val="0D0D0D" w:themeColor="text1" w:themeTint="F2"/>
          <w:sz w:val="24"/>
          <w:szCs w:val="24"/>
        </w:rPr>
        <w:t>(Adams et al., 2019; Trejo-Pech et al., 2023)</w:t>
      </w:r>
      <w:r w:rsidR="002D48EB" w:rsidRPr="003C6DBD">
        <w:rPr>
          <w:rFonts w:ascii="Times New Roman" w:eastAsiaTheme="minorEastAsia" w:hAnsi="Times New Roman" w:cs="Times New Roman"/>
          <w:iCs/>
          <w:color w:val="0D0D0D" w:themeColor="text1" w:themeTint="F2"/>
          <w:sz w:val="24"/>
          <w:szCs w:val="24"/>
        </w:rPr>
        <w:fldChar w:fldCharType="end"/>
      </w:r>
      <w:r w:rsidRPr="003C6DBD">
        <w:rPr>
          <w:rFonts w:ascii="Times New Roman" w:eastAsiaTheme="minorEastAsia" w:hAnsi="Times New Roman" w:cs="Times New Roman"/>
          <w:iCs/>
          <w:color w:val="0D0D0D" w:themeColor="text1" w:themeTint="F2"/>
          <w:sz w:val="24"/>
          <w:szCs w:val="24"/>
        </w:rPr>
        <w:t xml:space="preserve">. </w:t>
      </w:r>
      <w:r w:rsidR="00CB161D" w:rsidRPr="003C6DBD">
        <w:rPr>
          <w:rFonts w:ascii="Times New Roman" w:eastAsiaTheme="minorEastAsia" w:hAnsi="Times New Roman" w:cs="Times New Roman"/>
          <w:iCs/>
          <w:color w:val="0D0D0D" w:themeColor="text1" w:themeTint="F2"/>
          <w:sz w:val="24"/>
          <w:szCs w:val="24"/>
        </w:rPr>
        <w:t>In addition, t</w:t>
      </w:r>
      <w:r w:rsidR="001967A8" w:rsidRPr="003C6DBD">
        <w:rPr>
          <w:rFonts w:ascii="Times New Roman" w:eastAsiaTheme="minorEastAsia" w:hAnsi="Times New Roman" w:cs="Times New Roman"/>
          <w:iCs/>
          <w:color w:val="0D0D0D" w:themeColor="text1" w:themeTint="F2"/>
          <w:sz w:val="24"/>
          <w:szCs w:val="24"/>
        </w:rPr>
        <w:t xml:space="preserve">he data was </w:t>
      </w:r>
      <w:proofErr w:type="spellStart"/>
      <w:r w:rsidR="001967A8" w:rsidRPr="003C6DBD">
        <w:rPr>
          <w:rFonts w:ascii="Times New Roman" w:eastAsiaTheme="minorEastAsia" w:hAnsi="Times New Roman" w:cs="Times New Roman"/>
          <w:iCs/>
          <w:color w:val="0D0D0D" w:themeColor="text1" w:themeTint="F2"/>
          <w:sz w:val="24"/>
          <w:szCs w:val="24"/>
        </w:rPr>
        <w:t>winsorized</w:t>
      </w:r>
      <w:proofErr w:type="spellEnd"/>
      <w:r w:rsidR="001967A8" w:rsidRPr="003C6DBD">
        <w:rPr>
          <w:rFonts w:ascii="Times New Roman" w:eastAsiaTheme="minorEastAsia" w:hAnsi="Times New Roman" w:cs="Times New Roman"/>
          <w:iCs/>
          <w:color w:val="0D0D0D" w:themeColor="text1" w:themeTint="F2"/>
          <w:sz w:val="24"/>
          <w:szCs w:val="24"/>
        </w:rPr>
        <w:t xml:space="preserve"> at the 1% and 99% percentile to avoid the potential effect of </w:t>
      </w:r>
      <w:r w:rsidR="00B921E0" w:rsidRPr="003C6DBD">
        <w:rPr>
          <w:rFonts w:ascii="Times New Roman" w:eastAsiaTheme="minorEastAsia" w:hAnsi="Times New Roman" w:cs="Times New Roman"/>
          <w:iCs/>
          <w:color w:val="0D0D0D" w:themeColor="text1" w:themeTint="F2"/>
          <w:sz w:val="24"/>
          <w:szCs w:val="24"/>
        </w:rPr>
        <w:t>outliers</w:t>
      </w:r>
      <w:r w:rsidR="001967A8" w:rsidRPr="003C6DBD">
        <w:rPr>
          <w:rFonts w:ascii="Times New Roman" w:eastAsiaTheme="minorEastAsia" w:hAnsi="Times New Roman" w:cs="Times New Roman"/>
          <w:iCs/>
          <w:color w:val="0D0D0D" w:themeColor="text1" w:themeTint="F2"/>
          <w:sz w:val="24"/>
          <w:szCs w:val="24"/>
        </w:rPr>
        <w:t xml:space="preserve">. </w:t>
      </w:r>
      <w:r w:rsidR="0050736E" w:rsidRPr="003C6DBD">
        <w:rPr>
          <w:rFonts w:ascii="Times New Roman" w:eastAsiaTheme="minorEastAsia" w:hAnsi="Times New Roman" w:cs="Times New Roman"/>
          <w:iCs/>
          <w:color w:val="0D0D0D" w:themeColor="text1" w:themeTint="F2"/>
          <w:sz w:val="24"/>
          <w:szCs w:val="24"/>
        </w:rPr>
        <w:t xml:space="preserve">Previous studies have suggested </w:t>
      </w:r>
      <w:proofErr w:type="spellStart"/>
      <w:r w:rsidR="001967A8" w:rsidRPr="003C6DBD">
        <w:rPr>
          <w:rFonts w:ascii="Times New Roman" w:eastAsiaTheme="minorEastAsia" w:hAnsi="Times New Roman" w:cs="Times New Roman"/>
          <w:iCs/>
          <w:color w:val="0D0D0D" w:themeColor="text1" w:themeTint="F2"/>
          <w:sz w:val="24"/>
          <w:szCs w:val="24"/>
        </w:rPr>
        <w:t>winsorizing</w:t>
      </w:r>
      <w:proofErr w:type="spellEnd"/>
      <w:r w:rsidR="001967A8" w:rsidRPr="003C6DBD">
        <w:rPr>
          <w:rFonts w:ascii="Times New Roman" w:eastAsiaTheme="minorEastAsia" w:hAnsi="Times New Roman" w:cs="Times New Roman"/>
          <w:iCs/>
          <w:color w:val="0D0D0D" w:themeColor="text1" w:themeTint="F2"/>
          <w:sz w:val="24"/>
          <w:szCs w:val="24"/>
        </w:rPr>
        <w:t xml:space="preserve"> as a </w:t>
      </w:r>
      <w:r w:rsidR="0050736E" w:rsidRPr="003C6DBD">
        <w:rPr>
          <w:rFonts w:ascii="Times New Roman" w:eastAsiaTheme="minorEastAsia" w:hAnsi="Times New Roman" w:cs="Times New Roman"/>
          <w:iCs/>
          <w:color w:val="0D0D0D" w:themeColor="text1" w:themeTint="F2"/>
          <w:sz w:val="24"/>
          <w:szCs w:val="24"/>
        </w:rPr>
        <w:t xml:space="preserve">common </w:t>
      </w:r>
      <w:r w:rsidR="001967A8" w:rsidRPr="003C6DBD">
        <w:rPr>
          <w:rFonts w:ascii="Times New Roman" w:eastAsiaTheme="minorEastAsia" w:hAnsi="Times New Roman" w:cs="Times New Roman"/>
          <w:iCs/>
          <w:color w:val="0D0D0D" w:themeColor="text1" w:themeTint="F2"/>
          <w:sz w:val="24"/>
          <w:szCs w:val="24"/>
        </w:rPr>
        <w:t xml:space="preserve">method used by majority of financial research to treat outliers </w:t>
      </w:r>
      <w:r w:rsidR="002612FF" w:rsidRPr="003C6DBD">
        <w:rPr>
          <w:rFonts w:ascii="Times New Roman" w:eastAsiaTheme="minorEastAsia" w:hAnsi="Times New Roman" w:cs="Times New Roman"/>
          <w:iCs/>
          <w:color w:val="0D0D0D" w:themeColor="text1" w:themeTint="F2"/>
          <w:sz w:val="24"/>
          <w:szCs w:val="24"/>
        </w:rPr>
        <w:fldChar w:fldCharType="begin"/>
      </w:r>
      <w:r w:rsidR="00E179DB" w:rsidRPr="003C6DBD">
        <w:rPr>
          <w:rFonts w:ascii="Times New Roman" w:eastAsiaTheme="minorEastAsia" w:hAnsi="Times New Roman" w:cs="Times New Roman"/>
          <w:iCs/>
          <w:color w:val="0D0D0D" w:themeColor="text1" w:themeTint="F2"/>
          <w:sz w:val="24"/>
          <w:szCs w:val="24"/>
        </w:rPr>
        <w:instrText xml:space="preserve"> ADDIN ZOTERO_ITEM CSL_CITATION {"citationID":"WiM2T5uG","properties":{"formattedCitation":"(Adams et al., 2019; Trejo-Pech et al., 2023)","plainCitation":"(Adams et al., 2019; Trejo-Pech et al., 2023)","noteIndex":0},"citationItems":[{"id":583,"uris":["http://zotero.org/users/8949154/items/ZVJFTAYF"],"itemData":{"id":583,"type":"article-journal","container-title":"Financial Management","issue":"2","note":"publisher: Wiley Online Library","page":"345–384","source":"Google Scholar","title":"Identifying and treating outliers in finance","volume":"48","author":[{"family":"Adams","given":"John"},{"family":"Hayunga","given":"Darren"},{"family":"Mansi","given":"Sattar"},{"family":"Reeb","given":"David"},{"family":"Verardi","given":"Vincenzo"}],"issued":{"date-parts":[["2019"]]}}},{"id":183,"uris":["http://zotero.org/users/8949154/items/GSWF26NN"],"itemData":{"id":183,"type":"article-journal","container-title":"Agricultural Finance Review","title":"How does the financial performance of sugar-using firms compare to other agribusinesses? An accounting and economic profit rates analysis. (Forthcoming).","author":[{"family":"Trejo-Pech","given":"C."},{"family":"DeLong","given":"K."},{"family":"Johansson","given":"R."}],"issued":{"date-parts":[["2023"]]}}}],"schema":"https://github.com/citation-style-language/schema/raw/master/csl-citation.json"} </w:instrText>
      </w:r>
      <w:r w:rsidR="002612FF" w:rsidRPr="003C6DBD">
        <w:rPr>
          <w:rFonts w:ascii="Times New Roman" w:eastAsiaTheme="minorEastAsia" w:hAnsi="Times New Roman" w:cs="Times New Roman"/>
          <w:iCs/>
          <w:color w:val="0D0D0D" w:themeColor="text1" w:themeTint="F2"/>
          <w:sz w:val="24"/>
          <w:szCs w:val="24"/>
        </w:rPr>
        <w:fldChar w:fldCharType="separate"/>
      </w:r>
      <w:r w:rsidR="00E179DB" w:rsidRPr="003C6DBD">
        <w:rPr>
          <w:rFonts w:ascii="Times New Roman" w:hAnsi="Times New Roman" w:cs="Times New Roman"/>
          <w:color w:val="0D0D0D" w:themeColor="text1" w:themeTint="F2"/>
          <w:sz w:val="24"/>
          <w:szCs w:val="24"/>
        </w:rPr>
        <w:t>(Adams et al., 2019; Trejo-Pech et al., 2023)</w:t>
      </w:r>
      <w:r w:rsidR="002612FF" w:rsidRPr="003C6DBD">
        <w:rPr>
          <w:rFonts w:ascii="Times New Roman" w:eastAsiaTheme="minorEastAsia" w:hAnsi="Times New Roman" w:cs="Times New Roman"/>
          <w:iCs/>
          <w:color w:val="0D0D0D" w:themeColor="text1" w:themeTint="F2"/>
          <w:sz w:val="24"/>
          <w:szCs w:val="24"/>
        </w:rPr>
        <w:fldChar w:fldCharType="end"/>
      </w:r>
      <w:r w:rsidR="001967A8" w:rsidRPr="003C6DBD">
        <w:rPr>
          <w:rFonts w:ascii="Times New Roman" w:eastAsiaTheme="minorEastAsia" w:hAnsi="Times New Roman" w:cs="Times New Roman"/>
          <w:iCs/>
          <w:color w:val="0D0D0D" w:themeColor="text1" w:themeTint="F2"/>
          <w:sz w:val="24"/>
          <w:szCs w:val="24"/>
        </w:rPr>
        <w:t xml:space="preserve">. </w:t>
      </w:r>
    </w:p>
    <w:p w14:paraId="34B5494C" w14:textId="47C87FFF" w:rsidR="002D4A21" w:rsidRPr="003C6DBD" w:rsidRDefault="00642B3B" w:rsidP="002A7494">
      <w:pPr>
        <w:pStyle w:val="Heading4"/>
        <w:rPr>
          <w:color w:val="0D0D0D" w:themeColor="text1" w:themeTint="F2"/>
        </w:rPr>
      </w:pPr>
      <w:r w:rsidRPr="003C6DBD">
        <w:rPr>
          <w:color w:val="0D0D0D" w:themeColor="text1" w:themeTint="F2"/>
        </w:rPr>
        <w:t xml:space="preserve">4.3.2 </w:t>
      </w:r>
      <w:r w:rsidR="002D4A21" w:rsidRPr="003C6DBD">
        <w:rPr>
          <w:color w:val="0D0D0D" w:themeColor="text1" w:themeTint="F2"/>
        </w:rPr>
        <w:t>Classification of sample companies</w:t>
      </w:r>
    </w:p>
    <w:p w14:paraId="29C9B364" w14:textId="3EC24EBF" w:rsidR="002D4A21" w:rsidRPr="003C6DBD" w:rsidRDefault="002D4A21" w:rsidP="002A7494">
      <w:pPr>
        <w:tabs>
          <w:tab w:val="left" w:pos="72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b/>
      </w:r>
      <w:r w:rsidR="005A6EE3" w:rsidRPr="003C6DBD">
        <w:rPr>
          <w:rFonts w:ascii="Times New Roman" w:hAnsi="Times New Roman" w:cs="Times New Roman"/>
          <w:color w:val="0D0D0D" w:themeColor="text1" w:themeTint="F2"/>
          <w:sz w:val="24"/>
          <w:szCs w:val="24"/>
        </w:rPr>
        <w:t>A total of 2</w:t>
      </w:r>
      <w:r w:rsidR="00C753F3" w:rsidRPr="003C6DBD">
        <w:rPr>
          <w:rFonts w:ascii="Times New Roman" w:hAnsi="Times New Roman" w:cs="Times New Roman"/>
          <w:color w:val="0D0D0D" w:themeColor="text1" w:themeTint="F2"/>
          <w:sz w:val="24"/>
          <w:szCs w:val="24"/>
        </w:rPr>
        <w:t>2</w:t>
      </w:r>
      <w:r w:rsidR="005A6EE3" w:rsidRPr="003C6DBD">
        <w:rPr>
          <w:rFonts w:ascii="Times New Roman" w:hAnsi="Times New Roman" w:cs="Times New Roman"/>
          <w:color w:val="0D0D0D" w:themeColor="text1" w:themeTint="F2"/>
          <w:sz w:val="24"/>
          <w:szCs w:val="24"/>
        </w:rPr>
        <w:t xml:space="preserve"> sample companies were selected for risk assessment</w:t>
      </w:r>
      <w:r w:rsidR="00C753F3" w:rsidRPr="003C6DBD">
        <w:rPr>
          <w:rFonts w:ascii="Times New Roman" w:hAnsi="Times New Roman" w:cs="Times New Roman"/>
          <w:color w:val="0D0D0D" w:themeColor="text1" w:themeTint="F2"/>
          <w:sz w:val="24"/>
          <w:szCs w:val="24"/>
        </w:rPr>
        <w:t xml:space="preserve"> and financial analysis</w:t>
      </w:r>
      <w:r w:rsidR="005A6EE3" w:rsidRPr="003C6DBD">
        <w:rPr>
          <w:rFonts w:ascii="Times New Roman" w:hAnsi="Times New Roman" w:cs="Times New Roman"/>
          <w:color w:val="0D0D0D" w:themeColor="text1" w:themeTint="F2"/>
          <w:sz w:val="24"/>
          <w:szCs w:val="24"/>
        </w:rPr>
        <w:t xml:space="preserve"> from the final sample of 35 biofuel companies. </w:t>
      </w:r>
      <w:r w:rsidRPr="003C6DBD">
        <w:rPr>
          <w:rFonts w:ascii="Times New Roman" w:hAnsi="Times New Roman" w:cs="Times New Roman"/>
          <w:color w:val="0D0D0D" w:themeColor="text1" w:themeTint="F2"/>
          <w:sz w:val="24"/>
          <w:szCs w:val="24"/>
        </w:rPr>
        <w:t xml:space="preserve">The sample companies were further classified into two categories: </w:t>
      </w:r>
      <w:r w:rsidR="00C753F3" w:rsidRPr="003C6DBD">
        <w:rPr>
          <w:rFonts w:ascii="Times New Roman" w:hAnsi="Times New Roman" w:cs="Times New Roman"/>
          <w:color w:val="0D0D0D" w:themeColor="text1" w:themeTint="F2"/>
          <w:sz w:val="24"/>
          <w:szCs w:val="24"/>
        </w:rPr>
        <w:t>p</w:t>
      </w:r>
      <w:r w:rsidRPr="003C6DBD">
        <w:rPr>
          <w:rFonts w:ascii="Times New Roman" w:hAnsi="Times New Roman" w:cs="Times New Roman"/>
          <w:color w:val="0D0D0D" w:themeColor="text1" w:themeTint="F2"/>
          <w:sz w:val="24"/>
          <w:szCs w:val="24"/>
        </w:rPr>
        <w:t xml:space="preserve">rimary biofuels, and </w:t>
      </w:r>
      <w:r w:rsidR="00C753F3" w:rsidRPr="003C6DBD">
        <w:rPr>
          <w:rFonts w:ascii="Times New Roman" w:hAnsi="Times New Roman" w:cs="Times New Roman"/>
          <w:color w:val="0D0D0D" w:themeColor="text1" w:themeTint="F2"/>
          <w:sz w:val="24"/>
          <w:szCs w:val="24"/>
        </w:rPr>
        <w:t>secondary biofuels</w:t>
      </w:r>
      <w:r w:rsidRPr="003C6DBD">
        <w:rPr>
          <w:rFonts w:ascii="Times New Roman" w:hAnsi="Times New Roman" w:cs="Times New Roman"/>
          <w:color w:val="0D0D0D" w:themeColor="text1" w:themeTint="F2"/>
          <w:sz w:val="24"/>
          <w:szCs w:val="24"/>
        </w:rPr>
        <w:t>.</w:t>
      </w:r>
      <w:r w:rsidR="00F63786"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t xml:space="preserve">The information from the annual report </w:t>
      </w:r>
      <w:r w:rsidR="005F6C77" w:rsidRPr="003C6DBD">
        <w:rPr>
          <w:rFonts w:ascii="Times New Roman" w:hAnsi="Times New Roman" w:cs="Times New Roman"/>
          <w:color w:val="0D0D0D" w:themeColor="text1" w:themeTint="F2"/>
          <w:sz w:val="24"/>
          <w:szCs w:val="24"/>
        </w:rPr>
        <w:t xml:space="preserve">of </w:t>
      </w:r>
      <w:r w:rsidRPr="003C6DBD">
        <w:rPr>
          <w:rFonts w:ascii="Times New Roman" w:hAnsi="Times New Roman" w:cs="Times New Roman"/>
          <w:color w:val="0D0D0D" w:themeColor="text1" w:themeTint="F2"/>
          <w:sz w:val="24"/>
          <w:szCs w:val="24"/>
        </w:rPr>
        <w:t xml:space="preserve">2017 was used to classify the companies. The companies were classified as primary biofuels companies if </w:t>
      </w:r>
      <w:r w:rsidR="00E3082C" w:rsidRPr="003C6DBD">
        <w:rPr>
          <w:rFonts w:ascii="Times New Roman" w:hAnsi="Times New Roman" w:cs="Times New Roman"/>
          <w:color w:val="0D0D0D" w:themeColor="text1" w:themeTint="F2"/>
          <w:sz w:val="24"/>
          <w:szCs w:val="24"/>
        </w:rPr>
        <w:t xml:space="preserve">their </w:t>
      </w:r>
      <w:r w:rsidRPr="003C6DBD">
        <w:rPr>
          <w:rFonts w:ascii="Times New Roman" w:hAnsi="Times New Roman" w:cs="Times New Roman"/>
          <w:color w:val="0D0D0D" w:themeColor="text1" w:themeTint="F2"/>
          <w:sz w:val="24"/>
          <w:szCs w:val="24"/>
        </w:rPr>
        <w:t>revenue from biofuel</w:t>
      </w:r>
      <w:r w:rsidR="00E3082C" w:rsidRPr="003C6DBD">
        <w:rPr>
          <w:rFonts w:ascii="Times New Roman" w:hAnsi="Times New Roman" w:cs="Times New Roman"/>
          <w:color w:val="0D0D0D" w:themeColor="text1" w:themeTint="F2"/>
          <w:sz w:val="24"/>
          <w:szCs w:val="24"/>
        </w:rPr>
        <w:t>s</w:t>
      </w:r>
      <w:r w:rsidRPr="003C6DBD">
        <w:rPr>
          <w:rFonts w:ascii="Times New Roman" w:hAnsi="Times New Roman" w:cs="Times New Roman"/>
          <w:color w:val="0D0D0D" w:themeColor="text1" w:themeTint="F2"/>
          <w:sz w:val="24"/>
          <w:szCs w:val="24"/>
        </w:rPr>
        <w:t xml:space="preserve"> or closely related </w:t>
      </w:r>
      <w:r w:rsidR="00E3082C" w:rsidRPr="003C6DBD">
        <w:rPr>
          <w:rFonts w:ascii="Times New Roman" w:hAnsi="Times New Roman" w:cs="Times New Roman"/>
          <w:color w:val="0D0D0D" w:themeColor="text1" w:themeTint="F2"/>
          <w:sz w:val="24"/>
          <w:szCs w:val="24"/>
        </w:rPr>
        <w:t xml:space="preserve">products </w:t>
      </w:r>
      <w:r w:rsidRPr="003C6DBD">
        <w:rPr>
          <w:rFonts w:ascii="Times New Roman" w:hAnsi="Times New Roman" w:cs="Times New Roman"/>
          <w:color w:val="0D0D0D" w:themeColor="text1" w:themeTint="F2"/>
          <w:sz w:val="24"/>
          <w:szCs w:val="24"/>
        </w:rPr>
        <w:t xml:space="preserve">exceeded 50% of the total revenue.  In addition, </w:t>
      </w:r>
      <w:r w:rsidR="002F3E3B" w:rsidRPr="003C6DBD">
        <w:rPr>
          <w:rFonts w:ascii="Times New Roman" w:hAnsi="Times New Roman" w:cs="Times New Roman"/>
          <w:color w:val="0D0D0D" w:themeColor="text1" w:themeTint="F2"/>
          <w:sz w:val="24"/>
          <w:szCs w:val="24"/>
        </w:rPr>
        <w:t xml:space="preserve">in cases where quantitative data for biofuel sales were not available in the annual report, </w:t>
      </w:r>
      <w:r w:rsidR="00E3082C" w:rsidRPr="003C6DBD">
        <w:rPr>
          <w:rFonts w:ascii="Times New Roman" w:hAnsi="Times New Roman" w:cs="Times New Roman"/>
          <w:color w:val="0D0D0D" w:themeColor="text1" w:themeTint="F2"/>
          <w:sz w:val="24"/>
          <w:szCs w:val="24"/>
        </w:rPr>
        <w:t xml:space="preserve">the </w:t>
      </w:r>
      <w:r w:rsidRPr="003C6DBD">
        <w:rPr>
          <w:rFonts w:ascii="Times New Roman" w:hAnsi="Times New Roman" w:cs="Times New Roman"/>
          <w:color w:val="0D0D0D" w:themeColor="text1" w:themeTint="F2"/>
          <w:sz w:val="24"/>
          <w:szCs w:val="24"/>
        </w:rPr>
        <w:t xml:space="preserve">companies were </w:t>
      </w:r>
      <w:r w:rsidR="00D701DF" w:rsidRPr="003C6DBD">
        <w:rPr>
          <w:rFonts w:ascii="Times New Roman" w:hAnsi="Times New Roman" w:cs="Times New Roman"/>
          <w:color w:val="0D0D0D" w:themeColor="text1" w:themeTint="F2"/>
          <w:sz w:val="24"/>
          <w:szCs w:val="24"/>
        </w:rPr>
        <w:t xml:space="preserve">qualitatively </w:t>
      </w:r>
      <w:r w:rsidRPr="003C6DBD">
        <w:rPr>
          <w:rFonts w:ascii="Times New Roman" w:hAnsi="Times New Roman" w:cs="Times New Roman"/>
          <w:color w:val="0D0D0D" w:themeColor="text1" w:themeTint="F2"/>
          <w:sz w:val="24"/>
          <w:szCs w:val="24"/>
        </w:rPr>
        <w:t xml:space="preserve">classified </w:t>
      </w:r>
      <w:r w:rsidR="00D701DF" w:rsidRPr="003C6DBD">
        <w:rPr>
          <w:rFonts w:ascii="Times New Roman" w:hAnsi="Times New Roman" w:cs="Times New Roman"/>
          <w:color w:val="0D0D0D" w:themeColor="text1" w:themeTint="F2"/>
          <w:sz w:val="24"/>
          <w:szCs w:val="24"/>
        </w:rPr>
        <w:t>after reading</w:t>
      </w:r>
      <w:r w:rsidRPr="003C6DBD">
        <w:rPr>
          <w:rFonts w:ascii="Times New Roman" w:hAnsi="Times New Roman" w:cs="Times New Roman"/>
          <w:color w:val="0D0D0D" w:themeColor="text1" w:themeTint="F2"/>
          <w:sz w:val="24"/>
          <w:szCs w:val="24"/>
        </w:rPr>
        <w:t xml:space="preserve"> the annual report</w:t>
      </w:r>
      <w:r w:rsidR="004E69FD" w:rsidRPr="003C6DBD">
        <w:rPr>
          <w:rFonts w:ascii="Times New Roman" w:hAnsi="Times New Roman" w:cs="Times New Roman"/>
          <w:color w:val="0D0D0D" w:themeColor="text1" w:themeTint="F2"/>
          <w:sz w:val="24"/>
          <w:szCs w:val="24"/>
        </w:rPr>
        <w:t>s</w:t>
      </w:r>
      <w:r w:rsidRPr="003C6DBD">
        <w:rPr>
          <w:rFonts w:ascii="Times New Roman" w:hAnsi="Times New Roman" w:cs="Times New Roman"/>
          <w:color w:val="0D0D0D" w:themeColor="text1" w:themeTint="F2"/>
          <w:sz w:val="24"/>
          <w:szCs w:val="24"/>
        </w:rPr>
        <w:t xml:space="preserve">. The author employed a conservative approach during </w:t>
      </w:r>
      <w:r w:rsidR="004E69FD" w:rsidRPr="003C6DBD">
        <w:rPr>
          <w:rFonts w:ascii="Times New Roman" w:hAnsi="Times New Roman" w:cs="Times New Roman"/>
          <w:color w:val="0D0D0D" w:themeColor="text1" w:themeTint="F2"/>
          <w:sz w:val="24"/>
          <w:szCs w:val="24"/>
        </w:rPr>
        <w:t xml:space="preserve">this </w:t>
      </w:r>
      <w:r w:rsidRPr="003C6DBD">
        <w:rPr>
          <w:rFonts w:ascii="Times New Roman" w:hAnsi="Times New Roman" w:cs="Times New Roman"/>
          <w:color w:val="0D0D0D" w:themeColor="text1" w:themeTint="F2"/>
          <w:sz w:val="24"/>
          <w:szCs w:val="24"/>
        </w:rPr>
        <w:t xml:space="preserve">qualitative </w:t>
      </w:r>
      <w:r w:rsidR="004E69FD" w:rsidRPr="003C6DBD">
        <w:rPr>
          <w:rFonts w:ascii="Times New Roman" w:hAnsi="Times New Roman" w:cs="Times New Roman"/>
          <w:color w:val="0D0D0D" w:themeColor="text1" w:themeTint="F2"/>
          <w:sz w:val="24"/>
          <w:szCs w:val="24"/>
        </w:rPr>
        <w:t xml:space="preserve">classification </w:t>
      </w:r>
      <w:r w:rsidR="008A24CF" w:rsidRPr="003C6DBD">
        <w:rPr>
          <w:rFonts w:ascii="Times New Roman" w:hAnsi="Times New Roman" w:cs="Times New Roman"/>
          <w:color w:val="0D0D0D" w:themeColor="text1" w:themeTint="F2"/>
          <w:sz w:val="24"/>
          <w:szCs w:val="24"/>
        </w:rPr>
        <w:t xml:space="preserve">by </w:t>
      </w:r>
      <w:r w:rsidRPr="003C6DBD">
        <w:rPr>
          <w:rFonts w:ascii="Times New Roman" w:hAnsi="Times New Roman" w:cs="Times New Roman"/>
          <w:color w:val="0D0D0D" w:themeColor="text1" w:themeTint="F2"/>
          <w:sz w:val="24"/>
          <w:szCs w:val="24"/>
        </w:rPr>
        <w:t>classif</w:t>
      </w:r>
      <w:r w:rsidR="008A24CF" w:rsidRPr="003C6DBD">
        <w:rPr>
          <w:rFonts w:ascii="Times New Roman" w:hAnsi="Times New Roman" w:cs="Times New Roman"/>
          <w:color w:val="0D0D0D" w:themeColor="text1" w:themeTint="F2"/>
          <w:sz w:val="24"/>
          <w:szCs w:val="24"/>
        </w:rPr>
        <w:t>ying</w:t>
      </w:r>
      <w:r w:rsidRPr="003C6DBD">
        <w:rPr>
          <w:rFonts w:ascii="Times New Roman" w:hAnsi="Times New Roman" w:cs="Times New Roman"/>
          <w:color w:val="0D0D0D" w:themeColor="text1" w:themeTint="F2"/>
          <w:sz w:val="24"/>
          <w:szCs w:val="24"/>
        </w:rPr>
        <w:t xml:space="preserve"> companies in </w:t>
      </w:r>
      <w:r w:rsidR="002F2C11" w:rsidRPr="003C6DBD">
        <w:rPr>
          <w:rFonts w:ascii="Times New Roman" w:hAnsi="Times New Roman" w:cs="Times New Roman"/>
          <w:color w:val="0D0D0D" w:themeColor="text1" w:themeTint="F2"/>
          <w:sz w:val="24"/>
          <w:szCs w:val="24"/>
        </w:rPr>
        <w:t>“</w:t>
      </w:r>
      <w:r w:rsidR="00374DD9" w:rsidRPr="003C6DBD">
        <w:rPr>
          <w:rFonts w:ascii="Times New Roman" w:hAnsi="Times New Roman" w:cs="Times New Roman"/>
          <w:color w:val="0D0D0D" w:themeColor="text1" w:themeTint="F2"/>
          <w:sz w:val="24"/>
          <w:szCs w:val="24"/>
        </w:rPr>
        <w:t>secondary biofuels</w:t>
      </w:r>
      <w:r w:rsidR="002F2C11" w:rsidRPr="003C6DBD">
        <w:rPr>
          <w:rFonts w:ascii="Times New Roman" w:hAnsi="Times New Roman" w:cs="Times New Roman"/>
          <w:color w:val="0D0D0D" w:themeColor="text1" w:themeTint="F2"/>
          <w:sz w:val="24"/>
          <w:szCs w:val="24"/>
        </w:rPr>
        <w:t>”</w:t>
      </w:r>
      <w:r w:rsidRPr="003C6DBD">
        <w:rPr>
          <w:rFonts w:ascii="Times New Roman" w:hAnsi="Times New Roman" w:cs="Times New Roman"/>
          <w:color w:val="0D0D0D" w:themeColor="text1" w:themeTint="F2"/>
          <w:sz w:val="24"/>
          <w:szCs w:val="24"/>
        </w:rPr>
        <w:t xml:space="preserve"> category if the annual report </w:t>
      </w:r>
      <w:r w:rsidRPr="003C6DBD">
        <w:rPr>
          <w:rFonts w:ascii="Times New Roman" w:hAnsi="Times New Roman" w:cs="Times New Roman"/>
          <w:color w:val="0D0D0D" w:themeColor="text1" w:themeTint="F2"/>
          <w:sz w:val="24"/>
          <w:szCs w:val="24"/>
        </w:rPr>
        <w:lastRenderedPageBreak/>
        <w:t>lacked sufficient evidence</w:t>
      </w:r>
      <w:r w:rsidRPr="003C6DBD">
        <w:rPr>
          <w:rStyle w:val="FootnoteReference"/>
          <w:rFonts w:ascii="Times New Roman" w:hAnsi="Times New Roman" w:cs="Times New Roman"/>
          <w:color w:val="0D0D0D" w:themeColor="text1" w:themeTint="F2"/>
          <w:sz w:val="24"/>
          <w:szCs w:val="24"/>
        </w:rPr>
        <w:footnoteReference w:id="10"/>
      </w:r>
      <w:r w:rsidRPr="003C6DBD">
        <w:rPr>
          <w:rFonts w:ascii="Times New Roman" w:hAnsi="Times New Roman" w:cs="Times New Roman"/>
          <w:color w:val="0D0D0D" w:themeColor="text1" w:themeTint="F2"/>
          <w:sz w:val="24"/>
          <w:szCs w:val="24"/>
        </w:rPr>
        <w:t xml:space="preserve"> to justify the companies as primary biofuel</w:t>
      </w:r>
      <w:r w:rsidR="002F2C11" w:rsidRPr="003C6DBD">
        <w:rPr>
          <w:rFonts w:ascii="Times New Roman" w:hAnsi="Times New Roman" w:cs="Times New Roman"/>
          <w:color w:val="0D0D0D" w:themeColor="text1" w:themeTint="F2"/>
          <w:sz w:val="24"/>
          <w:szCs w:val="24"/>
        </w:rPr>
        <w:t xml:space="preserve"> firms</w:t>
      </w:r>
      <w:r w:rsidRPr="003C6DBD">
        <w:rPr>
          <w:rFonts w:ascii="Times New Roman" w:hAnsi="Times New Roman" w:cs="Times New Roman"/>
          <w:color w:val="0D0D0D" w:themeColor="text1" w:themeTint="F2"/>
          <w:sz w:val="24"/>
          <w:szCs w:val="24"/>
        </w:rPr>
        <w:t>. Out of 2</w:t>
      </w:r>
      <w:r w:rsidR="00374DD9" w:rsidRPr="003C6DBD">
        <w:rPr>
          <w:rFonts w:ascii="Times New Roman" w:hAnsi="Times New Roman" w:cs="Times New Roman"/>
          <w:color w:val="0D0D0D" w:themeColor="text1" w:themeTint="F2"/>
          <w:sz w:val="24"/>
          <w:szCs w:val="24"/>
        </w:rPr>
        <w:t>2</w:t>
      </w:r>
      <w:r w:rsidRPr="003C6DBD">
        <w:rPr>
          <w:rFonts w:ascii="Times New Roman" w:hAnsi="Times New Roman" w:cs="Times New Roman"/>
          <w:color w:val="0D0D0D" w:themeColor="text1" w:themeTint="F2"/>
          <w:sz w:val="24"/>
          <w:szCs w:val="24"/>
        </w:rPr>
        <w:t xml:space="preserve"> sample biofuel companies</w:t>
      </w:r>
      <w:r w:rsidR="00347627" w:rsidRPr="003C6DBD">
        <w:rPr>
          <w:rFonts w:ascii="Times New Roman" w:hAnsi="Times New Roman" w:cs="Times New Roman"/>
          <w:color w:val="0D0D0D" w:themeColor="text1" w:themeTint="F2"/>
          <w:sz w:val="24"/>
          <w:szCs w:val="24"/>
        </w:rPr>
        <w:t xml:space="preserve"> (ALL)</w:t>
      </w:r>
      <w:r w:rsidRPr="003C6DBD">
        <w:rPr>
          <w:rFonts w:ascii="Times New Roman" w:hAnsi="Times New Roman" w:cs="Times New Roman"/>
          <w:color w:val="0D0D0D" w:themeColor="text1" w:themeTint="F2"/>
          <w:sz w:val="24"/>
          <w:szCs w:val="24"/>
        </w:rPr>
        <w:t>, 1</w:t>
      </w:r>
      <w:r w:rsidR="00374DD9" w:rsidRPr="003C6DBD">
        <w:rPr>
          <w:rFonts w:ascii="Times New Roman" w:hAnsi="Times New Roman" w:cs="Times New Roman"/>
          <w:color w:val="0D0D0D" w:themeColor="text1" w:themeTint="F2"/>
          <w:sz w:val="24"/>
          <w:szCs w:val="24"/>
        </w:rPr>
        <w:t>0</w:t>
      </w:r>
      <w:r w:rsidRPr="003C6DBD">
        <w:rPr>
          <w:rFonts w:ascii="Times New Roman" w:hAnsi="Times New Roman" w:cs="Times New Roman"/>
          <w:color w:val="0D0D0D" w:themeColor="text1" w:themeTint="F2"/>
          <w:sz w:val="24"/>
          <w:szCs w:val="24"/>
        </w:rPr>
        <w:t xml:space="preserve"> were classified as primary biofuels</w:t>
      </w:r>
      <w:r w:rsidR="00347627" w:rsidRPr="003C6DBD">
        <w:rPr>
          <w:rFonts w:ascii="Times New Roman" w:hAnsi="Times New Roman" w:cs="Times New Roman"/>
          <w:color w:val="0D0D0D" w:themeColor="text1" w:themeTint="F2"/>
          <w:sz w:val="24"/>
          <w:szCs w:val="24"/>
        </w:rPr>
        <w:t xml:space="preserve"> (PB)</w:t>
      </w:r>
      <w:r w:rsidRPr="003C6DBD">
        <w:rPr>
          <w:rFonts w:ascii="Times New Roman" w:hAnsi="Times New Roman" w:cs="Times New Roman"/>
          <w:color w:val="0D0D0D" w:themeColor="text1" w:themeTint="F2"/>
          <w:sz w:val="24"/>
          <w:szCs w:val="24"/>
        </w:rPr>
        <w:t>, and 1</w:t>
      </w:r>
      <w:r w:rsidR="007E7535" w:rsidRPr="003C6DBD">
        <w:rPr>
          <w:rFonts w:ascii="Times New Roman" w:hAnsi="Times New Roman" w:cs="Times New Roman"/>
          <w:color w:val="0D0D0D" w:themeColor="text1" w:themeTint="F2"/>
          <w:sz w:val="24"/>
          <w:szCs w:val="24"/>
        </w:rPr>
        <w:t>2</w:t>
      </w:r>
      <w:r w:rsidRPr="003C6DBD">
        <w:rPr>
          <w:rFonts w:ascii="Times New Roman" w:hAnsi="Times New Roman" w:cs="Times New Roman"/>
          <w:color w:val="0D0D0D" w:themeColor="text1" w:themeTint="F2"/>
          <w:sz w:val="24"/>
          <w:szCs w:val="24"/>
        </w:rPr>
        <w:t xml:space="preserve"> were classified as </w:t>
      </w:r>
      <w:r w:rsidR="00374DD9" w:rsidRPr="003C6DBD">
        <w:rPr>
          <w:rFonts w:ascii="Times New Roman" w:hAnsi="Times New Roman" w:cs="Times New Roman"/>
          <w:color w:val="0D0D0D" w:themeColor="text1" w:themeTint="F2"/>
          <w:sz w:val="24"/>
          <w:szCs w:val="24"/>
        </w:rPr>
        <w:t>secondary biofuels</w:t>
      </w:r>
      <w:r w:rsidR="00347627" w:rsidRPr="003C6DBD">
        <w:rPr>
          <w:rFonts w:ascii="Times New Roman" w:hAnsi="Times New Roman" w:cs="Times New Roman"/>
          <w:color w:val="0D0D0D" w:themeColor="text1" w:themeTint="F2"/>
          <w:sz w:val="24"/>
          <w:szCs w:val="24"/>
        </w:rPr>
        <w:t xml:space="preserve"> (SB)</w:t>
      </w:r>
      <w:r w:rsidRPr="003C6DBD">
        <w:rPr>
          <w:rFonts w:ascii="Times New Roman" w:hAnsi="Times New Roman" w:cs="Times New Roman"/>
          <w:color w:val="0D0D0D" w:themeColor="text1" w:themeTint="F2"/>
          <w:sz w:val="24"/>
          <w:szCs w:val="24"/>
        </w:rPr>
        <w:t xml:space="preserve">. The companies classified under the </w:t>
      </w:r>
      <w:r w:rsidR="009E304B" w:rsidRPr="003C6DBD">
        <w:rPr>
          <w:rFonts w:ascii="Times New Roman" w:hAnsi="Times New Roman" w:cs="Times New Roman"/>
          <w:color w:val="0D0D0D" w:themeColor="text1" w:themeTint="F2"/>
          <w:sz w:val="24"/>
          <w:szCs w:val="24"/>
        </w:rPr>
        <w:t>secondary biofuels</w:t>
      </w:r>
      <w:r w:rsidRPr="003C6DBD">
        <w:rPr>
          <w:rFonts w:ascii="Times New Roman" w:hAnsi="Times New Roman" w:cs="Times New Roman"/>
          <w:color w:val="0D0D0D" w:themeColor="text1" w:themeTint="F2"/>
          <w:sz w:val="24"/>
          <w:szCs w:val="24"/>
        </w:rPr>
        <w:t xml:space="preserve"> category were </w:t>
      </w:r>
      <w:r w:rsidR="0090315B" w:rsidRPr="003C6DBD">
        <w:rPr>
          <w:rFonts w:ascii="Times New Roman" w:hAnsi="Times New Roman" w:cs="Times New Roman"/>
          <w:color w:val="0D0D0D" w:themeColor="text1" w:themeTint="F2"/>
          <w:sz w:val="24"/>
          <w:szCs w:val="24"/>
        </w:rPr>
        <w:t>consisted of</w:t>
      </w:r>
      <w:r w:rsidRPr="003C6DBD">
        <w:rPr>
          <w:rFonts w:ascii="Times New Roman" w:hAnsi="Times New Roman" w:cs="Times New Roman"/>
          <w:color w:val="0D0D0D" w:themeColor="text1" w:themeTint="F2"/>
          <w:sz w:val="24"/>
          <w:szCs w:val="24"/>
        </w:rPr>
        <w:t xml:space="preserve"> companies</w:t>
      </w:r>
      <w:r w:rsidR="0090315B" w:rsidRPr="003C6DBD">
        <w:rPr>
          <w:rFonts w:ascii="Times New Roman" w:hAnsi="Times New Roman" w:cs="Times New Roman"/>
          <w:color w:val="0D0D0D" w:themeColor="text1" w:themeTint="F2"/>
          <w:sz w:val="24"/>
          <w:szCs w:val="24"/>
        </w:rPr>
        <w:t xml:space="preserve"> involved in </w:t>
      </w:r>
      <w:r w:rsidR="00A708FE" w:rsidRPr="003C6DBD">
        <w:rPr>
          <w:rFonts w:ascii="Times New Roman" w:hAnsi="Times New Roman" w:cs="Times New Roman"/>
          <w:color w:val="0D0D0D" w:themeColor="text1" w:themeTint="F2"/>
          <w:sz w:val="24"/>
          <w:szCs w:val="24"/>
        </w:rPr>
        <w:t xml:space="preserve">food and </w:t>
      </w:r>
      <w:r w:rsidR="0090315B" w:rsidRPr="003C6DBD">
        <w:rPr>
          <w:rFonts w:ascii="Times New Roman" w:hAnsi="Times New Roman" w:cs="Times New Roman"/>
          <w:color w:val="0D0D0D" w:themeColor="text1" w:themeTint="F2"/>
          <w:sz w:val="24"/>
          <w:szCs w:val="24"/>
        </w:rPr>
        <w:t>agribusinesses (</w:t>
      </w:r>
      <w:proofErr w:type="spellStart"/>
      <w:r w:rsidR="0090315B" w:rsidRPr="003C6DBD">
        <w:rPr>
          <w:rFonts w:ascii="Times New Roman" w:hAnsi="Times New Roman" w:cs="Times New Roman"/>
          <w:color w:val="0D0D0D" w:themeColor="text1" w:themeTint="F2"/>
          <w:sz w:val="24"/>
          <w:szCs w:val="24"/>
        </w:rPr>
        <w:t>Adecoagro</w:t>
      </w:r>
      <w:proofErr w:type="spellEnd"/>
      <w:r w:rsidR="0090315B" w:rsidRPr="003C6DBD">
        <w:rPr>
          <w:rFonts w:ascii="Times New Roman" w:hAnsi="Times New Roman" w:cs="Times New Roman"/>
          <w:color w:val="0D0D0D" w:themeColor="text1" w:themeTint="F2"/>
          <w:sz w:val="24"/>
          <w:szCs w:val="24"/>
        </w:rPr>
        <w:t xml:space="preserve"> SA, Archer-Daniels-Midland Company, Bunge Limited, </w:t>
      </w:r>
      <w:r w:rsidR="00904100" w:rsidRPr="003C6DBD">
        <w:rPr>
          <w:rFonts w:ascii="Times New Roman" w:hAnsi="Times New Roman" w:cs="Times New Roman"/>
          <w:color w:val="0D0D0D" w:themeColor="text1" w:themeTint="F2"/>
          <w:sz w:val="24"/>
          <w:szCs w:val="24"/>
        </w:rPr>
        <w:t xml:space="preserve">Darling Ingredients Inc., </w:t>
      </w:r>
      <w:r w:rsidR="0090315B" w:rsidRPr="003C6DBD">
        <w:rPr>
          <w:rFonts w:ascii="Times New Roman" w:hAnsi="Times New Roman" w:cs="Times New Roman"/>
          <w:color w:val="0D0D0D" w:themeColor="text1" w:themeTint="F2"/>
          <w:sz w:val="24"/>
          <w:szCs w:val="24"/>
        </w:rPr>
        <w:t xml:space="preserve">The Andersons), crude oil business (Royal Dutch Shell plc, </w:t>
      </w:r>
      <w:proofErr w:type="spellStart"/>
      <w:r w:rsidR="0090315B" w:rsidRPr="003C6DBD">
        <w:rPr>
          <w:rFonts w:ascii="Times New Roman" w:hAnsi="Times New Roman" w:cs="Times New Roman"/>
          <w:color w:val="0D0D0D" w:themeColor="text1" w:themeTint="F2"/>
          <w:sz w:val="24"/>
          <w:szCs w:val="24"/>
        </w:rPr>
        <w:t>Petróleo</w:t>
      </w:r>
      <w:proofErr w:type="spellEnd"/>
      <w:r w:rsidR="0090315B" w:rsidRPr="003C6DBD">
        <w:rPr>
          <w:rFonts w:ascii="Times New Roman" w:hAnsi="Times New Roman" w:cs="Times New Roman"/>
          <w:color w:val="0D0D0D" w:themeColor="text1" w:themeTint="F2"/>
          <w:sz w:val="24"/>
          <w:szCs w:val="24"/>
        </w:rPr>
        <w:t xml:space="preserve"> </w:t>
      </w:r>
      <w:proofErr w:type="spellStart"/>
      <w:r w:rsidR="0090315B" w:rsidRPr="003C6DBD">
        <w:rPr>
          <w:rFonts w:ascii="Times New Roman" w:hAnsi="Times New Roman" w:cs="Times New Roman"/>
          <w:color w:val="0D0D0D" w:themeColor="text1" w:themeTint="F2"/>
          <w:sz w:val="24"/>
          <w:szCs w:val="24"/>
        </w:rPr>
        <w:t>Brasileiro</w:t>
      </w:r>
      <w:proofErr w:type="spellEnd"/>
      <w:r w:rsidR="0090315B" w:rsidRPr="003C6DBD">
        <w:rPr>
          <w:rFonts w:ascii="Times New Roman" w:hAnsi="Times New Roman" w:cs="Times New Roman"/>
          <w:color w:val="0D0D0D" w:themeColor="text1" w:themeTint="F2"/>
          <w:sz w:val="24"/>
          <w:szCs w:val="24"/>
        </w:rPr>
        <w:t xml:space="preserve"> S.A. – Petrobras, Valero Energy Corporation, </w:t>
      </w:r>
      <w:proofErr w:type="spellStart"/>
      <w:r w:rsidR="0090315B" w:rsidRPr="003C6DBD">
        <w:rPr>
          <w:rFonts w:ascii="Times New Roman" w:hAnsi="Times New Roman" w:cs="Times New Roman"/>
          <w:color w:val="0D0D0D" w:themeColor="text1" w:themeTint="F2"/>
          <w:sz w:val="24"/>
          <w:szCs w:val="24"/>
        </w:rPr>
        <w:t>Delek</w:t>
      </w:r>
      <w:proofErr w:type="spellEnd"/>
      <w:r w:rsidR="0090315B" w:rsidRPr="003C6DBD">
        <w:rPr>
          <w:rFonts w:ascii="Times New Roman" w:hAnsi="Times New Roman" w:cs="Times New Roman"/>
          <w:color w:val="0D0D0D" w:themeColor="text1" w:themeTint="F2"/>
          <w:sz w:val="24"/>
          <w:szCs w:val="24"/>
        </w:rPr>
        <w:t xml:space="preserve"> US holdings, </w:t>
      </w:r>
      <w:proofErr w:type="spellStart"/>
      <w:r w:rsidR="0090315B" w:rsidRPr="003C6DBD">
        <w:rPr>
          <w:rFonts w:ascii="Times New Roman" w:hAnsi="Times New Roman" w:cs="Times New Roman"/>
          <w:color w:val="0D0D0D" w:themeColor="text1" w:themeTint="F2"/>
          <w:sz w:val="24"/>
          <w:szCs w:val="24"/>
        </w:rPr>
        <w:t>Ecopetrol</w:t>
      </w:r>
      <w:proofErr w:type="spellEnd"/>
      <w:r w:rsidR="0090315B" w:rsidRPr="003C6DBD">
        <w:rPr>
          <w:rFonts w:ascii="Times New Roman" w:hAnsi="Times New Roman" w:cs="Times New Roman"/>
          <w:color w:val="0D0D0D" w:themeColor="text1" w:themeTint="F2"/>
          <w:sz w:val="24"/>
          <w:szCs w:val="24"/>
        </w:rPr>
        <w:t xml:space="preserve"> SA), </w:t>
      </w:r>
      <w:r w:rsidR="00904100" w:rsidRPr="003C6DBD">
        <w:rPr>
          <w:rFonts w:ascii="Times New Roman" w:hAnsi="Times New Roman" w:cs="Times New Roman"/>
          <w:color w:val="0D0D0D" w:themeColor="text1" w:themeTint="F2"/>
          <w:sz w:val="24"/>
          <w:szCs w:val="24"/>
        </w:rPr>
        <w:t xml:space="preserve">renewable natural gas (Clean Energy Fuels corp.), and </w:t>
      </w:r>
      <w:r w:rsidR="0090315B" w:rsidRPr="003C6DBD">
        <w:rPr>
          <w:rFonts w:ascii="Times New Roman" w:hAnsi="Times New Roman" w:cs="Times New Roman"/>
          <w:color w:val="0D0D0D" w:themeColor="text1" w:themeTint="F2"/>
          <w:sz w:val="24"/>
          <w:szCs w:val="24"/>
        </w:rPr>
        <w:t>biofuel logistics (Green Plains Partners LP)</w:t>
      </w:r>
      <w:r w:rsidRPr="003C6DBD">
        <w:rPr>
          <w:rFonts w:ascii="Times New Roman" w:hAnsi="Times New Roman" w:cs="Times New Roman"/>
          <w:color w:val="0D0D0D" w:themeColor="text1" w:themeTint="F2"/>
          <w:sz w:val="24"/>
          <w:szCs w:val="24"/>
        </w:rPr>
        <w:t xml:space="preserve">. </w:t>
      </w:r>
      <w:r w:rsidR="00A708FE" w:rsidRPr="003C6DBD">
        <w:rPr>
          <w:rFonts w:ascii="Times New Roman" w:hAnsi="Times New Roman" w:cs="Times New Roman"/>
          <w:color w:val="0D0D0D" w:themeColor="text1" w:themeTint="F2"/>
          <w:sz w:val="24"/>
          <w:szCs w:val="24"/>
        </w:rPr>
        <w:t>The food and agribusiness dominant companies were probably looking to integrate biofuels and diversify their products. Similarly, t</w:t>
      </w:r>
      <w:r w:rsidRPr="003C6DBD">
        <w:rPr>
          <w:rFonts w:ascii="Times New Roman" w:hAnsi="Times New Roman" w:cs="Times New Roman"/>
          <w:color w:val="0D0D0D" w:themeColor="text1" w:themeTint="F2"/>
          <w:sz w:val="24"/>
          <w:szCs w:val="24"/>
        </w:rPr>
        <w:t xml:space="preserve">he crude oil </w:t>
      </w:r>
      <w:r w:rsidR="00610B27" w:rsidRPr="003C6DBD">
        <w:rPr>
          <w:rFonts w:ascii="Times New Roman" w:hAnsi="Times New Roman" w:cs="Times New Roman"/>
          <w:color w:val="0D0D0D" w:themeColor="text1" w:themeTint="F2"/>
          <w:sz w:val="24"/>
          <w:szCs w:val="24"/>
        </w:rPr>
        <w:t xml:space="preserve">dominant </w:t>
      </w:r>
      <w:r w:rsidRPr="003C6DBD">
        <w:rPr>
          <w:rFonts w:ascii="Times New Roman" w:hAnsi="Times New Roman" w:cs="Times New Roman"/>
          <w:color w:val="0D0D0D" w:themeColor="text1" w:themeTint="F2"/>
          <w:sz w:val="24"/>
          <w:szCs w:val="24"/>
        </w:rPr>
        <w:t xml:space="preserve">companies were probably involved in the biofuel business to reduce </w:t>
      </w:r>
      <w:r w:rsidR="001D58E7" w:rsidRPr="003C6DBD">
        <w:rPr>
          <w:rFonts w:ascii="Times New Roman" w:hAnsi="Times New Roman" w:cs="Times New Roman"/>
          <w:color w:val="0D0D0D" w:themeColor="text1" w:themeTint="F2"/>
          <w:sz w:val="24"/>
          <w:szCs w:val="24"/>
        </w:rPr>
        <w:t xml:space="preserve">their </w:t>
      </w:r>
      <w:r w:rsidRPr="003C6DBD">
        <w:rPr>
          <w:rFonts w:ascii="Times New Roman" w:hAnsi="Times New Roman" w:cs="Times New Roman"/>
          <w:color w:val="0D0D0D" w:themeColor="text1" w:themeTint="F2"/>
          <w:sz w:val="24"/>
          <w:szCs w:val="24"/>
        </w:rPr>
        <w:t xml:space="preserve">dependency on other biofuel </w:t>
      </w:r>
      <w:r w:rsidR="00A708FE" w:rsidRPr="003C6DBD">
        <w:rPr>
          <w:rFonts w:ascii="Times New Roman" w:hAnsi="Times New Roman" w:cs="Times New Roman"/>
          <w:color w:val="0D0D0D" w:themeColor="text1" w:themeTint="F2"/>
          <w:sz w:val="24"/>
          <w:szCs w:val="24"/>
        </w:rPr>
        <w:t>companies and</w:t>
      </w:r>
      <w:r w:rsidRPr="003C6DBD">
        <w:rPr>
          <w:rFonts w:ascii="Times New Roman" w:hAnsi="Times New Roman" w:cs="Times New Roman"/>
          <w:color w:val="0D0D0D" w:themeColor="text1" w:themeTint="F2"/>
          <w:sz w:val="24"/>
          <w:szCs w:val="24"/>
        </w:rPr>
        <w:t xml:space="preserve"> be self-dependent to meet the biofuel blending obligation</w:t>
      </w:r>
      <w:r w:rsidR="00A708FE" w:rsidRPr="003C6DBD">
        <w:rPr>
          <w:rFonts w:ascii="Times New Roman" w:hAnsi="Times New Roman" w:cs="Times New Roman"/>
          <w:color w:val="0D0D0D" w:themeColor="text1" w:themeTint="F2"/>
          <w:sz w:val="24"/>
          <w:szCs w:val="24"/>
        </w:rPr>
        <w:t xml:space="preserve"> as required by EPA in US and European Union (EU) in Europe</w:t>
      </w:r>
      <w:r w:rsidRPr="003C6DBD">
        <w:rPr>
          <w:rFonts w:ascii="Times New Roman" w:hAnsi="Times New Roman" w:cs="Times New Roman"/>
          <w:color w:val="0D0D0D" w:themeColor="text1" w:themeTint="F2"/>
          <w:sz w:val="24"/>
          <w:szCs w:val="24"/>
        </w:rPr>
        <w:t xml:space="preserve">. </w:t>
      </w:r>
      <w:r w:rsidR="00146650" w:rsidRPr="003C6DBD">
        <w:rPr>
          <w:rFonts w:ascii="Times New Roman" w:hAnsi="Times New Roman" w:cs="Times New Roman"/>
          <w:color w:val="0D0D0D" w:themeColor="text1" w:themeTint="F2"/>
          <w:sz w:val="24"/>
          <w:szCs w:val="24"/>
        </w:rPr>
        <w:t xml:space="preserve">The sample companies were classified into two groups because we could not find any standard benchmark to compare </w:t>
      </w:r>
      <w:r w:rsidR="00062700" w:rsidRPr="003C6DBD">
        <w:rPr>
          <w:rFonts w:ascii="Times New Roman" w:hAnsi="Times New Roman" w:cs="Times New Roman"/>
          <w:color w:val="0D0D0D" w:themeColor="text1" w:themeTint="F2"/>
          <w:sz w:val="24"/>
          <w:szCs w:val="24"/>
        </w:rPr>
        <w:t xml:space="preserve">their </w:t>
      </w:r>
      <w:r w:rsidR="00146650" w:rsidRPr="003C6DBD">
        <w:rPr>
          <w:rFonts w:ascii="Times New Roman" w:hAnsi="Times New Roman" w:cs="Times New Roman"/>
          <w:color w:val="0D0D0D" w:themeColor="text1" w:themeTint="F2"/>
          <w:sz w:val="24"/>
          <w:szCs w:val="24"/>
        </w:rPr>
        <w:t xml:space="preserve">financial performance. Also, our classification is done in such a way that we can compare the financial performance of companies that are dominant in biofuel production (Primary Biofuels) and companies that have small share of biofuel business (Others). </w:t>
      </w:r>
      <w:r w:rsidR="00D76B49" w:rsidRPr="003C6DBD">
        <w:rPr>
          <w:rFonts w:ascii="Times New Roman" w:hAnsi="Times New Roman" w:cs="Times New Roman"/>
          <w:color w:val="0D0D0D" w:themeColor="text1" w:themeTint="F2"/>
          <w:sz w:val="24"/>
          <w:szCs w:val="24"/>
        </w:rPr>
        <w:t xml:space="preserve">Table </w:t>
      </w:r>
      <w:r w:rsidR="000A294A" w:rsidRPr="003C6DBD">
        <w:rPr>
          <w:rFonts w:ascii="Times New Roman" w:hAnsi="Times New Roman" w:cs="Times New Roman"/>
          <w:color w:val="0D0D0D" w:themeColor="text1" w:themeTint="F2"/>
          <w:sz w:val="24"/>
          <w:szCs w:val="24"/>
        </w:rPr>
        <w:t xml:space="preserve">8 </w:t>
      </w:r>
      <w:r w:rsidR="00D76B49" w:rsidRPr="003C6DBD">
        <w:rPr>
          <w:rFonts w:ascii="Times New Roman" w:hAnsi="Times New Roman" w:cs="Times New Roman"/>
          <w:color w:val="0D0D0D" w:themeColor="text1" w:themeTint="F2"/>
          <w:sz w:val="24"/>
          <w:szCs w:val="24"/>
        </w:rPr>
        <w:t xml:space="preserve">lists the </w:t>
      </w:r>
      <w:r w:rsidR="00C602BD" w:rsidRPr="003C6DBD">
        <w:rPr>
          <w:rFonts w:ascii="Times New Roman" w:hAnsi="Times New Roman" w:cs="Times New Roman"/>
          <w:color w:val="0D0D0D" w:themeColor="text1" w:themeTint="F2"/>
          <w:sz w:val="24"/>
          <w:szCs w:val="24"/>
        </w:rPr>
        <w:t>names</w:t>
      </w:r>
      <w:r w:rsidR="00D76B49" w:rsidRPr="003C6DBD">
        <w:rPr>
          <w:rFonts w:ascii="Times New Roman" w:hAnsi="Times New Roman" w:cs="Times New Roman"/>
          <w:color w:val="0D0D0D" w:themeColor="text1" w:themeTint="F2"/>
          <w:sz w:val="24"/>
          <w:szCs w:val="24"/>
        </w:rPr>
        <w:t xml:space="preserve"> of firms in </w:t>
      </w:r>
      <w:r w:rsidR="00C602BD" w:rsidRPr="003C6DBD">
        <w:rPr>
          <w:rFonts w:ascii="Times New Roman" w:hAnsi="Times New Roman" w:cs="Times New Roman"/>
          <w:color w:val="0D0D0D" w:themeColor="text1" w:themeTint="F2"/>
          <w:sz w:val="24"/>
          <w:szCs w:val="24"/>
        </w:rPr>
        <w:t xml:space="preserve">the </w:t>
      </w:r>
      <w:r w:rsidR="00D76B49" w:rsidRPr="003C6DBD">
        <w:rPr>
          <w:rFonts w:ascii="Times New Roman" w:hAnsi="Times New Roman" w:cs="Times New Roman"/>
          <w:color w:val="0D0D0D" w:themeColor="text1" w:themeTint="F2"/>
          <w:sz w:val="24"/>
          <w:szCs w:val="24"/>
        </w:rPr>
        <w:t>primary biofuel</w:t>
      </w:r>
      <w:r w:rsidR="00F52F4B" w:rsidRPr="003C6DBD">
        <w:rPr>
          <w:rFonts w:ascii="Times New Roman" w:hAnsi="Times New Roman" w:cs="Times New Roman"/>
          <w:color w:val="0D0D0D" w:themeColor="text1" w:themeTint="F2"/>
          <w:sz w:val="24"/>
          <w:szCs w:val="24"/>
        </w:rPr>
        <w:t xml:space="preserve"> category</w:t>
      </w:r>
      <w:r w:rsidR="00D76B49" w:rsidRPr="003C6DBD">
        <w:rPr>
          <w:rFonts w:ascii="Times New Roman" w:hAnsi="Times New Roman" w:cs="Times New Roman"/>
          <w:color w:val="0D0D0D" w:themeColor="text1" w:themeTint="F2"/>
          <w:sz w:val="24"/>
          <w:szCs w:val="24"/>
        </w:rPr>
        <w:t>.</w:t>
      </w:r>
      <w:r w:rsidR="00F52F4B" w:rsidRPr="003C6DBD">
        <w:rPr>
          <w:rFonts w:ascii="Times New Roman" w:hAnsi="Times New Roman" w:cs="Times New Roman"/>
          <w:color w:val="0D0D0D" w:themeColor="text1" w:themeTint="F2"/>
          <w:sz w:val="24"/>
          <w:szCs w:val="24"/>
        </w:rPr>
        <w:t xml:space="preserve"> Table</w:t>
      </w:r>
      <w:r w:rsidR="000A294A" w:rsidRPr="003C6DBD">
        <w:rPr>
          <w:rFonts w:ascii="Times New Roman" w:hAnsi="Times New Roman" w:cs="Times New Roman"/>
          <w:color w:val="0D0D0D" w:themeColor="text1" w:themeTint="F2"/>
          <w:sz w:val="24"/>
          <w:szCs w:val="24"/>
        </w:rPr>
        <w:t xml:space="preserve"> 9</w:t>
      </w:r>
      <w:r w:rsidR="00F52F4B" w:rsidRPr="003C6DBD">
        <w:rPr>
          <w:rFonts w:ascii="Times New Roman" w:hAnsi="Times New Roman" w:cs="Times New Roman"/>
          <w:color w:val="0D0D0D" w:themeColor="text1" w:themeTint="F2"/>
          <w:sz w:val="24"/>
          <w:szCs w:val="24"/>
        </w:rPr>
        <w:t xml:space="preserve"> lists the </w:t>
      </w:r>
      <w:r w:rsidR="00C602BD" w:rsidRPr="003C6DBD">
        <w:rPr>
          <w:rFonts w:ascii="Times New Roman" w:hAnsi="Times New Roman" w:cs="Times New Roman"/>
          <w:color w:val="0D0D0D" w:themeColor="text1" w:themeTint="F2"/>
          <w:sz w:val="24"/>
          <w:szCs w:val="24"/>
        </w:rPr>
        <w:t>names</w:t>
      </w:r>
      <w:r w:rsidR="00F52F4B" w:rsidRPr="003C6DBD">
        <w:rPr>
          <w:rFonts w:ascii="Times New Roman" w:hAnsi="Times New Roman" w:cs="Times New Roman"/>
          <w:color w:val="0D0D0D" w:themeColor="text1" w:themeTint="F2"/>
          <w:sz w:val="24"/>
          <w:szCs w:val="24"/>
        </w:rPr>
        <w:t xml:space="preserve"> of firms in </w:t>
      </w:r>
      <w:r w:rsidR="00C602BD" w:rsidRPr="003C6DBD">
        <w:rPr>
          <w:rFonts w:ascii="Times New Roman" w:hAnsi="Times New Roman" w:cs="Times New Roman"/>
          <w:color w:val="0D0D0D" w:themeColor="text1" w:themeTint="F2"/>
          <w:sz w:val="24"/>
          <w:szCs w:val="24"/>
        </w:rPr>
        <w:t xml:space="preserve">the </w:t>
      </w:r>
      <w:r w:rsidR="00AE125A" w:rsidRPr="003C6DBD">
        <w:rPr>
          <w:rFonts w:ascii="Times New Roman" w:hAnsi="Times New Roman" w:cs="Times New Roman"/>
          <w:color w:val="0D0D0D" w:themeColor="text1" w:themeTint="F2"/>
          <w:sz w:val="24"/>
          <w:szCs w:val="24"/>
        </w:rPr>
        <w:t>secondary biofuel</w:t>
      </w:r>
      <w:r w:rsidR="00F52F4B" w:rsidRPr="003C6DBD">
        <w:rPr>
          <w:rFonts w:ascii="Times New Roman" w:hAnsi="Times New Roman" w:cs="Times New Roman"/>
          <w:color w:val="0D0D0D" w:themeColor="text1" w:themeTint="F2"/>
          <w:sz w:val="24"/>
          <w:szCs w:val="24"/>
        </w:rPr>
        <w:t xml:space="preserve"> category.</w:t>
      </w:r>
    </w:p>
    <w:p w14:paraId="67869954" w14:textId="7E94D3A4" w:rsidR="00F42934" w:rsidRPr="003C6DBD" w:rsidRDefault="00F42934" w:rsidP="00D35A8A">
      <w:pPr>
        <w:pStyle w:val="Heading4"/>
        <w:rPr>
          <w:color w:val="0D0D0D" w:themeColor="text1" w:themeTint="F2"/>
        </w:rPr>
      </w:pPr>
      <w:r w:rsidRPr="003C6DBD">
        <w:rPr>
          <w:color w:val="0D0D0D" w:themeColor="text1" w:themeTint="F2"/>
        </w:rPr>
        <w:lastRenderedPageBreak/>
        <w:t>4.3.3 Financial performance analysis</w:t>
      </w:r>
    </w:p>
    <w:p w14:paraId="0EA354C3" w14:textId="5B8251E3" w:rsidR="002778BB" w:rsidRPr="003C6DBD" w:rsidRDefault="00F42934" w:rsidP="00F42934">
      <w:pPr>
        <w:spacing w:before="16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b/>
      </w:r>
      <w:r w:rsidR="002778BB" w:rsidRPr="003C6DBD">
        <w:rPr>
          <w:rFonts w:ascii="Times New Roman" w:hAnsi="Times New Roman" w:cs="Times New Roman"/>
          <w:color w:val="0D0D0D" w:themeColor="text1" w:themeTint="F2"/>
          <w:sz w:val="24"/>
          <w:szCs w:val="24"/>
        </w:rPr>
        <w:t xml:space="preserve">The financial ratios and formulas to calculate the financial ratios used in our analysis are reported in Table 10. The formulas used to calculate the financial ratios are based on the guidelines of the Standard and Poor’s database accessed through the University of Tennessee at Knoxville, library services. We conduct the following analyses to evaluate the financial performance of the sample of biofuel companies as done by </w:t>
      </w:r>
      <w:r w:rsidR="002778BB" w:rsidRPr="003C6DBD">
        <w:rPr>
          <w:rFonts w:ascii="Times New Roman" w:hAnsi="Times New Roman" w:cs="Times New Roman"/>
          <w:color w:val="0D0D0D" w:themeColor="text1" w:themeTint="F2"/>
          <w:sz w:val="24"/>
          <w:szCs w:val="24"/>
        </w:rPr>
        <w:fldChar w:fldCharType="begin"/>
      </w:r>
      <w:r w:rsidR="002778BB" w:rsidRPr="003C6DBD">
        <w:rPr>
          <w:rFonts w:ascii="Times New Roman" w:hAnsi="Times New Roman" w:cs="Times New Roman"/>
          <w:color w:val="0D0D0D" w:themeColor="text1" w:themeTint="F2"/>
          <w:sz w:val="24"/>
          <w:szCs w:val="24"/>
        </w:rPr>
        <w:instrText xml:space="preserve"> ADDIN ZOTERO_ITEM CSL_CITATION {"citationID":"UHubUoyl","properties":{"custom":"Trejo-Pech et al. (2023)","formattedCitation":"Trejo-Pech et al. (2023)","plainCitation":"Trejo-Pech et al. (2023)","noteIndex":0},"citationItems":[{"id":183,"uris":["http://zotero.org/users/8949154/items/GSWF26NN"],"itemData":{"id":183,"type":"article-journal","container-title":"Agricultural Finance Review","title":"How does the financial performance of sugar-using firms compare to other agribusinesses? An accounting and economic profit rates analysis. (Forthcoming).","author":[{"family":"Trejo-Pech","given":"C."},{"family":"DeLong","given":"K."},{"family":"Johansson","given":"R."}],"issued":{"date-parts":[["2023"]]}}}],"schema":"https://github.com/citation-style-language/schema/raw/master/csl-citation.json"} </w:instrText>
      </w:r>
      <w:r w:rsidR="002778BB" w:rsidRPr="003C6DBD">
        <w:rPr>
          <w:rFonts w:ascii="Times New Roman" w:hAnsi="Times New Roman" w:cs="Times New Roman"/>
          <w:color w:val="0D0D0D" w:themeColor="text1" w:themeTint="F2"/>
          <w:sz w:val="24"/>
          <w:szCs w:val="24"/>
        </w:rPr>
        <w:fldChar w:fldCharType="separate"/>
      </w:r>
      <w:r w:rsidR="002778BB" w:rsidRPr="003C6DBD">
        <w:rPr>
          <w:rFonts w:ascii="Times New Roman" w:hAnsi="Times New Roman" w:cs="Times New Roman"/>
          <w:color w:val="0D0D0D" w:themeColor="text1" w:themeTint="F2"/>
          <w:sz w:val="24"/>
          <w:szCs w:val="24"/>
        </w:rPr>
        <w:t>Trejo-Pech et al. (2023)</w:t>
      </w:r>
      <w:r w:rsidR="002778BB" w:rsidRPr="003C6DBD">
        <w:rPr>
          <w:rFonts w:ascii="Times New Roman" w:hAnsi="Times New Roman" w:cs="Times New Roman"/>
          <w:color w:val="0D0D0D" w:themeColor="text1" w:themeTint="F2"/>
          <w:sz w:val="24"/>
          <w:szCs w:val="24"/>
        </w:rPr>
        <w:fldChar w:fldCharType="end"/>
      </w:r>
      <w:r w:rsidR="00CA37F6" w:rsidRPr="003C6DBD">
        <w:rPr>
          <w:rFonts w:ascii="Times New Roman" w:hAnsi="Times New Roman" w:cs="Times New Roman"/>
          <w:color w:val="0D0D0D" w:themeColor="text1" w:themeTint="F2"/>
          <w:sz w:val="24"/>
          <w:szCs w:val="24"/>
        </w:rPr>
        <w:t xml:space="preserve">: </w:t>
      </w:r>
      <w:r w:rsidR="002778BB" w:rsidRPr="003C6DBD">
        <w:rPr>
          <w:rFonts w:ascii="Times New Roman" w:hAnsi="Times New Roman" w:cs="Times New Roman"/>
          <w:color w:val="0D0D0D" w:themeColor="text1" w:themeTint="F2"/>
          <w:sz w:val="24"/>
          <w:szCs w:val="24"/>
        </w:rPr>
        <w:t>1. Compare the financial ratios; 2. Conduct trend analysis of selected financial ratios; 3. Conduct trend analysis of cash flows; and 4. Analyze the stock returns of PB, SB, and ALL portfolio.</w:t>
      </w:r>
    </w:p>
    <w:p w14:paraId="65F3066A" w14:textId="4F768829" w:rsidR="00F20466" w:rsidRPr="003C6DBD" w:rsidRDefault="002377C9" w:rsidP="002778BB">
      <w:pPr>
        <w:spacing w:before="160"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We use financial ratios to compare the financial performance of firms in the primary biofuel category to the firms in secondary biofuel category. The firms in the secondary biofuels category are used as the benchmark to compare the financial performance of primary biofuel firms. </w:t>
      </w:r>
      <w:r w:rsidR="00626F3E" w:rsidRPr="003C6DBD">
        <w:rPr>
          <w:rFonts w:ascii="Times New Roman" w:hAnsi="Times New Roman" w:cs="Times New Roman"/>
          <w:color w:val="0D0D0D" w:themeColor="text1" w:themeTint="F2"/>
          <w:sz w:val="24"/>
          <w:szCs w:val="24"/>
        </w:rPr>
        <w:t>H</w:t>
      </w:r>
      <w:r w:rsidR="00F42934" w:rsidRPr="003C6DBD">
        <w:rPr>
          <w:rFonts w:ascii="Times New Roman" w:hAnsi="Times New Roman" w:cs="Times New Roman"/>
          <w:color w:val="0D0D0D" w:themeColor="text1" w:themeTint="F2"/>
          <w:sz w:val="24"/>
          <w:szCs w:val="24"/>
        </w:rPr>
        <w:t xml:space="preserve">istograms </w:t>
      </w:r>
      <w:r w:rsidR="00626F3E" w:rsidRPr="003C6DBD">
        <w:rPr>
          <w:rFonts w:ascii="Times New Roman" w:hAnsi="Times New Roman" w:cs="Times New Roman"/>
          <w:color w:val="0D0D0D" w:themeColor="text1" w:themeTint="F2"/>
          <w:sz w:val="24"/>
          <w:szCs w:val="24"/>
        </w:rPr>
        <w:t xml:space="preserve">are used </w:t>
      </w:r>
      <w:r w:rsidR="00F42934" w:rsidRPr="003C6DBD">
        <w:rPr>
          <w:rFonts w:ascii="Times New Roman" w:hAnsi="Times New Roman" w:cs="Times New Roman"/>
          <w:color w:val="0D0D0D" w:themeColor="text1" w:themeTint="F2"/>
          <w:sz w:val="24"/>
          <w:szCs w:val="24"/>
        </w:rPr>
        <w:t xml:space="preserve">to visualize the probability distribution of </w:t>
      </w:r>
      <w:r w:rsidR="00857F7A" w:rsidRPr="003C6DBD">
        <w:rPr>
          <w:rFonts w:ascii="Times New Roman" w:hAnsi="Times New Roman" w:cs="Times New Roman"/>
          <w:color w:val="0D0D0D" w:themeColor="text1" w:themeTint="F2"/>
          <w:sz w:val="24"/>
          <w:szCs w:val="24"/>
        </w:rPr>
        <w:t>financial</w:t>
      </w:r>
      <w:r w:rsidR="00F42934" w:rsidRPr="003C6DBD">
        <w:rPr>
          <w:rFonts w:ascii="Times New Roman" w:hAnsi="Times New Roman" w:cs="Times New Roman"/>
          <w:color w:val="0D0D0D" w:themeColor="text1" w:themeTint="F2"/>
          <w:sz w:val="24"/>
          <w:szCs w:val="24"/>
        </w:rPr>
        <w:t xml:space="preserve"> data</w:t>
      </w:r>
      <w:r w:rsidR="00F42934" w:rsidRPr="003C6DBD">
        <w:rPr>
          <w:rFonts w:ascii="Times New Roman" w:hAnsi="Times New Roman" w:cs="Times New Roman"/>
          <w:b/>
          <w:bCs/>
          <w:color w:val="0D0D0D" w:themeColor="text1" w:themeTint="F2"/>
          <w:sz w:val="24"/>
          <w:szCs w:val="24"/>
        </w:rPr>
        <w:t xml:space="preserve">. </w:t>
      </w:r>
      <w:r w:rsidR="00F42934" w:rsidRPr="003C6DBD">
        <w:rPr>
          <w:rFonts w:ascii="Times New Roman" w:hAnsi="Times New Roman" w:cs="Times New Roman"/>
          <w:color w:val="0D0D0D" w:themeColor="text1" w:themeTint="F2"/>
          <w:sz w:val="24"/>
          <w:szCs w:val="24"/>
        </w:rPr>
        <w:t>Kolmogorov-Smirnov (KS) test</w:t>
      </w:r>
      <w:r w:rsidR="00626F3E" w:rsidRPr="003C6DBD">
        <w:rPr>
          <w:rFonts w:ascii="Times New Roman" w:hAnsi="Times New Roman" w:cs="Times New Roman"/>
          <w:color w:val="0D0D0D" w:themeColor="text1" w:themeTint="F2"/>
          <w:sz w:val="24"/>
          <w:szCs w:val="24"/>
        </w:rPr>
        <w:t>s are used to</w:t>
      </w:r>
      <w:r w:rsidR="00F42934" w:rsidRPr="003C6DBD">
        <w:rPr>
          <w:rFonts w:ascii="Times New Roman" w:hAnsi="Times New Roman" w:cs="Times New Roman"/>
          <w:color w:val="0D0D0D" w:themeColor="text1" w:themeTint="F2"/>
          <w:sz w:val="24"/>
          <w:szCs w:val="24"/>
        </w:rPr>
        <w:t xml:space="preserve"> statistically compare and </w:t>
      </w:r>
      <w:r w:rsidR="00626F3E" w:rsidRPr="003C6DBD">
        <w:rPr>
          <w:rFonts w:ascii="Times New Roman" w:hAnsi="Times New Roman" w:cs="Times New Roman"/>
          <w:color w:val="0D0D0D" w:themeColor="text1" w:themeTint="F2"/>
          <w:sz w:val="24"/>
          <w:szCs w:val="24"/>
        </w:rPr>
        <w:t xml:space="preserve">confirm whether the data is normally distributed </w:t>
      </w:r>
      <w:r w:rsidR="00F42934" w:rsidRPr="003C6DBD">
        <w:rPr>
          <w:rFonts w:ascii="Times New Roman" w:hAnsi="Times New Roman" w:cs="Times New Roman"/>
          <w:color w:val="0D0D0D" w:themeColor="text1" w:themeTint="F2"/>
          <w:sz w:val="24"/>
          <w:szCs w:val="24"/>
        </w:rPr>
        <w:fldChar w:fldCharType="begin"/>
      </w:r>
      <w:r w:rsidR="00F42934" w:rsidRPr="003C6DBD">
        <w:rPr>
          <w:rFonts w:ascii="Times New Roman" w:hAnsi="Times New Roman" w:cs="Times New Roman"/>
          <w:color w:val="0D0D0D" w:themeColor="text1" w:themeTint="F2"/>
          <w:sz w:val="24"/>
          <w:szCs w:val="24"/>
        </w:rPr>
        <w:instrText xml:space="preserve"> ADDIN ZOTERO_ITEM CSL_CITATION {"citationID":"mq41ttxh","properties":{"formattedCitation":"(Massey Jr, 1951)","plainCitation":"(Massey Jr, 1951)","noteIndex":0},"citationItems":[{"id":588,"uris":["http://zotero.org/users/8949154/items/QTWWP2UQ"],"itemData":{"id":588,"type":"article-journal","container-title":"Journal of the American statistical Association","issue":"253","note":"publisher: Taylor &amp; Francis","page":"68–78","source":"Google Scholar","title":"The Kolmogorov-Smirnov test for goodness of fit","volume":"46","author":[{"family":"Massey Jr","given":"Frank J."}],"issued":{"date-parts":[["1951"]]}}}],"schema":"https://github.com/citation-style-language/schema/raw/master/csl-citation.json"} </w:instrText>
      </w:r>
      <w:r w:rsidR="00F42934" w:rsidRPr="003C6DBD">
        <w:rPr>
          <w:rFonts w:ascii="Times New Roman" w:hAnsi="Times New Roman" w:cs="Times New Roman"/>
          <w:color w:val="0D0D0D" w:themeColor="text1" w:themeTint="F2"/>
          <w:sz w:val="24"/>
          <w:szCs w:val="24"/>
        </w:rPr>
        <w:fldChar w:fldCharType="separate"/>
      </w:r>
      <w:r w:rsidR="00F42934" w:rsidRPr="003C6DBD">
        <w:rPr>
          <w:rFonts w:ascii="Times New Roman" w:hAnsi="Times New Roman" w:cs="Times New Roman"/>
          <w:color w:val="0D0D0D" w:themeColor="text1" w:themeTint="F2"/>
          <w:sz w:val="24"/>
          <w:szCs w:val="24"/>
        </w:rPr>
        <w:t>(Massey Jr, 1951)</w:t>
      </w:r>
      <w:r w:rsidR="00F42934" w:rsidRPr="003C6DBD">
        <w:rPr>
          <w:rFonts w:ascii="Times New Roman" w:hAnsi="Times New Roman" w:cs="Times New Roman"/>
          <w:color w:val="0D0D0D" w:themeColor="text1" w:themeTint="F2"/>
          <w:sz w:val="24"/>
          <w:szCs w:val="24"/>
        </w:rPr>
        <w:fldChar w:fldCharType="end"/>
      </w:r>
      <w:r w:rsidR="00F42934" w:rsidRPr="003C6DBD">
        <w:rPr>
          <w:rFonts w:ascii="Times New Roman" w:hAnsi="Times New Roman" w:cs="Times New Roman"/>
          <w:color w:val="0D0D0D" w:themeColor="text1" w:themeTint="F2"/>
          <w:sz w:val="24"/>
          <w:szCs w:val="24"/>
        </w:rPr>
        <w:t>. The null hypothesis (H</w:t>
      </w:r>
      <w:r w:rsidR="00F42934" w:rsidRPr="003C6DBD">
        <w:rPr>
          <w:rFonts w:ascii="Times New Roman" w:hAnsi="Times New Roman" w:cs="Times New Roman"/>
          <w:color w:val="0D0D0D" w:themeColor="text1" w:themeTint="F2"/>
          <w:sz w:val="24"/>
          <w:szCs w:val="24"/>
          <w:vertAlign w:val="subscript"/>
        </w:rPr>
        <w:t>0</w:t>
      </w:r>
      <w:r w:rsidR="00F42934" w:rsidRPr="003C6DBD">
        <w:rPr>
          <w:rFonts w:ascii="Times New Roman" w:hAnsi="Times New Roman" w:cs="Times New Roman"/>
          <w:color w:val="0D0D0D" w:themeColor="text1" w:themeTint="F2"/>
          <w:sz w:val="24"/>
          <w:szCs w:val="24"/>
        </w:rPr>
        <w:t>) is that the data</w:t>
      </w:r>
      <w:r w:rsidR="00AB5FF1" w:rsidRPr="003C6DBD">
        <w:rPr>
          <w:rFonts w:ascii="Times New Roman" w:hAnsi="Times New Roman" w:cs="Times New Roman"/>
          <w:color w:val="0D0D0D" w:themeColor="text1" w:themeTint="F2"/>
          <w:sz w:val="24"/>
          <w:szCs w:val="24"/>
        </w:rPr>
        <w:t xml:space="preserve"> follows a normal distribution</w:t>
      </w:r>
      <w:r w:rsidR="00F42934" w:rsidRPr="003C6DBD">
        <w:rPr>
          <w:rFonts w:ascii="Times New Roman" w:hAnsi="Times New Roman" w:cs="Times New Roman"/>
          <w:color w:val="0D0D0D" w:themeColor="text1" w:themeTint="F2"/>
          <w:sz w:val="24"/>
          <w:szCs w:val="24"/>
        </w:rPr>
        <w:t xml:space="preserve">. </w:t>
      </w:r>
      <w:r w:rsidR="00626F3E" w:rsidRPr="003C6DBD">
        <w:rPr>
          <w:rFonts w:ascii="Times New Roman" w:hAnsi="Times New Roman" w:cs="Times New Roman"/>
          <w:color w:val="0D0D0D" w:themeColor="text1" w:themeTint="F2"/>
          <w:sz w:val="24"/>
          <w:szCs w:val="24"/>
        </w:rPr>
        <w:t>Non</w:t>
      </w:r>
      <w:r w:rsidR="00F42934" w:rsidRPr="003C6DBD">
        <w:rPr>
          <w:rFonts w:ascii="Times New Roman" w:hAnsi="Times New Roman" w:cs="Times New Roman"/>
          <w:color w:val="0D0D0D" w:themeColor="text1" w:themeTint="F2"/>
          <w:sz w:val="24"/>
          <w:szCs w:val="24"/>
        </w:rPr>
        <w:t>-parametric test</w:t>
      </w:r>
      <w:r w:rsidR="00626F3E" w:rsidRPr="003C6DBD">
        <w:rPr>
          <w:rFonts w:ascii="Times New Roman" w:hAnsi="Times New Roman" w:cs="Times New Roman"/>
          <w:color w:val="0D0D0D" w:themeColor="text1" w:themeTint="F2"/>
          <w:sz w:val="24"/>
          <w:szCs w:val="24"/>
        </w:rPr>
        <w:t>s are</w:t>
      </w:r>
      <w:r w:rsidR="00F42934" w:rsidRPr="003C6DBD">
        <w:rPr>
          <w:rFonts w:ascii="Times New Roman" w:hAnsi="Times New Roman" w:cs="Times New Roman"/>
          <w:color w:val="0D0D0D" w:themeColor="text1" w:themeTint="F2"/>
          <w:sz w:val="24"/>
          <w:szCs w:val="24"/>
        </w:rPr>
        <w:t xml:space="preserve"> commonly used </w:t>
      </w:r>
      <w:r w:rsidR="00626F3E" w:rsidRPr="003C6DBD">
        <w:rPr>
          <w:rFonts w:ascii="Times New Roman" w:hAnsi="Times New Roman" w:cs="Times New Roman"/>
          <w:color w:val="0D0D0D" w:themeColor="text1" w:themeTint="F2"/>
          <w:sz w:val="24"/>
          <w:szCs w:val="24"/>
        </w:rPr>
        <w:t>as</w:t>
      </w:r>
      <w:r w:rsidR="00F42934" w:rsidRPr="003C6DBD">
        <w:rPr>
          <w:rFonts w:ascii="Times New Roman" w:hAnsi="Times New Roman" w:cs="Times New Roman"/>
          <w:color w:val="0D0D0D" w:themeColor="text1" w:themeTint="F2"/>
          <w:sz w:val="24"/>
          <w:szCs w:val="24"/>
        </w:rPr>
        <w:t xml:space="preserve"> </w:t>
      </w:r>
      <w:r w:rsidR="003A2D0A" w:rsidRPr="003C6DBD">
        <w:rPr>
          <w:rFonts w:ascii="Times New Roman" w:hAnsi="Times New Roman" w:cs="Times New Roman"/>
          <w:color w:val="0D0D0D" w:themeColor="text1" w:themeTint="F2"/>
          <w:sz w:val="24"/>
          <w:szCs w:val="24"/>
        </w:rPr>
        <w:t xml:space="preserve">a </w:t>
      </w:r>
      <w:r w:rsidR="00F42934" w:rsidRPr="003C6DBD">
        <w:rPr>
          <w:rFonts w:ascii="Times New Roman" w:hAnsi="Times New Roman" w:cs="Times New Roman"/>
          <w:color w:val="0D0D0D" w:themeColor="text1" w:themeTint="F2"/>
          <w:sz w:val="24"/>
          <w:szCs w:val="24"/>
        </w:rPr>
        <w:t xml:space="preserve">statistical technique for skewed </w:t>
      </w:r>
      <w:r w:rsidR="00AB5FF1" w:rsidRPr="003C6DBD">
        <w:rPr>
          <w:rFonts w:ascii="Times New Roman" w:hAnsi="Times New Roman" w:cs="Times New Roman"/>
          <w:color w:val="0D0D0D" w:themeColor="text1" w:themeTint="F2"/>
          <w:sz w:val="24"/>
          <w:szCs w:val="24"/>
        </w:rPr>
        <w:t xml:space="preserve">or non-normal </w:t>
      </w:r>
      <w:r w:rsidR="00F42934" w:rsidRPr="003C6DBD">
        <w:rPr>
          <w:rFonts w:ascii="Times New Roman" w:hAnsi="Times New Roman" w:cs="Times New Roman"/>
          <w:color w:val="0D0D0D" w:themeColor="text1" w:themeTint="F2"/>
          <w:sz w:val="24"/>
          <w:szCs w:val="24"/>
        </w:rPr>
        <w:t xml:space="preserve">data to compare </w:t>
      </w:r>
      <w:r w:rsidR="00626F3E" w:rsidRPr="003C6DBD">
        <w:rPr>
          <w:rFonts w:ascii="Times New Roman" w:hAnsi="Times New Roman" w:cs="Times New Roman"/>
          <w:color w:val="0D0D0D" w:themeColor="text1" w:themeTint="F2"/>
          <w:sz w:val="24"/>
          <w:szCs w:val="24"/>
        </w:rPr>
        <w:t>the</w:t>
      </w:r>
      <w:r w:rsidR="00F42934" w:rsidRPr="003C6DBD">
        <w:rPr>
          <w:rFonts w:ascii="Times New Roman" w:hAnsi="Times New Roman" w:cs="Times New Roman"/>
          <w:color w:val="0D0D0D" w:themeColor="text1" w:themeTint="F2"/>
          <w:sz w:val="24"/>
          <w:szCs w:val="24"/>
        </w:rPr>
        <w:t xml:space="preserve"> two categories of companies. We use median test to test for difference in the financial ratios across the two categories</w:t>
      </w:r>
      <w:r w:rsidR="003A2D0A" w:rsidRPr="003C6DBD">
        <w:rPr>
          <w:rFonts w:ascii="Times New Roman" w:hAnsi="Times New Roman" w:cs="Times New Roman"/>
          <w:color w:val="0D0D0D" w:themeColor="text1" w:themeTint="F2"/>
          <w:sz w:val="24"/>
          <w:szCs w:val="24"/>
        </w:rPr>
        <w:t>, PB and SB</w:t>
      </w:r>
      <w:r w:rsidR="00F42934" w:rsidRPr="003C6DBD">
        <w:rPr>
          <w:rFonts w:ascii="Times New Roman" w:hAnsi="Times New Roman" w:cs="Times New Roman"/>
          <w:color w:val="0D0D0D" w:themeColor="text1" w:themeTint="F2"/>
          <w:sz w:val="24"/>
          <w:szCs w:val="24"/>
        </w:rPr>
        <w:t xml:space="preserve"> </w:t>
      </w:r>
      <w:r w:rsidR="00F42934" w:rsidRPr="003C6DBD">
        <w:rPr>
          <w:rFonts w:ascii="Times New Roman" w:hAnsi="Times New Roman" w:cs="Times New Roman"/>
          <w:color w:val="0D0D0D" w:themeColor="text1" w:themeTint="F2"/>
          <w:sz w:val="24"/>
          <w:szCs w:val="24"/>
        </w:rPr>
        <w:fldChar w:fldCharType="begin"/>
      </w:r>
      <w:r w:rsidR="00F42934" w:rsidRPr="003C6DBD">
        <w:rPr>
          <w:rFonts w:ascii="Times New Roman" w:hAnsi="Times New Roman" w:cs="Times New Roman"/>
          <w:color w:val="0D0D0D" w:themeColor="text1" w:themeTint="F2"/>
          <w:sz w:val="24"/>
          <w:szCs w:val="24"/>
        </w:rPr>
        <w:instrText xml:space="preserve"> ADDIN ZOTERO_ITEM CSL_CITATION {"citationID":"vCUUVoIf","properties":{"formattedCitation":"(McKnight &amp; Najab, 2010)","plainCitation":"(McKnight &amp; Najab, 2010)","noteIndex":0},"citationItems":[{"id":590,"uris":["http://zotero.org/users/8949154/items/YAMIFFPX"],"itemData":{"id":590,"type":"article-journal","container-title":"The Corsini encyclopedia of psychology","note":"publisher: Wiley Online Library","page":"1–1","source":"Google Scholar","title":"Mann-Whitney U Test","author":[{"family":"McKnight","given":"Patrick E."},{"family":"Najab","given":"Julius"}],"issued":{"date-parts":[["2010"]]}}}],"schema":"https://github.com/citation-style-language/schema/raw/master/csl-citation.json"} </w:instrText>
      </w:r>
      <w:r w:rsidR="00F42934" w:rsidRPr="003C6DBD">
        <w:rPr>
          <w:rFonts w:ascii="Times New Roman" w:hAnsi="Times New Roman" w:cs="Times New Roman"/>
          <w:color w:val="0D0D0D" w:themeColor="text1" w:themeTint="F2"/>
          <w:sz w:val="24"/>
          <w:szCs w:val="24"/>
        </w:rPr>
        <w:fldChar w:fldCharType="separate"/>
      </w:r>
      <w:r w:rsidR="00F42934" w:rsidRPr="003C6DBD">
        <w:rPr>
          <w:rFonts w:ascii="Times New Roman" w:hAnsi="Times New Roman" w:cs="Times New Roman"/>
          <w:color w:val="0D0D0D" w:themeColor="text1" w:themeTint="F2"/>
          <w:sz w:val="24"/>
          <w:szCs w:val="24"/>
        </w:rPr>
        <w:t>(McKnight &amp; Najab, 2010)</w:t>
      </w:r>
      <w:r w:rsidR="00F42934" w:rsidRPr="003C6DBD">
        <w:rPr>
          <w:rFonts w:ascii="Times New Roman" w:hAnsi="Times New Roman" w:cs="Times New Roman"/>
          <w:color w:val="0D0D0D" w:themeColor="text1" w:themeTint="F2"/>
          <w:sz w:val="24"/>
          <w:szCs w:val="24"/>
        </w:rPr>
        <w:fldChar w:fldCharType="end"/>
      </w:r>
      <w:r w:rsidR="00F42934" w:rsidRPr="003C6DBD">
        <w:rPr>
          <w:rFonts w:ascii="Times New Roman" w:hAnsi="Times New Roman" w:cs="Times New Roman"/>
          <w:color w:val="0D0D0D" w:themeColor="text1" w:themeTint="F2"/>
          <w:sz w:val="24"/>
          <w:szCs w:val="24"/>
        </w:rPr>
        <w:t xml:space="preserve">. The median test is used to test whether two groups differ in their median values. </w:t>
      </w:r>
      <w:r w:rsidR="00F20466" w:rsidRPr="003C6DBD">
        <w:rPr>
          <w:rFonts w:ascii="Times New Roman" w:hAnsi="Times New Roman" w:cs="Times New Roman"/>
          <w:color w:val="0D0D0D" w:themeColor="text1" w:themeTint="F2"/>
          <w:sz w:val="24"/>
          <w:szCs w:val="24"/>
        </w:rPr>
        <w:t xml:space="preserve">The null hypothesis for median test states that the groups being compared are sampled from populations with identical medians. On the other hand, the alternative hypothesis can take two forms: a two-tailed test where the medians of the two groups are different, or a one-tailed test where one </w:t>
      </w:r>
      <w:r w:rsidR="003A2D0A" w:rsidRPr="003C6DBD">
        <w:rPr>
          <w:rFonts w:ascii="Times New Roman" w:hAnsi="Times New Roman" w:cs="Times New Roman"/>
          <w:color w:val="0D0D0D" w:themeColor="text1" w:themeTint="F2"/>
          <w:sz w:val="24"/>
          <w:szCs w:val="24"/>
        </w:rPr>
        <w:t xml:space="preserve">group’s </w:t>
      </w:r>
      <w:r w:rsidR="00F20466" w:rsidRPr="003C6DBD">
        <w:rPr>
          <w:rFonts w:ascii="Times New Roman" w:hAnsi="Times New Roman" w:cs="Times New Roman"/>
          <w:color w:val="0D0D0D" w:themeColor="text1" w:themeTint="F2"/>
          <w:sz w:val="24"/>
          <w:szCs w:val="24"/>
        </w:rPr>
        <w:t>median is greater than the other.</w:t>
      </w:r>
      <w:r w:rsidR="000C2395" w:rsidRPr="003C6DBD">
        <w:rPr>
          <w:rFonts w:ascii="Times New Roman" w:hAnsi="Times New Roman" w:cs="Times New Roman"/>
          <w:color w:val="0D0D0D" w:themeColor="text1" w:themeTint="F2"/>
          <w:sz w:val="24"/>
          <w:szCs w:val="24"/>
        </w:rPr>
        <w:t xml:space="preserve"> </w:t>
      </w:r>
      <w:r w:rsidR="00A546A2" w:rsidRPr="003C6DBD">
        <w:rPr>
          <w:rFonts w:ascii="Times New Roman" w:hAnsi="Times New Roman" w:cs="Times New Roman"/>
          <w:color w:val="0D0D0D" w:themeColor="text1" w:themeTint="F2"/>
          <w:sz w:val="24"/>
          <w:szCs w:val="24"/>
        </w:rPr>
        <w:t xml:space="preserve">The median test partitions two groups based on their observations relative to the median value of the combined dataset. Specifically, </w:t>
      </w:r>
      <w:r w:rsidR="00A546A2" w:rsidRPr="003C6DBD">
        <w:rPr>
          <w:rFonts w:ascii="Times New Roman" w:hAnsi="Times New Roman" w:cs="Times New Roman"/>
          <w:color w:val="0D0D0D" w:themeColor="text1" w:themeTint="F2"/>
          <w:sz w:val="24"/>
          <w:szCs w:val="24"/>
        </w:rPr>
        <w:lastRenderedPageBreak/>
        <w:t xml:space="preserve">observations that match the median of the combined dataset are removed, and the remaining data is divided into two groups: one containing values above the median and the other containing values below the median. To evaluate whether the observed frequencies in each group differ from what would be expected under a distribution that combines the two groups, the median test uses a </w:t>
      </w:r>
      <w:r w:rsidR="003A2D0A" w:rsidRPr="003C6DBD">
        <w:rPr>
          <w:rFonts w:ascii="Times New Roman" w:hAnsi="Times New Roman" w:cs="Times New Roman"/>
          <w:color w:val="0D0D0D" w:themeColor="text1" w:themeTint="F2"/>
          <w:sz w:val="24"/>
          <w:szCs w:val="24"/>
        </w:rPr>
        <w:t xml:space="preserve">Pearson’s </w:t>
      </w:r>
      <w:r w:rsidR="00A546A2" w:rsidRPr="003C6DBD">
        <w:rPr>
          <w:rFonts w:ascii="Times New Roman" w:hAnsi="Times New Roman" w:cs="Times New Roman"/>
          <w:color w:val="0D0D0D" w:themeColor="text1" w:themeTint="F2"/>
          <w:sz w:val="24"/>
          <w:szCs w:val="24"/>
        </w:rPr>
        <w:t>chi-squared test. This test calculates the chi-squared statistic, which is then compared to a chi-squared distribution to determine the p-value and the statistical significance of the results.</w:t>
      </w:r>
    </w:p>
    <w:p w14:paraId="03C0C230" w14:textId="5CA50520" w:rsidR="00AB1A08" w:rsidRPr="003C6DBD" w:rsidRDefault="00AB1A08" w:rsidP="00AB1A08">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This research examines the financial ratios trend of companies in the biofuel industry from 2018 to 2021. The analysis focuses on three categories, namely PB, SB, and ALL, with ALL serving as the benchmark for comparing the financial performance of PB and SB firms. The study aims to provide an overview of how financial ratios change over time in the biofuel industry.</w:t>
      </w:r>
    </w:p>
    <w:p w14:paraId="4DA440CB" w14:textId="07F06626" w:rsidR="00C3000E" w:rsidRPr="003C6DBD" w:rsidRDefault="00AB1A08" w:rsidP="00060507">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Moreover, the study investigates the stock returns of the three portfolios of companies over the same period. The stock returns for each year from 2018 to 2021 are assessed to determine whether there are significant variations in the performance of these portfolios over time. To benchmark the performance of the biofuel portfolios, the S&amp;P 500, a commonly used benchmark in financial market research, is used to evaluate the stock returns of the three portfolios against the stock returns of the S&amp;P 500. Furthermore, the study examines the stock returns of biofuel companies from the time of their Initial Public Offering (IPO</w:t>
      </w:r>
      <w:r w:rsidR="003A0C22" w:rsidRPr="003C6DBD">
        <w:rPr>
          <w:rStyle w:val="FootnoteReference"/>
          <w:rFonts w:ascii="Times New Roman" w:hAnsi="Times New Roman" w:cs="Times New Roman"/>
          <w:color w:val="0D0D0D" w:themeColor="text1" w:themeTint="F2"/>
          <w:sz w:val="24"/>
          <w:szCs w:val="24"/>
        </w:rPr>
        <w:footnoteReference w:id="11"/>
      </w:r>
      <w:r w:rsidRPr="003C6DBD">
        <w:rPr>
          <w:rFonts w:ascii="Times New Roman" w:hAnsi="Times New Roman" w:cs="Times New Roman"/>
          <w:color w:val="0D0D0D" w:themeColor="text1" w:themeTint="F2"/>
          <w:sz w:val="24"/>
          <w:szCs w:val="24"/>
        </w:rPr>
        <w:t>) to 2021 to ascertain whether these companies have experienced positive or negative stock returns over time</w:t>
      </w:r>
      <w:r w:rsidR="003A2D0A" w:rsidRPr="003C6DBD">
        <w:rPr>
          <w:rFonts w:ascii="Times New Roman" w:hAnsi="Times New Roman" w:cs="Times New Roman"/>
          <w:color w:val="0D0D0D" w:themeColor="text1" w:themeTint="F2"/>
          <w:sz w:val="24"/>
          <w:szCs w:val="24"/>
        </w:rPr>
        <w:t>.</w:t>
      </w:r>
    </w:p>
    <w:p w14:paraId="79DA8CC2" w14:textId="77777777" w:rsidR="00887879" w:rsidRPr="003C6DBD" w:rsidRDefault="003F6F35" w:rsidP="0024794A">
      <w:pPr>
        <w:pStyle w:val="Heading1"/>
        <w:spacing w:line="480" w:lineRule="auto"/>
        <w:rPr>
          <w:rFonts w:cs="Times New Roman"/>
          <w:color w:val="0D0D0D" w:themeColor="text1" w:themeTint="F2"/>
          <w:szCs w:val="24"/>
        </w:rPr>
      </w:pPr>
      <w:bookmarkStart w:id="29" w:name="_Toc132761843"/>
      <w:bookmarkStart w:id="30" w:name="_Toc102229897"/>
      <w:r w:rsidRPr="003C6DBD">
        <w:rPr>
          <w:rFonts w:cs="Times New Roman"/>
          <w:color w:val="0D0D0D" w:themeColor="text1" w:themeTint="F2"/>
          <w:szCs w:val="24"/>
        </w:rPr>
        <w:lastRenderedPageBreak/>
        <w:t>CHAPTER V</w:t>
      </w:r>
      <w:bookmarkEnd w:id="29"/>
    </w:p>
    <w:p w14:paraId="5056F0B4" w14:textId="2A647285" w:rsidR="00F70A21" w:rsidRPr="003C6DBD" w:rsidRDefault="003F6F35" w:rsidP="0024794A">
      <w:pPr>
        <w:pStyle w:val="Heading2"/>
        <w:rPr>
          <w:color w:val="0D0D0D" w:themeColor="text1" w:themeTint="F2"/>
        </w:rPr>
      </w:pPr>
      <w:bookmarkStart w:id="31" w:name="_Toc132761844"/>
      <w:r w:rsidRPr="003C6DBD">
        <w:rPr>
          <w:color w:val="0D0D0D" w:themeColor="text1" w:themeTint="F2"/>
        </w:rPr>
        <w:t>RESULTS</w:t>
      </w:r>
      <w:bookmarkEnd w:id="30"/>
      <w:bookmarkEnd w:id="31"/>
    </w:p>
    <w:p w14:paraId="45F5E0C4" w14:textId="08C50AE0" w:rsidR="00B43A4A" w:rsidRPr="003C6DBD" w:rsidRDefault="00B43A4A" w:rsidP="002A7494">
      <w:pPr>
        <w:pStyle w:val="Heading3"/>
        <w:rPr>
          <w:rFonts w:cs="Times New Roman"/>
          <w:color w:val="0D0D0D" w:themeColor="text1" w:themeTint="F2"/>
          <w:szCs w:val="24"/>
        </w:rPr>
      </w:pPr>
      <w:bookmarkStart w:id="32" w:name="_Toc132761845"/>
      <w:r w:rsidRPr="003C6DBD">
        <w:rPr>
          <w:rFonts w:cs="Times New Roman"/>
          <w:color w:val="0D0D0D" w:themeColor="text1" w:themeTint="F2"/>
          <w:szCs w:val="24"/>
        </w:rPr>
        <w:t>5.1 Risk Analysis</w:t>
      </w:r>
      <w:bookmarkEnd w:id="32"/>
    </w:p>
    <w:p w14:paraId="4614A989" w14:textId="0E470F03" w:rsidR="007562E8" w:rsidRPr="003C6DBD" w:rsidRDefault="00450215" w:rsidP="00CD6D9D">
      <w:pPr>
        <w:pStyle w:val="comp"/>
        <w:spacing w:before="240" w:beforeAutospacing="0" w:after="160" w:afterAutospacing="0" w:line="480" w:lineRule="auto"/>
        <w:ind w:firstLine="720"/>
        <w:rPr>
          <w:rFonts w:eastAsiaTheme="minorHAnsi"/>
          <w:color w:val="0D0D0D" w:themeColor="text1" w:themeTint="F2"/>
        </w:rPr>
      </w:pPr>
      <w:r w:rsidRPr="003C6DBD">
        <w:rPr>
          <w:rFonts w:eastAsiaTheme="minorHAnsi"/>
          <w:color w:val="0D0D0D" w:themeColor="text1" w:themeTint="F2"/>
        </w:rPr>
        <w:t xml:space="preserve">The mean, maximum, and minimum of prevalence and significance measures of risks are presented in Table </w:t>
      </w:r>
      <w:r w:rsidR="00184CE5" w:rsidRPr="003C6DBD">
        <w:rPr>
          <w:rFonts w:eastAsiaTheme="minorHAnsi"/>
          <w:color w:val="0D0D0D" w:themeColor="text1" w:themeTint="F2"/>
        </w:rPr>
        <w:t>11</w:t>
      </w:r>
      <w:r w:rsidRPr="003C6DBD">
        <w:rPr>
          <w:rFonts w:eastAsiaTheme="minorHAnsi"/>
          <w:color w:val="0D0D0D" w:themeColor="text1" w:themeTint="F2"/>
        </w:rPr>
        <w:t xml:space="preserve">. </w:t>
      </w:r>
      <w:r w:rsidR="00862146" w:rsidRPr="003C6DBD">
        <w:rPr>
          <w:rFonts w:eastAsiaTheme="minorHAnsi"/>
          <w:color w:val="0D0D0D" w:themeColor="text1" w:themeTint="F2"/>
        </w:rPr>
        <w:t>Table 12 shows the prevalence and significance score of all specific risks used in the study.</w:t>
      </w:r>
      <w:r w:rsidR="004E52F1" w:rsidRPr="003C6DBD">
        <w:rPr>
          <w:rFonts w:eastAsiaTheme="minorHAnsi"/>
          <w:color w:val="0D0D0D" w:themeColor="text1" w:themeTint="F2"/>
        </w:rPr>
        <w:t xml:space="preserve"> </w:t>
      </w:r>
      <w:r w:rsidR="00AB18E9" w:rsidRPr="003C6DBD">
        <w:rPr>
          <w:rFonts w:eastAsiaTheme="minorHAnsi"/>
          <w:color w:val="0D0D0D" w:themeColor="text1" w:themeTint="F2"/>
        </w:rPr>
        <w:t xml:space="preserve">The mean prevalence and significance scores for each year in Table 11 </w:t>
      </w:r>
      <w:r w:rsidR="005163C3" w:rsidRPr="003C6DBD">
        <w:rPr>
          <w:rFonts w:eastAsiaTheme="minorHAnsi"/>
          <w:color w:val="0D0D0D" w:themeColor="text1" w:themeTint="F2"/>
        </w:rPr>
        <w:t>are</w:t>
      </w:r>
      <w:r w:rsidR="00AB18E9" w:rsidRPr="003C6DBD">
        <w:rPr>
          <w:rFonts w:eastAsiaTheme="minorHAnsi"/>
          <w:color w:val="0D0D0D" w:themeColor="text1" w:themeTint="F2"/>
        </w:rPr>
        <w:t xml:space="preserve"> used to categorize </w:t>
      </w:r>
      <w:r w:rsidR="00822423" w:rsidRPr="003C6DBD">
        <w:rPr>
          <w:rFonts w:eastAsiaTheme="minorHAnsi"/>
          <w:color w:val="0D0D0D" w:themeColor="text1" w:themeTint="F2"/>
        </w:rPr>
        <w:t>whether a risk</w:t>
      </w:r>
      <w:r w:rsidR="005163C3" w:rsidRPr="003C6DBD">
        <w:rPr>
          <w:rFonts w:eastAsiaTheme="minorHAnsi"/>
          <w:color w:val="0D0D0D" w:themeColor="text1" w:themeTint="F2"/>
        </w:rPr>
        <w:t xml:space="preserve"> component</w:t>
      </w:r>
      <w:r w:rsidR="00822423" w:rsidRPr="003C6DBD">
        <w:rPr>
          <w:rFonts w:eastAsiaTheme="minorHAnsi"/>
          <w:color w:val="0D0D0D" w:themeColor="text1" w:themeTint="F2"/>
        </w:rPr>
        <w:t xml:space="preserve"> </w:t>
      </w:r>
      <w:r w:rsidR="005163C3" w:rsidRPr="003C6DBD">
        <w:rPr>
          <w:rFonts w:eastAsiaTheme="minorHAnsi"/>
          <w:color w:val="0D0D0D" w:themeColor="text1" w:themeTint="F2"/>
        </w:rPr>
        <w:t xml:space="preserve">represents a </w:t>
      </w:r>
      <w:r w:rsidR="00AB18E9" w:rsidRPr="003C6DBD">
        <w:rPr>
          <w:rFonts w:eastAsiaTheme="minorHAnsi"/>
          <w:color w:val="0D0D0D" w:themeColor="text1" w:themeTint="F2"/>
        </w:rPr>
        <w:t xml:space="preserve">significant risk. Any risk with prevalence </w:t>
      </w:r>
      <w:r w:rsidR="00D25901" w:rsidRPr="003C6DBD">
        <w:rPr>
          <w:rFonts w:eastAsiaTheme="minorHAnsi"/>
          <w:color w:val="0D0D0D" w:themeColor="text1" w:themeTint="F2"/>
        </w:rPr>
        <w:t>scores</w:t>
      </w:r>
      <w:r w:rsidR="00AB18E9" w:rsidRPr="003C6DBD">
        <w:rPr>
          <w:rFonts w:eastAsiaTheme="minorHAnsi"/>
          <w:color w:val="0D0D0D" w:themeColor="text1" w:themeTint="F2"/>
        </w:rPr>
        <w:t xml:space="preserve"> higher than </w:t>
      </w:r>
      <w:r w:rsidR="005163C3" w:rsidRPr="003C6DBD">
        <w:rPr>
          <w:rFonts w:eastAsiaTheme="minorHAnsi"/>
          <w:color w:val="0D0D0D" w:themeColor="text1" w:themeTint="F2"/>
        </w:rPr>
        <w:t xml:space="preserve">the </w:t>
      </w:r>
      <w:r w:rsidR="00AB18E9" w:rsidRPr="003C6DBD">
        <w:rPr>
          <w:rFonts w:eastAsiaTheme="minorHAnsi"/>
          <w:color w:val="0D0D0D" w:themeColor="text1" w:themeTint="F2"/>
        </w:rPr>
        <w:t>mean is referred to</w:t>
      </w:r>
      <w:r w:rsidR="005163C3" w:rsidRPr="003C6DBD">
        <w:rPr>
          <w:rFonts w:eastAsiaTheme="minorHAnsi"/>
          <w:color w:val="0D0D0D" w:themeColor="text1" w:themeTint="F2"/>
        </w:rPr>
        <w:t xml:space="preserve"> as</w:t>
      </w:r>
      <w:r w:rsidR="00AB18E9" w:rsidRPr="003C6DBD">
        <w:rPr>
          <w:rFonts w:eastAsiaTheme="minorHAnsi"/>
          <w:color w:val="0D0D0D" w:themeColor="text1" w:themeTint="F2"/>
        </w:rPr>
        <w:t xml:space="preserve"> </w:t>
      </w:r>
      <w:r w:rsidR="005163C3" w:rsidRPr="003C6DBD">
        <w:rPr>
          <w:rFonts w:eastAsiaTheme="minorHAnsi"/>
          <w:color w:val="0D0D0D" w:themeColor="text1" w:themeTint="F2"/>
        </w:rPr>
        <w:t xml:space="preserve">a </w:t>
      </w:r>
      <w:r w:rsidR="00AB18E9" w:rsidRPr="003C6DBD">
        <w:rPr>
          <w:rFonts w:eastAsiaTheme="minorHAnsi"/>
          <w:color w:val="0D0D0D" w:themeColor="text1" w:themeTint="F2"/>
        </w:rPr>
        <w:t xml:space="preserve">prevalent risk and any risk with significance score higher than mean is </w:t>
      </w:r>
      <w:r w:rsidR="00D25901" w:rsidRPr="003C6DBD">
        <w:rPr>
          <w:rFonts w:eastAsiaTheme="minorHAnsi"/>
          <w:color w:val="0D0D0D" w:themeColor="text1" w:themeTint="F2"/>
        </w:rPr>
        <w:t>referred</w:t>
      </w:r>
      <w:r w:rsidR="00AB18E9" w:rsidRPr="003C6DBD">
        <w:rPr>
          <w:rFonts w:eastAsiaTheme="minorHAnsi"/>
          <w:color w:val="0D0D0D" w:themeColor="text1" w:themeTint="F2"/>
        </w:rPr>
        <w:t xml:space="preserve"> to as significant risk. </w:t>
      </w:r>
    </w:p>
    <w:p w14:paraId="0D8F6394" w14:textId="631B8117" w:rsidR="00F70A21" w:rsidRPr="003C6DBD" w:rsidRDefault="003F6F35" w:rsidP="00E94E28">
      <w:pPr>
        <w:pStyle w:val="Heading4"/>
        <w:tabs>
          <w:tab w:val="center" w:pos="4815"/>
        </w:tabs>
        <w:rPr>
          <w:color w:val="0D0D0D" w:themeColor="text1" w:themeTint="F2"/>
        </w:rPr>
      </w:pPr>
      <w:bookmarkStart w:id="33" w:name="_Toc102229898"/>
      <w:r w:rsidRPr="003C6DBD">
        <w:rPr>
          <w:color w:val="0D0D0D" w:themeColor="text1" w:themeTint="F2"/>
        </w:rPr>
        <w:t>5.1</w:t>
      </w:r>
      <w:r w:rsidR="00B43A4A" w:rsidRPr="003C6DBD">
        <w:rPr>
          <w:color w:val="0D0D0D" w:themeColor="text1" w:themeTint="F2"/>
        </w:rPr>
        <w:t>.1</w:t>
      </w:r>
      <w:r w:rsidRPr="003C6DBD">
        <w:rPr>
          <w:color w:val="0D0D0D" w:themeColor="text1" w:themeTint="F2"/>
        </w:rPr>
        <w:t xml:space="preserve"> Political Risks</w:t>
      </w:r>
      <w:bookmarkEnd w:id="33"/>
      <w:r w:rsidR="00E94E28" w:rsidRPr="003C6DBD">
        <w:rPr>
          <w:color w:val="0D0D0D" w:themeColor="text1" w:themeTint="F2"/>
        </w:rPr>
        <w:tab/>
      </w:r>
    </w:p>
    <w:p w14:paraId="5D45DFA9" w14:textId="5ECB2CD4" w:rsidR="008C30C9" w:rsidRPr="003C6DBD" w:rsidRDefault="00FE685D" w:rsidP="00E94E28">
      <w:pPr>
        <w:pStyle w:val="BodyText"/>
        <w:spacing w:line="480" w:lineRule="auto"/>
        <w:ind w:firstLine="720"/>
        <w:rPr>
          <w:color w:val="0D0D0D" w:themeColor="text1" w:themeTint="F2"/>
          <w:sz w:val="24"/>
          <w:szCs w:val="24"/>
        </w:rPr>
      </w:pPr>
      <w:r w:rsidRPr="003C6DBD">
        <w:rPr>
          <w:color w:val="0D0D0D" w:themeColor="text1" w:themeTint="F2"/>
          <w:sz w:val="24"/>
          <w:szCs w:val="24"/>
        </w:rPr>
        <w:t>Figures 1</w:t>
      </w:r>
      <w:r w:rsidR="00354E65" w:rsidRPr="003C6DBD">
        <w:rPr>
          <w:color w:val="0D0D0D" w:themeColor="text1" w:themeTint="F2"/>
          <w:sz w:val="24"/>
          <w:szCs w:val="24"/>
        </w:rPr>
        <w:t xml:space="preserve"> </w:t>
      </w:r>
      <w:r w:rsidRPr="003C6DBD">
        <w:rPr>
          <w:color w:val="0D0D0D" w:themeColor="text1" w:themeTint="F2"/>
          <w:sz w:val="24"/>
          <w:szCs w:val="24"/>
        </w:rPr>
        <w:t>display</w:t>
      </w:r>
      <w:r w:rsidR="00354E65" w:rsidRPr="003C6DBD">
        <w:rPr>
          <w:color w:val="0D0D0D" w:themeColor="text1" w:themeTint="F2"/>
          <w:sz w:val="24"/>
          <w:szCs w:val="24"/>
        </w:rPr>
        <w:t>s</w:t>
      </w:r>
      <w:r w:rsidRPr="003C6DBD">
        <w:rPr>
          <w:color w:val="0D0D0D" w:themeColor="text1" w:themeTint="F2"/>
          <w:sz w:val="24"/>
          <w:szCs w:val="24"/>
        </w:rPr>
        <w:t xml:space="preserve"> the prevalence and significance of risk factors</w:t>
      </w:r>
      <w:r w:rsidR="00354E65" w:rsidRPr="003C6DBD">
        <w:rPr>
          <w:color w:val="0D0D0D" w:themeColor="text1" w:themeTint="F2"/>
          <w:sz w:val="24"/>
          <w:szCs w:val="24"/>
        </w:rPr>
        <w:t xml:space="preserve"> under </w:t>
      </w:r>
      <w:r w:rsidR="00FE173C" w:rsidRPr="003C6DBD">
        <w:rPr>
          <w:color w:val="0D0D0D" w:themeColor="text1" w:themeTint="F2"/>
          <w:sz w:val="24"/>
          <w:szCs w:val="24"/>
        </w:rPr>
        <w:t xml:space="preserve">the </w:t>
      </w:r>
      <w:r w:rsidR="006159F7" w:rsidRPr="003C6DBD">
        <w:rPr>
          <w:color w:val="0D0D0D" w:themeColor="text1" w:themeTint="F2"/>
          <w:sz w:val="24"/>
          <w:szCs w:val="24"/>
        </w:rPr>
        <w:t>p</w:t>
      </w:r>
      <w:r w:rsidR="00354E65" w:rsidRPr="003C6DBD">
        <w:rPr>
          <w:color w:val="0D0D0D" w:themeColor="text1" w:themeTint="F2"/>
          <w:sz w:val="24"/>
          <w:szCs w:val="24"/>
        </w:rPr>
        <w:t xml:space="preserve">olitical </w:t>
      </w:r>
      <w:r w:rsidR="006159F7" w:rsidRPr="003C6DBD">
        <w:rPr>
          <w:color w:val="0D0D0D" w:themeColor="text1" w:themeTint="F2"/>
          <w:sz w:val="24"/>
          <w:szCs w:val="24"/>
        </w:rPr>
        <w:t xml:space="preserve">risks </w:t>
      </w:r>
      <w:r w:rsidR="00354E65" w:rsidRPr="003C6DBD">
        <w:rPr>
          <w:color w:val="0D0D0D" w:themeColor="text1" w:themeTint="F2"/>
          <w:sz w:val="24"/>
          <w:szCs w:val="24"/>
        </w:rPr>
        <w:t>categor</w:t>
      </w:r>
      <w:r w:rsidR="006159F7" w:rsidRPr="003C6DBD">
        <w:rPr>
          <w:color w:val="0D0D0D" w:themeColor="text1" w:themeTint="F2"/>
          <w:sz w:val="24"/>
          <w:szCs w:val="24"/>
        </w:rPr>
        <w:t>y</w:t>
      </w:r>
      <w:r w:rsidRPr="003C6DBD">
        <w:rPr>
          <w:color w:val="0D0D0D" w:themeColor="text1" w:themeTint="F2"/>
          <w:sz w:val="24"/>
          <w:szCs w:val="24"/>
        </w:rPr>
        <w:t xml:space="preserve"> reported by </w:t>
      </w:r>
      <w:r w:rsidR="00382A26" w:rsidRPr="003C6DBD">
        <w:rPr>
          <w:color w:val="0D0D0D" w:themeColor="text1" w:themeTint="F2"/>
          <w:sz w:val="24"/>
          <w:szCs w:val="24"/>
        </w:rPr>
        <w:t xml:space="preserve">the </w:t>
      </w:r>
      <w:r w:rsidR="00A543F6" w:rsidRPr="003C6DBD">
        <w:rPr>
          <w:color w:val="0D0D0D" w:themeColor="text1" w:themeTint="F2"/>
          <w:sz w:val="24"/>
          <w:szCs w:val="24"/>
        </w:rPr>
        <w:t xml:space="preserve">ALL portfolio of </w:t>
      </w:r>
      <w:r w:rsidRPr="003C6DBD">
        <w:rPr>
          <w:color w:val="0D0D0D" w:themeColor="text1" w:themeTint="F2"/>
          <w:sz w:val="24"/>
          <w:szCs w:val="24"/>
        </w:rPr>
        <w:t xml:space="preserve">sample biofuel companies </w:t>
      </w:r>
      <w:r w:rsidR="00FE173C" w:rsidRPr="003C6DBD">
        <w:rPr>
          <w:color w:val="0D0D0D" w:themeColor="text1" w:themeTint="F2"/>
          <w:sz w:val="24"/>
          <w:szCs w:val="24"/>
        </w:rPr>
        <w:t>from 2018 to 2021</w:t>
      </w:r>
      <w:r w:rsidRPr="003C6DBD">
        <w:rPr>
          <w:color w:val="0D0D0D" w:themeColor="text1" w:themeTint="F2"/>
          <w:sz w:val="24"/>
          <w:szCs w:val="24"/>
        </w:rPr>
        <w:t xml:space="preserve">. </w:t>
      </w:r>
      <w:r w:rsidR="00155C46" w:rsidRPr="003C6DBD">
        <w:rPr>
          <w:color w:val="0D0D0D" w:themeColor="text1" w:themeTint="F2"/>
          <w:sz w:val="24"/>
          <w:szCs w:val="24"/>
        </w:rPr>
        <w:t>The</w:t>
      </w:r>
      <w:r w:rsidR="00DE664B" w:rsidRPr="003C6DBD">
        <w:rPr>
          <w:color w:val="0D0D0D" w:themeColor="text1" w:themeTint="F2"/>
          <w:sz w:val="24"/>
          <w:szCs w:val="24"/>
        </w:rPr>
        <w:t xml:space="preserve"> average</w:t>
      </w:r>
      <w:r w:rsidR="00155C46" w:rsidRPr="003C6DBD">
        <w:rPr>
          <w:color w:val="0D0D0D" w:themeColor="text1" w:themeTint="F2"/>
          <w:sz w:val="24"/>
          <w:szCs w:val="24"/>
        </w:rPr>
        <w:t xml:space="preserve"> prevalence score</w:t>
      </w:r>
      <w:r w:rsidR="00A543F6" w:rsidRPr="003C6DBD">
        <w:rPr>
          <w:color w:val="0D0D0D" w:themeColor="text1" w:themeTint="F2"/>
          <w:sz w:val="24"/>
          <w:szCs w:val="24"/>
        </w:rPr>
        <w:t>s</w:t>
      </w:r>
      <w:r w:rsidR="002039DB" w:rsidRPr="003C6DBD">
        <w:rPr>
          <w:color w:val="0D0D0D" w:themeColor="text1" w:themeTint="F2"/>
          <w:sz w:val="24"/>
          <w:szCs w:val="24"/>
        </w:rPr>
        <w:t xml:space="preserve"> for 2018, 2019, 2020</w:t>
      </w:r>
      <w:r w:rsidR="005C245D" w:rsidRPr="003C6DBD">
        <w:rPr>
          <w:color w:val="0D0D0D" w:themeColor="text1" w:themeTint="F2"/>
          <w:sz w:val="24"/>
          <w:szCs w:val="24"/>
        </w:rPr>
        <w:t>, and 2021</w:t>
      </w:r>
      <w:r w:rsidR="00155C46" w:rsidRPr="003C6DBD">
        <w:rPr>
          <w:color w:val="0D0D0D" w:themeColor="text1" w:themeTint="F2"/>
          <w:sz w:val="24"/>
          <w:szCs w:val="24"/>
        </w:rPr>
        <w:t xml:space="preserve"> </w:t>
      </w:r>
      <w:r w:rsidR="00A543F6" w:rsidRPr="003C6DBD">
        <w:rPr>
          <w:color w:val="0D0D0D" w:themeColor="text1" w:themeTint="F2"/>
          <w:sz w:val="24"/>
          <w:szCs w:val="24"/>
        </w:rPr>
        <w:t>are</w:t>
      </w:r>
      <w:r w:rsidR="00155C46" w:rsidRPr="003C6DBD">
        <w:rPr>
          <w:color w:val="0D0D0D" w:themeColor="text1" w:themeTint="F2"/>
          <w:sz w:val="24"/>
          <w:szCs w:val="24"/>
        </w:rPr>
        <w:t xml:space="preserve"> </w:t>
      </w:r>
      <w:r w:rsidR="005C245D" w:rsidRPr="003C6DBD">
        <w:rPr>
          <w:color w:val="0D0D0D" w:themeColor="text1" w:themeTint="F2"/>
          <w:sz w:val="24"/>
          <w:szCs w:val="24"/>
        </w:rPr>
        <w:t>13.92</w:t>
      </w:r>
      <w:r w:rsidR="002039DB" w:rsidRPr="003C6DBD">
        <w:rPr>
          <w:color w:val="0D0D0D" w:themeColor="text1" w:themeTint="F2"/>
          <w:sz w:val="24"/>
          <w:szCs w:val="24"/>
        </w:rPr>
        <w:t xml:space="preserve">, </w:t>
      </w:r>
      <w:r w:rsidR="005C245D" w:rsidRPr="003C6DBD">
        <w:rPr>
          <w:color w:val="0D0D0D" w:themeColor="text1" w:themeTint="F2"/>
          <w:sz w:val="24"/>
          <w:szCs w:val="24"/>
        </w:rPr>
        <w:t>13.80</w:t>
      </w:r>
      <w:r w:rsidR="002039DB" w:rsidRPr="003C6DBD">
        <w:rPr>
          <w:color w:val="0D0D0D" w:themeColor="text1" w:themeTint="F2"/>
          <w:sz w:val="24"/>
          <w:szCs w:val="24"/>
        </w:rPr>
        <w:t>,</w:t>
      </w:r>
      <w:r w:rsidR="005C245D" w:rsidRPr="003C6DBD">
        <w:rPr>
          <w:color w:val="0D0D0D" w:themeColor="text1" w:themeTint="F2"/>
          <w:sz w:val="24"/>
          <w:szCs w:val="24"/>
        </w:rPr>
        <w:t xml:space="preserve"> 14.00, and 13.40</w:t>
      </w:r>
      <w:r w:rsidR="002039DB" w:rsidRPr="003C6DBD">
        <w:rPr>
          <w:color w:val="0D0D0D" w:themeColor="text1" w:themeTint="F2"/>
          <w:sz w:val="24"/>
          <w:szCs w:val="24"/>
        </w:rPr>
        <w:t xml:space="preserve"> </w:t>
      </w:r>
      <w:r w:rsidR="00155C46" w:rsidRPr="003C6DBD">
        <w:rPr>
          <w:color w:val="0D0D0D" w:themeColor="text1" w:themeTint="F2"/>
          <w:sz w:val="24"/>
          <w:szCs w:val="24"/>
        </w:rPr>
        <w:t>respectively.</w:t>
      </w:r>
      <w:r w:rsidR="007B2AC2" w:rsidRPr="003C6DBD">
        <w:rPr>
          <w:color w:val="0D0D0D" w:themeColor="text1" w:themeTint="F2"/>
          <w:sz w:val="24"/>
          <w:szCs w:val="24"/>
        </w:rPr>
        <w:t xml:space="preserve"> The average significance score</w:t>
      </w:r>
      <w:r w:rsidR="00A543F6" w:rsidRPr="003C6DBD">
        <w:rPr>
          <w:color w:val="0D0D0D" w:themeColor="text1" w:themeTint="F2"/>
          <w:sz w:val="24"/>
          <w:szCs w:val="24"/>
        </w:rPr>
        <w:t>s</w:t>
      </w:r>
      <w:r w:rsidR="007B2AC2" w:rsidRPr="003C6DBD">
        <w:rPr>
          <w:color w:val="0D0D0D" w:themeColor="text1" w:themeTint="F2"/>
          <w:sz w:val="24"/>
          <w:szCs w:val="24"/>
        </w:rPr>
        <w:t xml:space="preserve"> for 2018, 2019, </w:t>
      </w:r>
      <w:r w:rsidR="005C245D" w:rsidRPr="003C6DBD">
        <w:rPr>
          <w:color w:val="0D0D0D" w:themeColor="text1" w:themeTint="F2"/>
          <w:sz w:val="24"/>
          <w:szCs w:val="24"/>
        </w:rPr>
        <w:t xml:space="preserve">2020, and 2021 </w:t>
      </w:r>
      <w:r w:rsidR="007B2AC2" w:rsidRPr="003C6DBD">
        <w:rPr>
          <w:color w:val="0D0D0D" w:themeColor="text1" w:themeTint="F2"/>
          <w:sz w:val="24"/>
          <w:szCs w:val="24"/>
        </w:rPr>
        <w:t>are 0.056</w:t>
      </w:r>
      <w:r w:rsidR="005C245D" w:rsidRPr="003C6DBD">
        <w:rPr>
          <w:color w:val="0D0D0D" w:themeColor="text1" w:themeTint="F2"/>
          <w:sz w:val="24"/>
          <w:szCs w:val="24"/>
        </w:rPr>
        <w:t>830</w:t>
      </w:r>
      <w:r w:rsidR="007B2AC2" w:rsidRPr="003C6DBD">
        <w:rPr>
          <w:color w:val="0D0D0D" w:themeColor="text1" w:themeTint="F2"/>
          <w:sz w:val="24"/>
          <w:szCs w:val="24"/>
        </w:rPr>
        <w:t>, 0.05</w:t>
      </w:r>
      <w:r w:rsidR="005C245D" w:rsidRPr="003C6DBD">
        <w:rPr>
          <w:color w:val="0D0D0D" w:themeColor="text1" w:themeTint="F2"/>
          <w:sz w:val="24"/>
          <w:szCs w:val="24"/>
        </w:rPr>
        <w:t>6138</w:t>
      </w:r>
      <w:r w:rsidR="007B2AC2" w:rsidRPr="003C6DBD">
        <w:rPr>
          <w:color w:val="0D0D0D" w:themeColor="text1" w:themeTint="F2"/>
          <w:sz w:val="24"/>
          <w:szCs w:val="24"/>
        </w:rPr>
        <w:t>, 0.056</w:t>
      </w:r>
      <w:r w:rsidR="005C245D" w:rsidRPr="003C6DBD">
        <w:rPr>
          <w:color w:val="0D0D0D" w:themeColor="text1" w:themeTint="F2"/>
          <w:sz w:val="24"/>
          <w:szCs w:val="24"/>
        </w:rPr>
        <w:t>554, and 0.056368</w:t>
      </w:r>
      <w:r w:rsidR="007B2AC2" w:rsidRPr="003C6DBD">
        <w:rPr>
          <w:color w:val="0D0D0D" w:themeColor="text1" w:themeTint="F2"/>
          <w:sz w:val="24"/>
          <w:szCs w:val="24"/>
        </w:rPr>
        <w:t xml:space="preserve"> respectively.</w:t>
      </w:r>
      <w:r w:rsidR="00155C46" w:rsidRPr="003C6DBD">
        <w:rPr>
          <w:color w:val="0D0D0D" w:themeColor="text1" w:themeTint="F2"/>
          <w:sz w:val="24"/>
          <w:szCs w:val="24"/>
        </w:rPr>
        <w:t xml:space="preserve"> </w:t>
      </w:r>
      <w:r w:rsidRPr="003C6DBD">
        <w:rPr>
          <w:color w:val="0D0D0D" w:themeColor="text1" w:themeTint="F2"/>
          <w:sz w:val="24"/>
          <w:szCs w:val="24"/>
        </w:rPr>
        <w:t xml:space="preserve">In </w:t>
      </w:r>
      <w:r w:rsidR="005A6DAA" w:rsidRPr="003C6DBD">
        <w:rPr>
          <w:color w:val="0D0D0D" w:themeColor="text1" w:themeTint="F2"/>
          <w:sz w:val="24"/>
          <w:szCs w:val="24"/>
        </w:rPr>
        <w:t xml:space="preserve">the </w:t>
      </w:r>
      <w:r w:rsidRPr="003C6DBD">
        <w:rPr>
          <w:color w:val="0D0D0D" w:themeColor="text1" w:themeTint="F2"/>
          <w:sz w:val="24"/>
          <w:szCs w:val="24"/>
        </w:rPr>
        <w:t>political risk</w:t>
      </w:r>
      <w:r w:rsidR="007B2AC2" w:rsidRPr="003C6DBD">
        <w:rPr>
          <w:color w:val="0D0D0D" w:themeColor="text1" w:themeTint="F2"/>
          <w:sz w:val="24"/>
          <w:szCs w:val="24"/>
        </w:rPr>
        <w:t xml:space="preserve"> category</w:t>
      </w:r>
      <w:r w:rsidRPr="003C6DBD">
        <w:rPr>
          <w:color w:val="0D0D0D" w:themeColor="text1" w:themeTint="F2"/>
          <w:sz w:val="24"/>
          <w:szCs w:val="24"/>
        </w:rPr>
        <w:t xml:space="preserve">, biofuel regulation </w:t>
      </w:r>
      <w:r w:rsidR="00F33A2F" w:rsidRPr="003C6DBD">
        <w:rPr>
          <w:color w:val="0D0D0D" w:themeColor="text1" w:themeTint="F2"/>
          <w:sz w:val="24"/>
          <w:szCs w:val="24"/>
        </w:rPr>
        <w:t xml:space="preserve">(BFR) </w:t>
      </w:r>
      <w:r w:rsidRPr="003C6DBD">
        <w:rPr>
          <w:color w:val="0D0D0D" w:themeColor="text1" w:themeTint="F2"/>
          <w:sz w:val="24"/>
          <w:szCs w:val="24"/>
        </w:rPr>
        <w:t xml:space="preserve">is the most significant risk in </w:t>
      </w:r>
      <w:r w:rsidR="00DE7D2D" w:rsidRPr="003C6DBD">
        <w:rPr>
          <w:color w:val="0D0D0D" w:themeColor="text1" w:themeTint="F2"/>
          <w:sz w:val="24"/>
          <w:szCs w:val="24"/>
        </w:rPr>
        <w:t>all three years.</w:t>
      </w:r>
      <w:r w:rsidRPr="003C6DBD">
        <w:rPr>
          <w:color w:val="0D0D0D" w:themeColor="text1" w:themeTint="F2"/>
          <w:sz w:val="24"/>
          <w:szCs w:val="24"/>
        </w:rPr>
        <w:t xml:space="preserve"> </w:t>
      </w:r>
      <w:r w:rsidR="00DE7D2D" w:rsidRPr="003C6DBD">
        <w:rPr>
          <w:color w:val="0D0D0D" w:themeColor="text1" w:themeTint="F2"/>
          <w:sz w:val="24"/>
          <w:szCs w:val="24"/>
        </w:rPr>
        <w:t>It</w:t>
      </w:r>
      <w:r w:rsidRPr="003C6DBD">
        <w:rPr>
          <w:color w:val="0D0D0D" w:themeColor="text1" w:themeTint="F2"/>
          <w:sz w:val="24"/>
          <w:szCs w:val="24"/>
        </w:rPr>
        <w:t xml:space="preserve"> is </w:t>
      </w:r>
      <w:r w:rsidR="00DE7D2D" w:rsidRPr="003C6DBD">
        <w:rPr>
          <w:color w:val="0D0D0D" w:themeColor="text1" w:themeTint="F2"/>
          <w:sz w:val="24"/>
          <w:szCs w:val="24"/>
        </w:rPr>
        <w:t xml:space="preserve">also </w:t>
      </w:r>
      <w:r w:rsidRPr="003C6DBD">
        <w:rPr>
          <w:color w:val="0D0D0D" w:themeColor="text1" w:themeTint="F2"/>
          <w:sz w:val="24"/>
          <w:szCs w:val="24"/>
        </w:rPr>
        <w:t xml:space="preserve">the most prevalent </w:t>
      </w:r>
      <w:r w:rsidR="00DE7D2D" w:rsidRPr="003C6DBD">
        <w:rPr>
          <w:color w:val="0D0D0D" w:themeColor="text1" w:themeTint="F2"/>
          <w:sz w:val="24"/>
          <w:szCs w:val="24"/>
        </w:rPr>
        <w:t xml:space="preserve">risk </w:t>
      </w:r>
      <w:r w:rsidRPr="003C6DBD">
        <w:rPr>
          <w:color w:val="0D0D0D" w:themeColor="text1" w:themeTint="F2"/>
          <w:sz w:val="24"/>
          <w:szCs w:val="24"/>
        </w:rPr>
        <w:t>for the sample companies</w:t>
      </w:r>
      <w:r w:rsidR="00025BF1" w:rsidRPr="003C6DBD">
        <w:rPr>
          <w:color w:val="0D0D0D" w:themeColor="text1" w:themeTint="F2"/>
          <w:sz w:val="24"/>
          <w:szCs w:val="24"/>
        </w:rPr>
        <w:t xml:space="preserve"> in 2020</w:t>
      </w:r>
      <w:r w:rsidR="008E0998" w:rsidRPr="003C6DBD">
        <w:rPr>
          <w:color w:val="0D0D0D" w:themeColor="text1" w:themeTint="F2"/>
          <w:sz w:val="24"/>
          <w:szCs w:val="24"/>
        </w:rPr>
        <w:t xml:space="preserve"> and 2021</w:t>
      </w:r>
      <w:r w:rsidRPr="003C6DBD">
        <w:rPr>
          <w:color w:val="0D0D0D" w:themeColor="text1" w:themeTint="F2"/>
          <w:sz w:val="24"/>
          <w:szCs w:val="24"/>
        </w:rPr>
        <w:t xml:space="preserve">. However, </w:t>
      </w:r>
      <w:r w:rsidR="00733780" w:rsidRPr="003C6DBD">
        <w:rPr>
          <w:color w:val="0D0D0D" w:themeColor="text1" w:themeTint="F2"/>
          <w:sz w:val="24"/>
          <w:szCs w:val="24"/>
        </w:rPr>
        <w:t>B</w:t>
      </w:r>
      <w:r w:rsidRPr="003C6DBD">
        <w:rPr>
          <w:color w:val="0D0D0D" w:themeColor="text1" w:themeTint="F2"/>
          <w:sz w:val="24"/>
          <w:szCs w:val="24"/>
        </w:rPr>
        <w:t xml:space="preserve">iofuel </w:t>
      </w:r>
      <w:r w:rsidR="00733780" w:rsidRPr="003C6DBD">
        <w:rPr>
          <w:color w:val="0D0D0D" w:themeColor="text1" w:themeTint="F2"/>
          <w:sz w:val="24"/>
          <w:szCs w:val="24"/>
        </w:rPr>
        <w:t>R</w:t>
      </w:r>
      <w:r w:rsidRPr="003C6DBD">
        <w:rPr>
          <w:color w:val="0D0D0D" w:themeColor="text1" w:themeTint="F2"/>
          <w:sz w:val="24"/>
          <w:szCs w:val="24"/>
        </w:rPr>
        <w:t>egulation</w:t>
      </w:r>
      <w:r w:rsidR="00DE7D2D" w:rsidRPr="003C6DBD">
        <w:rPr>
          <w:color w:val="0D0D0D" w:themeColor="text1" w:themeTint="F2"/>
          <w:sz w:val="24"/>
          <w:szCs w:val="24"/>
        </w:rPr>
        <w:t xml:space="preserve"> (BFR)</w:t>
      </w:r>
      <w:r w:rsidRPr="003C6DBD">
        <w:rPr>
          <w:color w:val="0D0D0D" w:themeColor="text1" w:themeTint="F2"/>
          <w:sz w:val="24"/>
          <w:szCs w:val="24"/>
        </w:rPr>
        <w:t xml:space="preserve"> </w:t>
      </w:r>
      <w:r w:rsidR="00680B3B" w:rsidRPr="003C6DBD">
        <w:rPr>
          <w:color w:val="0D0D0D" w:themeColor="text1" w:themeTint="F2"/>
          <w:sz w:val="24"/>
          <w:szCs w:val="24"/>
        </w:rPr>
        <w:t>is</w:t>
      </w:r>
      <w:r w:rsidRPr="003C6DBD">
        <w:rPr>
          <w:color w:val="0D0D0D" w:themeColor="text1" w:themeTint="F2"/>
          <w:sz w:val="24"/>
          <w:szCs w:val="24"/>
        </w:rPr>
        <w:t xml:space="preserve"> not </w:t>
      </w:r>
      <w:r w:rsidR="007B2AC2" w:rsidRPr="003C6DBD">
        <w:rPr>
          <w:color w:val="0D0D0D" w:themeColor="text1" w:themeTint="F2"/>
          <w:sz w:val="24"/>
          <w:szCs w:val="24"/>
        </w:rPr>
        <w:t xml:space="preserve">the </w:t>
      </w:r>
      <w:r w:rsidRPr="003C6DBD">
        <w:rPr>
          <w:color w:val="0D0D0D" w:themeColor="text1" w:themeTint="F2"/>
          <w:sz w:val="24"/>
          <w:szCs w:val="24"/>
        </w:rPr>
        <w:t xml:space="preserve">most prevalent in 2018 and 2019. Biofuel </w:t>
      </w:r>
      <w:r w:rsidR="00733780" w:rsidRPr="003C6DBD">
        <w:rPr>
          <w:color w:val="0D0D0D" w:themeColor="text1" w:themeTint="F2"/>
          <w:sz w:val="24"/>
          <w:szCs w:val="24"/>
        </w:rPr>
        <w:t>R</w:t>
      </w:r>
      <w:r w:rsidRPr="003C6DBD">
        <w:rPr>
          <w:color w:val="0D0D0D" w:themeColor="text1" w:themeTint="F2"/>
          <w:sz w:val="24"/>
          <w:szCs w:val="24"/>
        </w:rPr>
        <w:t>egulation</w:t>
      </w:r>
      <w:r w:rsidR="00635A45" w:rsidRPr="003C6DBD">
        <w:rPr>
          <w:color w:val="0D0D0D" w:themeColor="text1" w:themeTint="F2"/>
          <w:sz w:val="24"/>
          <w:szCs w:val="24"/>
        </w:rPr>
        <w:t xml:space="preserve"> (BFR)</w:t>
      </w:r>
      <w:r w:rsidRPr="003C6DBD">
        <w:rPr>
          <w:color w:val="0D0D0D" w:themeColor="text1" w:themeTint="F2"/>
          <w:sz w:val="24"/>
          <w:szCs w:val="24"/>
        </w:rPr>
        <w:t xml:space="preserve"> include</w:t>
      </w:r>
      <w:r w:rsidR="00635A45" w:rsidRPr="003C6DBD">
        <w:rPr>
          <w:color w:val="0D0D0D" w:themeColor="text1" w:themeTint="F2"/>
          <w:sz w:val="24"/>
          <w:szCs w:val="24"/>
        </w:rPr>
        <w:t>s</w:t>
      </w:r>
      <w:r w:rsidRPr="003C6DBD">
        <w:rPr>
          <w:color w:val="0D0D0D" w:themeColor="text1" w:themeTint="F2"/>
          <w:sz w:val="24"/>
          <w:szCs w:val="24"/>
        </w:rPr>
        <w:t xml:space="preserve"> risks like biofuel blend requirement, tax benefits, subsidies, incentives for biofuel production, etc., </w:t>
      </w:r>
      <w:r w:rsidRPr="003C6DBD">
        <w:rPr>
          <w:color w:val="0D0D0D" w:themeColor="text1" w:themeTint="F2"/>
          <w:sz w:val="24"/>
          <w:szCs w:val="24"/>
        </w:rPr>
        <w:fldChar w:fldCharType="begin"/>
      </w:r>
      <w:r w:rsidRPr="003C6DBD">
        <w:rPr>
          <w:color w:val="0D0D0D" w:themeColor="text1" w:themeTint="F2"/>
          <w:sz w:val="24"/>
          <w:szCs w:val="24"/>
        </w:rPr>
        <w:instrText xml:space="preserve"> ADDIN ZOTERO_ITEM CSL_CITATION {"citationID":"CETgITGm","properties":{"formattedCitation":"(Pries et al., 2016)","plainCitation":"(Pries et al., 2016)","noteIndex":0},"citationItems":[{"id":251,"uris":["http://zotero.org/users/8949154/items/P6NYLUEB"],"itemData":{"id":251,"type":"article-journal","container-title":"Energy Policy","note":"publisher: Elsevier","page":"93–101","source":"Google Scholar","title":"Risks affecting the biofuels industry: A US and Canadian company perspective","title-short":"Risks affecting the biofuels industry","volume":"97","author":[{"family":"Pries","given":"Fred"},{"family":"Talebi","given":"Alireza"},{"family":"Schillo","given":"R. Sandra"},{"family":"Lemay","given":"Margaret A."}],"issued":{"date-parts":[["2016"]]}}}],"schema":"https://github.com/citation-style-language/schema/raw/master/csl-citation.json"} </w:instrText>
      </w:r>
      <w:r w:rsidRPr="003C6DBD">
        <w:rPr>
          <w:color w:val="0D0D0D" w:themeColor="text1" w:themeTint="F2"/>
          <w:sz w:val="24"/>
          <w:szCs w:val="24"/>
        </w:rPr>
        <w:fldChar w:fldCharType="separate"/>
      </w:r>
      <w:r w:rsidRPr="003C6DBD">
        <w:rPr>
          <w:color w:val="0D0D0D" w:themeColor="text1" w:themeTint="F2"/>
          <w:sz w:val="24"/>
          <w:szCs w:val="24"/>
        </w:rPr>
        <w:t>(Pries et al., 2016)</w:t>
      </w:r>
      <w:r w:rsidRPr="003C6DBD">
        <w:rPr>
          <w:color w:val="0D0D0D" w:themeColor="text1" w:themeTint="F2"/>
          <w:sz w:val="24"/>
          <w:szCs w:val="24"/>
        </w:rPr>
        <w:fldChar w:fldCharType="end"/>
      </w:r>
      <w:r w:rsidRPr="003C6DBD">
        <w:rPr>
          <w:color w:val="0D0D0D" w:themeColor="text1" w:themeTint="F2"/>
          <w:sz w:val="24"/>
          <w:szCs w:val="24"/>
        </w:rPr>
        <w:t xml:space="preserve">. </w:t>
      </w:r>
      <w:r w:rsidRPr="003C6DBD">
        <w:rPr>
          <w:color w:val="0D0D0D" w:themeColor="text1" w:themeTint="F2"/>
          <w:sz w:val="24"/>
          <w:szCs w:val="24"/>
        </w:rPr>
        <w:lastRenderedPageBreak/>
        <w:t xml:space="preserve">General </w:t>
      </w:r>
      <w:r w:rsidR="00733780" w:rsidRPr="003C6DBD">
        <w:rPr>
          <w:color w:val="0D0D0D" w:themeColor="text1" w:themeTint="F2"/>
          <w:sz w:val="24"/>
          <w:szCs w:val="24"/>
        </w:rPr>
        <w:t>R</w:t>
      </w:r>
      <w:r w:rsidRPr="003C6DBD">
        <w:rPr>
          <w:color w:val="0D0D0D" w:themeColor="text1" w:themeTint="F2"/>
          <w:sz w:val="24"/>
          <w:szCs w:val="24"/>
        </w:rPr>
        <w:t>egulation</w:t>
      </w:r>
      <w:r w:rsidR="00161361" w:rsidRPr="003C6DBD">
        <w:rPr>
          <w:color w:val="0D0D0D" w:themeColor="text1" w:themeTint="F2"/>
          <w:sz w:val="24"/>
          <w:szCs w:val="24"/>
        </w:rPr>
        <w:t xml:space="preserve"> (GNR)</w:t>
      </w:r>
      <w:r w:rsidRPr="003C6DBD">
        <w:rPr>
          <w:color w:val="0D0D0D" w:themeColor="text1" w:themeTint="F2"/>
          <w:sz w:val="24"/>
          <w:szCs w:val="24"/>
        </w:rPr>
        <w:t xml:space="preserve"> </w:t>
      </w:r>
      <w:r w:rsidR="00680B3B" w:rsidRPr="003C6DBD">
        <w:rPr>
          <w:color w:val="0D0D0D" w:themeColor="text1" w:themeTint="F2"/>
          <w:sz w:val="24"/>
          <w:szCs w:val="24"/>
        </w:rPr>
        <w:t>is</w:t>
      </w:r>
      <w:r w:rsidRPr="003C6DBD">
        <w:rPr>
          <w:color w:val="0D0D0D" w:themeColor="text1" w:themeTint="F2"/>
          <w:sz w:val="24"/>
          <w:szCs w:val="24"/>
        </w:rPr>
        <w:t xml:space="preserve"> the most prevalent risk in 2018 and 2019. General regulation</w:t>
      </w:r>
      <w:r w:rsidR="00161361" w:rsidRPr="003C6DBD">
        <w:rPr>
          <w:color w:val="0D0D0D" w:themeColor="text1" w:themeTint="F2"/>
          <w:sz w:val="24"/>
          <w:szCs w:val="24"/>
        </w:rPr>
        <w:t xml:space="preserve"> (GNR)</w:t>
      </w:r>
      <w:r w:rsidRPr="003C6DBD">
        <w:rPr>
          <w:color w:val="0D0D0D" w:themeColor="text1" w:themeTint="F2"/>
          <w:sz w:val="24"/>
          <w:szCs w:val="24"/>
        </w:rPr>
        <w:t xml:space="preserve">, and </w:t>
      </w:r>
      <w:r w:rsidR="00733780" w:rsidRPr="003C6DBD">
        <w:rPr>
          <w:color w:val="0D0D0D" w:themeColor="text1" w:themeTint="F2"/>
          <w:sz w:val="24"/>
          <w:szCs w:val="24"/>
        </w:rPr>
        <w:t>E</w:t>
      </w:r>
      <w:r w:rsidRPr="003C6DBD">
        <w:rPr>
          <w:color w:val="0D0D0D" w:themeColor="text1" w:themeTint="F2"/>
          <w:sz w:val="24"/>
          <w:szCs w:val="24"/>
        </w:rPr>
        <w:t xml:space="preserve">nvironmental, </w:t>
      </w:r>
      <w:r w:rsidR="00733780" w:rsidRPr="003C6DBD">
        <w:rPr>
          <w:color w:val="0D0D0D" w:themeColor="text1" w:themeTint="F2"/>
          <w:sz w:val="24"/>
          <w:szCs w:val="24"/>
        </w:rPr>
        <w:t>H</w:t>
      </w:r>
      <w:r w:rsidRPr="003C6DBD">
        <w:rPr>
          <w:color w:val="0D0D0D" w:themeColor="text1" w:themeTint="F2"/>
          <w:sz w:val="24"/>
          <w:szCs w:val="24"/>
        </w:rPr>
        <w:t xml:space="preserve">ealth, and </w:t>
      </w:r>
      <w:r w:rsidR="00733780" w:rsidRPr="003C6DBD">
        <w:rPr>
          <w:color w:val="0D0D0D" w:themeColor="text1" w:themeTint="F2"/>
          <w:sz w:val="24"/>
          <w:szCs w:val="24"/>
        </w:rPr>
        <w:t>S</w:t>
      </w:r>
      <w:r w:rsidRPr="003C6DBD">
        <w:rPr>
          <w:color w:val="0D0D0D" w:themeColor="text1" w:themeTint="F2"/>
          <w:sz w:val="24"/>
          <w:szCs w:val="24"/>
        </w:rPr>
        <w:t>afety</w:t>
      </w:r>
      <w:r w:rsidR="00161361" w:rsidRPr="003C6DBD">
        <w:rPr>
          <w:color w:val="0D0D0D" w:themeColor="text1" w:themeTint="F2"/>
          <w:sz w:val="24"/>
          <w:szCs w:val="24"/>
        </w:rPr>
        <w:t xml:space="preserve"> (EHS)</w:t>
      </w:r>
      <w:r w:rsidRPr="003C6DBD">
        <w:rPr>
          <w:color w:val="0D0D0D" w:themeColor="text1" w:themeTint="F2"/>
          <w:sz w:val="24"/>
          <w:szCs w:val="24"/>
        </w:rPr>
        <w:t xml:space="preserve"> </w:t>
      </w:r>
      <w:r w:rsidR="00061831" w:rsidRPr="003C6DBD">
        <w:rPr>
          <w:color w:val="0D0D0D" w:themeColor="text1" w:themeTint="F2"/>
          <w:sz w:val="24"/>
          <w:szCs w:val="24"/>
        </w:rPr>
        <w:t xml:space="preserve">risks </w:t>
      </w:r>
      <w:r w:rsidRPr="003C6DBD">
        <w:rPr>
          <w:color w:val="0D0D0D" w:themeColor="text1" w:themeTint="F2"/>
          <w:sz w:val="24"/>
          <w:szCs w:val="24"/>
        </w:rPr>
        <w:t xml:space="preserve">are prevalent in the biofuel industry but are of less significance than </w:t>
      </w:r>
      <w:r w:rsidR="00733780" w:rsidRPr="003C6DBD">
        <w:rPr>
          <w:color w:val="0D0D0D" w:themeColor="text1" w:themeTint="F2"/>
          <w:sz w:val="24"/>
          <w:szCs w:val="24"/>
        </w:rPr>
        <w:t>B</w:t>
      </w:r>
      <w:r w:rsidRPr="003C6DBD">
        <w:rPr>
          <w:color w:val="0D0D0D" w:themeColor="text1" w:themeTint="F2"/>
          <w:sz w:val="24"/>
          <w:szCs w:val="24"/>
        </w:rPr>
        <w:t xml:space="preserve">iofuel </w:t>
      </w:r>
      <w:r w:rsidR="00733780" w:rsidRPr="003C6DBD">
        <w:rPr>
          <w:color w:val="0D0D0D" w:themeColor="text1" w:themeTint="F2"/>
          <w:sz w:val="24"/>
          <w:szCs w:val="24"/>
        </w:rPr>
        <w:t>R</w:t>
      </w:r>
      <w:r w:rsidRPr="003C6DBD">
        <w:rPr>
          <w:color w:val="0D0D0D" w:themeColor="text1" w:themeTint="F2"/>
          <w:sz w:val="24"/>
          <w:szCs w:val="24"/>
        </w:rPr>
        <w:t>egulation</w:t>
      </w:r>
      <w:r w:rsidR="00161361" w:rsidRPr="003C6DBD">
        <w:rPr>
          <w:color w:val="0D0D0D" w:themeColor="text1" w:themeTint="F2"/>
          <w:sz w:val="24"/>
          <w:szCs w:val="24"/>
        </w:rPr>
        <w:t xml:space="preserve"> (BFR)</w:t>
      </w:r>
      <w:r w:rsidRPr="003C6DBD">
        <w:rPr>
          <w:color w:val="0D0D0D" w:themeColor="text1" w:themeTint="F2"/>
          <w:sz w:val="24"/>
          <w:szCs w:val="24"/>
        </w:rPr>
        <w:t xml:space="preserve">. General </w:t>
      </w:r>
      <w:r w:rsidR="00733780" w:rsidRPr="003C6DBD">
        <w:rPr>
          <w:color w:val="0D0D0D" w:themeColor="text1" w:themeTint="F2"/>
          <w:sz w:val="24"/>
          <w:szCs w:val="24"/>
        </w:rPr>
        <w:t>R</w:t>
      </w:r>
      <w:r w:rsidRPr="003C6DBD">
        <w:rPr>
          <w:color w:val="0D0D0D" w:themeColor="text1" w:themeTint="F2"/>
          <w:sz w:val="24"/>
          <w:szCs w:val="24"/>
        </w:rPr>
        <w:t>egulation</w:t>
      </w:r>
      <w:r w:rsidR="00161361" w:rsidRPr="003C6DBD">
        <w:rPr>
          <w:color w:val="0D0D0D" w:themeColor="text1" w:themeTint="F2"/>
          <w:sz w:val="24"/>
          <w:szCs w:val="24"/>
        </w:rPr>
        <w:t xml:space="preserve"> (GNR)</w:t>
      </w:r>
      <w:r w:rsidRPr="003C6DBD">
        <w:rPr>
          <w:color w:val="0D0D0D" w:themeColor="text1" w:themeTint="F2"/>
          <w:sz w:val="24"/>
          <w:szCs w:val="24"/>
        </w:rPr>
        <w:t xml:space="preserve"> includes risks like laws, regulations, and mandates in general, which could adversely affect the operation of the company. Similarly, Environmental, </w:t>
      </w:r>
      <w:r w:rsidR="00733780" w:rsidRPr="003C6DBD">
        <w:rPr>
          <w:color w:val="0D0D0D" w:themeColor="text1" w:themeTint="F2"/>
          <w:sz w:val="24"/>
          <w:szCs w:val="24"/>
        </w:rPr>
        <w:t>H</w:t>
      </w:r>
      <w:r w:rsidRPr="003C6DBD">
        <w:rPr>
          <w:color w:val="0D0D0D" w:themeColor="text1" w:themeTint="F2"/>
          <w:sz w:val="24"/>
          <w:szCs w:val="24"/>
        </w:rPr>
        <w:t xml:space="preserve">ealth, and </w:t>
      </w:r>
      <w:r w:rsidR="00733780" w:rsidRPr="003C6DBD">
        <w:rPr>
          <w:color w:val="0D0D0D" w:themeColor="text1" w:themeTint="F2"/>
          <w:sz w:val="24"/>
          <w:szCs w:val="24"/>
        </w:rPr>
        <w:t>S</w:t>
      </w:r>
      <w:r w:rsidRPr="003C6DBD">
        <w:rPr>
          <w:color w:val="0D0D0D" w:themeColor="text1" w:themeTint="F2"/>
          <w:sz w:val="24"/>
          <w:szCs w:val="24"/>
        </w:rPr>
        <w:t>afety risk</w:t>
      </w:r>
      <w:r w:rsidR="00161361" w:rsidRPr="003C6DBD">
        <w:rPr>
          <w:color w:val="0D0D0D" w:themeColor="text1" w:themeTint="F2"/>
          <w:sz w:val="24"/>
          <w:szCs w:val="24"/>
        </w:rPr>
        <w:t xml:space="preserve"> (</w:t>
      </w:r>
      <w:r w:rsidR="005C245D" w:rsidRPr="003C6DBD">
        <w:rPr>
          <w:color w:val="0D0D0D" w:themeColor="text1" w:themeTint="F2"/>
          <w:sz w:val="24"/>
          <w:szCs w:val="24"/>
        </w:rPr>
        <w:t>EHS) includes</w:t>
      </w:r>
      <w:r w:rsidRPr="003C6DBD">
        <w:rPr>
          <w:color w:val="0D0D0D" w:themeColor="text1" w:themeTint="F2"/>
          <w:sz w:val="24"/>
          <w:szCs w:val="24"/>
        </w:rPr>
        <w:t xml:space="preserve"> risks related to the policies discussing GHGs emission, global warming, and laws and regulations governing the safety of the workers. International</w:t>
      </w:r>
      <w:r w:rsidR="00B51FB3" w:rsidRPr="003C6DBD">
        <w:rPr>
          <w:color w:val="0D0D0D" w:themeColor="text1" w:themeTint="F2"/>
          <w:sz w:val="24"/>
          <w:szCs w:val="24"/>
        </w:rPr>
        <w:t xml:space="preserve"> (INT)</w:t>
      </w:r>
      <w:r w:rsidRPr="003C6DBD">
        <w:rPr>
          <w:color w:val="0D0D0D" w:themeColor="text1" w:themeTint="F2"/>
          <w:sz w:val="24"/>
          <w:szCs w:val="24"/>
        </w:rPr>
        <w:t xml:space="preserve"> risk</w:t>
      </w:r>
      <w:r w:rsidR="00B51FB3" w:rsidRPr="003C6DBD">
        <w:rPr>
          <w:color w:val="0D0D0D" w:themeColor="text1" w:themeTint="F2"/>
          <w:sz w:val="24"/>
          <w:szCs w:val="24"/>
        </w:rPr>
        <w:t xml:space="preserve"> </w:t>
      </w:r>
      <w:r w:rsidRPr="003C6DBD">
        <w:rPr>
          <w:color w:val="0D0D0D" w:themeColor="text1" w:themeTint="F2"/>
          <w:sz w:val="24"/>
          <w:szCs w:val="24"/>
        </w:rPr>
        <w:t xml:space="preserve">is </w:t>
      </w:r>
      <w:r w:rsidR="00680B3B" w:rsidRPr="003C6DBD">
        <w:rPr>
          <w:color w:val="0D0D0D" w:themeColor="text1" w:themeTint="F2"/>
          <w:sz w:val="24"/>
          <w:szCs w:val="24"/>
        </w:rPr>
        <w:t xml:space="preserve">neither significant nor </w:t>
      </w:r>
      <w:r w:rsidR="006E7FB9" w:rsidRPr="003C6DBD">
        <w:rPr>
          <w:color w:val="0D0D0D" w:themeColor="text1" w:themeTint="F2"/>
          <w:sz w:val="24"/>
          <w:szCs w:val="24"/>
        </w:rPr>
        <w:t xml:space="preserve">prevalent in </w:t>
      </w:r>
      <w:r w:rsidRPr="003C6DBD">
        <w:rPr>
          <w:color w:val="0D0D0D" w:themeColor="text1" w:themeTint="F2"/>
          <w:sz w:val="24"/>
          <w:szCs w:val="24"/>
        </w:rPr>
        <w:t xml:space="preserve">all three years. International </w:t>
      </w:r>
      <w:r w:rsidR="006D1D46" w:rsidRPr="003C6DBD">
        <w:rPr>
          <w:color w:val="0D0D0D" w:themeColor="text1" w:themeTint="F2"/>
          <w:sz w:val="24"/>
          <w:szCs w:val="24"/>
        </w:rPr>
        <w:t>(INT)</w:t>
      </w:r>
      <w:r w:rsidRPr="003C6DBD">
        <w:rPr>
          <w:color w:val="0D0D0D" w:themeColor="text1" w:themeTint="F2"/>
          <w:sz w:val="24"/>
          <w:szCs w:val="24"/>
        </w:rPr>
        <w:t xml:space="preserve"> </w:t>
      </w:r>
      <w:r w:rsidR="00680B3B" w:rsidRPr="003C6DBD">
        <w:rPr>
          <w:color w:val="0D0D0D" w:themeColor="text1" w:themeTint="F2"/>
          <w:sz w:val="24"/>
          <w:szCs w:val="24"/>
        </w:rPr>
        <w:t xml:space="preserve">is </w:t>
      </w:r>
      <w:r w:rsidRPr="003C6DBD">
        <w:rPr>
          <w:color w:val="0D0D0D" w:themeColor="text1" w:themeTint="F2"/>
          <w:sz w:val="24"/>
          <w:szCs w:val="24"/>
        </w:rPr>
        <w:t xml:space="preserve">comprised </w:t>
      </w:r>
      <w:r w:rsidR="00680B3B" w:rsidRPr="003C6DBD">
        <w:rPr>
          <w:color w:val="0D0D0D" w:themeColor="text1" w:themeTint="F2"/>
          <w:sz w:val="24"/>
          <w:szCs w:val="24"/>
        </w:rPr>
        <w:t xml:space="preserve">of </w:t>
      </w:r>
      <w:r w:rsidRPr="003C6DBD">
        <w:rPr>
          <w:color w:val="0D0D0D" w:themeColor="text1" w:themeTint="F2"/>
          <w:sz w:val="24"/>
          <w:szCs w:val="24"/>
        </w:rPr>
        <w:t xml:space="preserve">risks related to operating in a specific country or </w:t>
      </w:r>
      <w:r w:rsidR="00680B3B" w:rsidRPr="003C6DBD">
        <w:rPr>
          <w:color w:val="0D0D0D" w:themeColor="text1" w:themeTint="F2"/>
          <w:sz w:val="24"/>
          <w:szCs w:val="24"/>
        </w:rPr>
        <w:t>region</w:t>
      </w:r>
      <w:r w:rsidRPr="003C6DBD">
        <w:rPr>
          <w:color w:val="0D0D0D" w:themeColor="text1" w:themeTint="F2"/>
          <w:sz w:val="24"/>
          <w:szCs w:val="24"/>
        </w:rPr>
        <w:t>.</w:t>
      </w:r>
      <w:r w:rsidR="00680B3B" w:rsidRPr="003C6DBD">
        <w:rPr>
          <w:color w:val="0D0D0D" w:themeColor="text1" w:themeTint="F2"/>
          <w:sz w:val="24"/>
          <w:szCs w:val="24"/>
        </w:rPr>
        <w:t xml:space="preserve"> Similarly,</w:t>
      </w:r>
      <w:r w:rsidRPr="003C6DBD">
        <w:rPr>
          <w:color w:val="0D0D0D" w:themeColor="text1" w:themeTint="F2"/>
          <w:sz w:val="24"/>
          <w:szCs w:val="24"/>
        </w:rPr>
        <w:t xml:space="preserve"> </w:t>
      </w:r>
      <w:r w:rsidR="00733780" w:rsidRPr="003C6DBD">
        <w:rPr>
          <w:color w:val="0D0D0D" w:themeColor="text1" w:themeTint="F2"/>
          <w:sz w:val="24"/>
          <w:szCs w:val="24"/>
        </w:rPr>
        <w:t>I</w:t>
      </w:r>
      <w:r w:rsidRPr="003C6DBD">
        <w:rPr>
          <w:color w:val="0D0D0D" w:themeColor="text1" w:themeTint="F2"/>
          <w:sz w:val="24"/>
          <w:szCs w:val="24"/>
        </w:rPr>
        <w:t>nfrastructure</w:t>
      </w:r>
      <w:r w:rsidR="006D1D46" w:rsidRPr="003C6DBD">
        <w:rPr>
          <w:color w:val="0D0D0D" w:themeColor="text1" w:themeTint="F2"/>
          <w:sz w:val="24"/>
          <w:szCs w:val="24"/>
        </w:rPr>
        <w:t xml:space="preserve"> (INF)</w:t>
      </w:r>
      <w:r w:rsidRPr="003C6DBD">
        <w:rPr>
          <w:color w:val="0D0D0D" w:themeColor="text1" w:themeTint="F2"/>
          <w:sz w:val="24"/>
          <w:szCs w:val="24"/>
        </w:rPr>
        <w:t xml:space="preserve"> is </w:t>
      </w:r>
      <w:r w:rsidR="00680B3B" w:rsidRPr="003C6DBD">
        <w:rPr>
          <w:color w:val="0D0D0D" w:themeColor="text1" w:themeTint="F2"/>
          <w:sz w:val="24"/>
          <w:szCs w:val="24"/>
        </w:rPr>
        <w:t>also neither</w:t>
      </w:r>
      <w:r w:rsidRPr="003C6DBD">
        <w:rPr>
          <w:color w:val="0D0D0D" w:themeColor="text1" w:themeTint="F2"/>
          <w:sz w:val="24"/>
          <w:szCs w:val="24"/>
        </w:rPr>
        <w:t xml:space="preserve"> significant </w:t>
      </w:r>
      <w:r w:rsidR="00680B3B" w:rsidRPr="003C6DBD">
        <w:rPr>
          <w:color w:val="0D0D0D" w:themeColor="text1" w:themeTint="F2"/>
          <w:sz w:val="24"/>
          <w:szCs w:val="24"/>
        </w:rPr>
        <w:t xml:space="preserve">nor prevalent </w:t>
      </w:r>
      <w:r w:rsidRPr="003C6DBD">
        <w:rPr>
          <w:color w:val="0D0D0D" w:themeColor="text1" w:themeTint="F2"/>
          <w:sz w:val="24"/>
          <w:szCs w:val="24"/>
        </w:rPr>
        <w:t xml:space="preserve">risk in the political risk category in </w:t>
      </w:r>
      <w:r w:rsidR="00680B3B" w:rsidRPr="003C6DBD">
        <w:rPr>
          <w:color w:val="0D0D0D" w:themeColor="text1" w:themeTint="F2"/>
          <w:sz w:val="24"/>
          <w:szCs w:val="24"/>
        </w:rPr>
        <w:t>2018 and 2019</w:t>
      </w:r>
      <w:r w:rsidRPr="003C6DBD">
        <w:rPr>
          <w:color w:val="0D0D0D" w:themeColor="text1" w:themeTint="F2"/>
          <w:sz w:val="24"/>
          <w:szCs w:val="24"/>
        </w:rPr>
        <w:t xml:space="preserve">. Infrastructure includes risks associated with the infrastructure needed for transportation and logistics of </w:t>
      </w:r>
      <w:r w:rsidR="00FA1612" w:rsidRPr="003C6DBD">
        <w:rPr>
          <w:color w:val="0D0D0D" w:themeColor="text1" w:themeTint="F2"/>
          <w:sz w:val="24"/>
          <w:szCs w:val="24"/>
        </w:rPr>
        <w:t>biofuels</w:t>
      </w:r>
      <w:r w:rsidRPr="003C6DBD">
        <w:rPr>
          <w:color w:val="0D0D0D" w:themeColor="text1" w:themeTint="F2"/>
          <w:sz w:val="24"/>
          <w:szCs w:val="24"/>
        </w:rPr>
        <w:t>.</w:t>
      </w:r>
      <w:r w:rsidR="003F6F35" w:rsidRPr="003C6DBD">
        <w:rPr>
          <w:color w:val="0D0D0D" w:themeColor="text1" w:themeTint="F2"/>
          <w:sz w:val="24"/>
          <w:szCs w:val="24"/>
        </w:rPr>
        <w:t xml:space="preserve">  </w:t>
      </w:r>
      <w:bookmarkStart w:id="34" w:name="_Toc102229899"/>
    </w:p>
    <w:p w14:paraId="5CA234A7" w14:textId="4827D921" w:rsidR="00564688" w:rsidRPr="003C6DBD" w:rsidRDefault="003F6F35" w:rsidP="002A7494">
      <w:pPr>
        <w:pStyle w:val="Heading4"/>
        <w:rPr>
          <w:color w:val="0D0D0D" w:themeColor="text1" w:themeTint="F2"/>
        </w:rPr>
      </w:pPr>
      <w:r w:rsidRPr="003C6DBD">
        <w:rPr>
          <w:color w:val="0D0D0D" w:themeColor="text1" w:themeTint="F2"/>
        </w:rPr>
        <w:t>5.</w:t>
      </w:r>
      <w:r w:rsidR="00B43A4A" w:rsidRPr="003C6DBD">
        <w:rPr>
          <w:color w:val="0D0D0D" w:themeColor="text1" w:themeTint="F2"/>
        </w:rPr>
        <w:t>1.</w:t>
      </w:r>
      <w:r w:rsidRPr="003C6DBD">
        <w:rPr>
          <w:color w:val="0D0D0D" w:themeColor="text1" w:themeTint="F2"/>
        </w:rPr>
        <w:t xml:space="preserve">2 </w:t>
      </w:r>
      <w:r w:rsidR="00F70A21" w:rsidRPr="003C6DBD">
        <w:rPr>
          <w:color w:val="0D0D0D" w:themeColor="text1" w:themeTint="F2"/>
        </w:rPr>
        <w:t>Economic Risks</w:t>
      </w:r>
      <w:bookmarkEnd w:id="34"/>
    </w:p>
    <w:p w14:paraId="61C71F88" w14:textId="75E00920" w:rsidR="00F70A21" w:rsidRPr="003C6DBD" w:rsidRDefault="006159F7" w:rsidP="0064443F">
      <w:pPr>
        <w:pStyle w:val="ListParagraph"/>
        <w:spacing w:line="480" w:lineRule="auto"/>
        <w:ind w:left="0"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Figures 2 displays the prevalence and significance of risk factors under </w:t>
      </w:r>
      <w:r w:rsidR="00FE173C" w:rsidRPr="003C6DBD">
        <w:rPr>
          <w:rFonts w:ascii="Times New Roman" w:hAnsi="Times New Roman" w:cs="Times New Roman"/>
          <w:color w:val="0D0D0D" w:themeColor="text1" w:themeTint="F2"/>
          <w:sz w:val="24"/>
          <w:szCs w:val="24"/>
        </w:rPr>
        <w:t xml:space="preserve">the </w:t>
      </w:r>
      <w:r w:rsidRPr="003C6DBD">
        <w:rPr>
          <w:rFonts w:ascii="Times New Roman" w:hAnsi="Times New Roman" w:cs="Times New Roman"/>
          <w:color w:val="0D0D0D" w:themeColor="text1" w:themeTint="F2"/>
          <w:sz w:val="24"/>
          <w:szCs w:val="24"/>
        </w:rPr>
        <w:t xml:space="preserve">economic risks category reported by the ALL portfolio of sample biofuel companies for 2021, 2020, 2019, and 2018. </w:t>
      </w:r>
      <w:r w:rsidR="0009752D" w:rsidRPr="003C6DBD">
        <w:rPr>
          <w:rFonts w:ascii="Times New Roman" w:hAnsi="Times New Roman" w:cs="Times New Roman"/>
          <w:color w:val="0D0D0D" w:themeColor="text1" w:themeTint="F2"/>
          <w:sz w:val="24"/>
          <w:szCs w:val="24"/>
        </w:rPr>
        <w:t xml:space="preserve">General </w:t>
      </w:r>
      <w:r w:rsidR="00733780" w:rsidRPr="003C6DBD">
        <w:rPr>
          <w:rFonts w:ascii="Times New Roman" w:hAnsi="Times New Roman" w:cs="Times New Roman"/>
          <w:color w:val="0D0D0D" w:themeColor="text1" w:themeTint="F2"/>
          <w:sz w:val="24"/>
          <w:szCs w:val="24"/>
        </w:rPr>
        <w:t>E</w:t>
      </w:r>
      <w:r w:rsidR="0009752D" w:rsidRPr="003C6DBD">
        <w:rPr>
          <w:rFonts w:ascii="Times New Roman" w:hAnsi="Times New Roman" w:cs="Times New Roman"/>
          <w:color w:val="0D0D0D" w:themeColor="text1" w:themeTint="F2"/>
          <w:sz w:val="24"/>
          <w:szCs w:val="24"/>
        </w:rPr>
        <w:t xml:space="preserve">conomic </w:t>
      </w:r>
      <w:r w:rsidR="00733780" w:rsidRPr="003C6DBD">
        <w:rPr>
          <w:rFonts w:ascii="Times New Roman" w:hAnsi="Times New Roman" w:cs="Times New Roman"/>
          <w:color w:val="0D0D0D" w:themeColor="text1" w:themeTint="F2"/>
          <w:sz w:val="24"/>
          <w:szCs w:val="24"/>
        </w:rPr>
        <w:t>C</w:t>
      </w:r>
      <w:r w:rsidR="0009752D" w:rsidRPr="003C6DBD">
        <w:rPr>
          <w:rFonts w:ascii="Times New Roman" w:hAnsi="Times New Roman" w:cs="Times New Roman"/>
          <w:color w:val="0D0D0D" w:themeColor="text1" w:themeTint="F2"/>
          <w:sz w:val="24"/>
          <w:szCs w:val="24"/>
        </w:rPr>
        <w:t>ondition</w:t>
      </w:r>
      <w:r w:rsidR="005B746D" w:rsidRPr="003C6DBD">
        <w:rPr>
          <w:rFonts w:ascii="Times New Roman" w:hAnsi="Times New Roman" w:cs="Times New Roman"/>
          <w:color w:val="0D0D0D" w:themeColor="text1" w:themeTint="F2"/>
          <w:sz w:val="24"/>
          <w:szCs w:val="24"/>
        </w:rPr>
        <w:t xml:space="preserve"> (GEC)</w:t>
      </w:r>
      <w:r w:rsidR="0009752D" w:rsidRPr="003C6DBD">
        <w:rPr>
          <w:rFonts w:ascii="Times New Roman" w:hAnsi="Times New Roman" w:cs="Times New Roman"/>
          <w:color w:val="0D0D0D" w:themeColor="text1" w:themeTint="F2"/>
          <w:sz w:val="24"/>
          <w:szCs w:val="24"/>
        </w:rPr>
        <w:t xml:space="preserve"> </w:t>
      </w:r>
      <w:r w:rsidR="008E0998" w:rsidRPr="003C6DBD">
        <w:rPr>
          <w:rFonts w:ascii="Times New Roman" w:hAnsi="Times New Roman" w:cs="Times New Roman"/>
          <w:color w:val="0D0D0D" w:themeColor="text1" w:themeTint="F2"/>
          <w:sz w:val="24"/>
          <w:szCs w:val="24"/>
        </w:rPr>
        <w:t xml:space="preserve">is </w:t>
      </w:r>
      <w:r w:rsidR="00CB29CA" w:rsidRPr="003C6DBD">
        <w:rPr>
          <w:rFonts w:ascii="Times New Roman" w:hAnsi="Times New Roman" w:cs="Times New Roman"/>
          <w:color w:val="0D0D0D" w:themeColor="text1" w:themeTint="F2"/>
          <w:sz w:val="24"/>
          <w:szCs w:val="24"/>
        </w:rPr>
        <w:t>found to be</w:t>
      </w:r>
      <w:r w:rsidR="0009752D" w:rsidRPr="003C6DBD">
        <w:rPr>
          <w:rFonts w:ascii="Times New Roman" w:hAnsi="Times New Roman" w:cs="Times New Roman"/>
          <w:color w:val="0D0D0D" w:themeColor="text1" w:themeTint="F2"/>
          <w:sz w:val="24"/>
          <w:szCs w:val="24"/>
        </w:rPr>
        <w:t xml:space="preserve"> </w:t>
      </w:r>
      <w:r w:rsidR="00FE173C" w:rsidRPr="003C6DBD">
        <w:rPr>
          <w:rFonts w:ascii="Times New Roman" w:hAnsi="Times New Roman" w:cs="Times New Roman"/>
          <w:color w:val="0D0D0D" w:themeColor="text1" w:themeTint="F2"/>
          <w:sz w:val="24"/>
          <w:szCs w:val="24"/>
        </w:rPr>
        <w:t xml:space="preserve">a </w:t>
      </w:r>
      <w:r w:rsidR="0009752D" w:rsidRPr="003C6DBD">
        <w:rPr>
          <w:rFonts w:ascii="Times New Roman" w:hAnsi="Times New Roman" w:cs="Times New Roman"/>
          <w:color w:val="0D0D0D" w:themeColor="text1" w:themeTint="F2"/>
          <w:sz w:val="24"/>
          <w:szCs w:val="24"/>
        </w:rPr>
        <w:t xml:space="preserve">prevalent and significant risk under the economic risk category for </w:t>
      </w:r>
      <w:r w:rsidR="008E0998" w:rsidRPr="003C6DBD">
        <w:rPr>
          <w:rFonts w:ascii="Times New Roman" w:hAnsi="Times New Roman" w:cs="Times New Roman"/>
          <w:color w:val="0D0D0D" w:themeColor="text1" w:themeTint="F2"/>
          <w:sz w:val="24"/>
          <w:szCs w:val="24"/>
        </w:rPr>
        <w:t>all four</w:t>
      </w:r>
      <w:r w:rsidR="0009752D" w:rsidRPr="003C6DBD">
        <w:rPr>
          <w:rFonts w:ascii="Times New Roman" w:hAnsi="Times New Roman" w:cs="Times New Roman"/>
          <w:color w:val="0D0D0D" w:themeColor="text1" w:themeTint="F2"/>
          <w:sz w:val="24"/>
          <w:szCs w:val="24"/>
        </w:rPr>
        <w:t xml:space="preserve"> years</w:t>
      </w:r>
      <w:r w:rsidR="008E0998" w:rsidRPr="003C6DBD">
        <w:rPr>
          <w:rFonts w:ascii="Times New Roman" w:hAnsi="Times New Roman" w:cs="Times New Roman"/>
          <w:color w:val="0D0D0D" w:themeColor="text1" w:themeTint="F2"/>
          <w:sz w:val="24"/>
          <w:szCs w:val="24"/>
        </w:rPr>
        <w:t xml:space="preserve"> of study</w:t>
      </w:r>
      <w:r w:rsidR="0009752D" w:rsidRPr="003C6DBD">
        <w:rPr>
          <w:rFonts w:ascii="Times New Roman" w:hAnsi="Times New Roman" w:cs="Times New Roman"/>
          <w:color w:val="0D0D0D" w:themeColor="text1" w:themeTint="F2"/>
          <w:sz w:val="24"/>
          <w:szCs w:val="24"/>
        </w:rPr>
        <w:t xml:space="preserve">. General </w:t>
      </w:r>
      <w:r w:rsidR="00733780" w:rsidRPr="003C6DBD">
        <w:rPr>
          <w:rFonts w:ascii="Times New Roman" w:hAnsi="Times New Roman" w:cs="Times New Roman"/>
          <w:color w:val="0D0D0D" w:themeColor="text1" w:themeTint="F2"/>
          <w:sz w:val="24"/>
          <w:szCs w:val="24"/>
        </w:rPr>
        <w:t>E</w:t>
      </w:r>
      <w:r w:rsidR="0009752D" w:rsidRPr="003C6DBD">
        <w:rPr>
          <w:rFonts w:ascii="Times New Roman" w:hAnsi="Times New Roman" w:cs="Times New Roman"/>
          <w:color w:val="0D0D0D" w:themeColor="text1" w:themeTint="F2"/>
          <w:sz w:val="24"/>
          <w:szCs w:val="24"/>
        </w:rPr>
        <w:t xml:space="preserve">conomic </w:t>
      </w:r>
      <w:r w:rsidR="00733780" w:rsidRPr="003C6DBD">
        <w:rPr>
          <w:rFonts w:ascii="Times New Roman" w:hAnsi="Times New Roman" w:cs="Times New Roman"/>
          <w:color w:val="0D0D0D" w:themeColor="text1" w:themeTint="F2"/>
          <w:sz w:val="24"/>
          <w:szCs w:val="24"/>
        </w:rPr>
        <w:t>C</w:t>
      </w:r>
      <w:r w:rsidR="0009752D" w:rsidRPr="003C6DBD">
        <w:rPr>
          <w:rFonts w:ascii="Times New Roman" w:hAnsi="Times New Roman" w:cs="Times New Roman"/>
          <w:color w:val="0D0D0D" w:themeColor="text1" w:themeTint="F2"/>
          <w:sz w:val="24"/>
          <w:szCs w:val="24"/>
        </w:rPr>
        <w:t>ondition</w:t>
      </w:r>
      <w:r w:rsidR="00733780" w:rsidRPr="003C6DBD">
        <w:rPr>
          <w:rFonts w:ascii="Times New Roman" w:hAnsi="Times New Roman" w:cs="Times New Roman"/>
          <w:color w:val="0D0D0D" w:themeColor="text1" w:themeTint="F2"/>
          <w:sz w:val="24"/>
          <w:szCs w:val="24"/>
        </w:rPr>
        <w:t xml:space="preserve"> </w:t>
      </w:r>
      <w:r w:rsidR="007177AA" w:rsidRPr="003C6DBD">
        <w:rPr>
          <w:rFonts w:ascii="Times New Roman" w:hAnsi="Times New Roman" w:cs="Times New Roman"/>
          <w:color w:val="0D0D0D" w:themeColor="text1" w:themeTint="F2"/>
          <w:sz w:val="24"/>
          <w:szCs w:val="24"/>
        </w:rPr>
        <w:t>(GEC)</w:t>
      </w:r>
      <w:r w:rsidR="0009752D" w:rsidRPr="003C6DBD">
        <w:rPr>
          <w:rFonts w:ascii="Times New Roman" w:hAnsi="Times New Roman" w:cs="Times New Roman"/>
          <w:color w:val="0D0D0D" w:themeColor="text1" w:themeTint="F2"/>
          <w:sz w:val="24"/>
          <w:szCs w:val="24"/>
        </w:rPr>
        <w:t xml:space="preserve"> include risks like economic downturns, regional economic volatilities, seasonal fluctuations, etc. </w:t>
      </w:r>
      <w:r w:rsidR="008E0998" w:rsidRPr="003C6DBD">
        <w:rPr>
          <w:rFonts w:ascii="Times New Roman" w:hAnsi="Times New Roman" w:cs="Times New Roman"/>
          <w:color w:val="0D0D0D" w:themeColor="text1" w:themeTint="F2"/>
          <w:sz w:val="24"/>
          <w:szCs w:val="24"/>
        </w:rPr>
        <w:t xml:space="preserve">Markets-feedstock (MRF) is found to be </w:t>
      </w:r>
      <w:r w:rsidR="00FE173C" w:rsidRPr="003C6DBD">
        <w:rPr>
          <w:rFonts w:ascii="Times New Roman" w:hAnsi="Times New Roman" w:cs="Times New Roman"/>
          <w:color w:val="0D0D0D" w:themeColor="text1" w:themeTint="F2"/>
          <w:sz w:val="24"/>
          <w:szCs w:val="24"/>
        </w:rPr>
        <w:t xml:space="preserve">a </w:t>
      </w:r>
      <w:r w:rsidR="008E0998" w:rsidRPr="003C6DBD">
        <w:rPr>
          <w:rFonts w:ascii="Times New Roman" w:hAnsi="Times New Roman" w:cs="Times New Roman"/>
          <w:color w:val="0D0D0D" w:themeColor="text1" w:themeTint="F2"/>
          <w:sz w:val="24"/>
          <w:szCs w:val="24"/>
        </w:rPr>
        <w:t xml:space="preserve">prevalent and significant risk in 2018 and 2019. </w:t>
      </w:r>
      <w:r w:rsidR="0009752D" w:rsidRPr="003C6DBD">
        <w:rPr>
          <w:rFonts w:ascii="Times New Roman" w:hAnsi="Times New Roman" w:cs="Times New Roman"/>
          <w:color w:val="0D0D0D" w:themeColor="text1" w:themeTint="F2"/>
          <w:sz w:val="24"/>
          <w:szCs w:val="24"/>
        </w:rPr>
        <w:t xml:space="preserve">Markets-feedstock </w:t>
      </w:r>
      <w:r w:rsidR="007177AA" w:rsidRPr="003C6DBD">
        <w:rPr>
          <w:rFonts w:ascii="Times New Roman" w:hAnsi="Times New Roman" w:cs="Times New Roman"/>
          <w:color w:val="0D0D0D" w:themeColor="text1" w:themeTint="F2"/>
          <w:sz w:val="24"/>
          <w:szCs w:val="24"/>
        </w:rPr>
        <w:t>(MRF)</w:t>
      </w:r>
      <w:r w:rsidR="005B746D" w:rsidRPr="003C6DBD">
        <w:rPr>
          <w:rFonts w:ascii="Times New Roman" w:hAnsi="Times New Roman" w:cs="Times New Roman"/>
          <w:color w:val="0D0D0D" w:themeColor="text1" w:themeTint="F2"/>
          <w:sz w:val="24"/>
          <w:szCs w:val="24"/>
        </w:rPr>
        <w:t xml:space="preserve"> includes</w:t>
      </w:r>
      <w:r w:rsidR="007177AA" w:rsidRPr="003C6DBD">
        <w:rPr>
          <w:rFonts w:ascii="Times New Roman" w:hAnsi="Times New Roman" w:cs="Times New Roman"/>
          <w:color w:val="0D0D0D" w:themeColor="text1" w:themeTint="F2"/>
          <w:sz w:val="24"/>
          <w:szCs w:val="24"/>
        </w:rPr>
        <w:t xml:space="preserve"> </w:t>
      </w:r>
      <w:r w:rsidR="0009752D" w:rsidRPr="003C6DBD">
        <w:rPr>
          <w:rFonts w:ascii="Times New Roman" w:hAnsi="Times New Roman" w:cs="Times New Roman"/>
          <w:color w:val="0D0D0D" w:themeColor="text1" w:themeTint="F2"/>
          <w:sz w:val="24"/>
          <w:szCs w:val="24"/>
        </w:rPr>
        <w:t xml:space="preserve">risks </w:t>
      </w:r>
      <w:r w:rsidR="005B746D" w:rsidRPr="003C6DBD">
        <w:rPr>
          <w:rFonts w:ascii="Times New Roman" w:hAnsi="Times New Roman" w:cs="Times New Roman"/>
          <w:color w:val="0D0D0D" w:themeColor="text1" w:themeTint="F2"/>
          <w:sz w:val="24"/>
          <w:szCs w:val="24"/>
        </w:rPr>
        <w:t>related to production, availability, supply, and pricing of feedstocks</w:t>
      </w:r>
      <w:r w:rsidR="0009752D" w:rsidRPr="003C6DBD">
        <w:rPr>
          <w:rFonts w:ascii="Times New Roman" w:hAnsi="Times New Roman" w:cs="Times New Roman"/>
          <w:color w:val="0D0D0D" w:themeColor="text1" w:themeTint="F2"/>
          <w:sz w:val="24"/>
          <w:szCs w:val="24"/>
        </w:rPr>
        <w:t>. Markets-biofuels</w:t>
      </w:r>
      <w:r w:rsidR="007177AA" w:rsidRPr="003C6DBD">
        <w:rPr>
          <w:rFonts w:ascii="Times New Roman" w:hAnsi="Times New Roman" w:cs="Times New Roman"/>
          <w:color w:val="0D0D0D" w:themeColor="text1" w:themeTint="F2"/>
          <w:sz w:val="24"/>
          <w:szCs w:val="24"/>
        </w:rPr>
        <w:t xml:space="preserve"> (MRB)</w:t>
      </w:r>
      <w:r w:rsidR="0009752D" w:rsidRPr="003C6DBD">
        <w:rPr>
          <w:rFonts w:ascii="Times New Roman" w:hAnsi="Times New Roman" w:cs="Times New Roman"/>
          <w:color w:val="0D0D0D" w:themeColor="text1" w:themeTint="F2"/>
          <w:sz w:val="24"/>
          <w:szCs w:val="24"/>
        </w:rPr>
        <w:t xml:space="preserve"> risk </w:t>
      </w:r>
      <w:r w:rsidR="007177AA" w:rsidRPr="003C6DBD">
        <w:rPr>
          <w:rFonts w:ascii="Times New Roman" w:hAnsi="Times New Roman" w:cs="Times New Roman"/>
          <w:color w:val="0D0D0D" w:themeColor="text1" w:themeTint="F2"/>
          <w:sz w:val="24"/>
          <w:szCs w:val="24"/>
        </w:rPr>
        <w:t>is</w:t>
      </w:r>
      <w:r w:rsidR="0009752D" w:rsidRPr="003C6DBD">
        <w:rPr>
          <w:rFonts w:ascii="Times New Roman" w:hAnsi="Times New Roman" w:cs="Times New Roman"/>
          <w:color w:val="0D0D0D" w:themeColor="text1" w:themeTint="F2"/>
          <w:sz w:val="24"/>
          <w:szCs w:val="24"/>
        </w:rPr>
        <w:t xml:space="preserve"> </w:t>
      </w:r>
      <w:r w:rsidR="005B2472" w:rsidRPr="003C6DBD">
        <w:rPr>
          <w:rFonts w:ascii="Times New Roman" w:hAnsi="Times New Roman" w:cs="Times New Roman"/>
          <w:color w:val="0D0D0D" w:themeColor="text1" w:themeTint="F2"/>
          <w:sz w:val="24"/>
          <w:szCs w:val="24"/>
        </w:rPr>
        <w:t>not a prevalent risk</w:t>
      </w:r>
      <w:r w:rsidR="0009752D" w:rsidRPr="003C6DBD">
        <w:rPr>
          <w:rFonts w:ascii="Times New Roman" w:hAnsi="Times New Roman" w:cs="Times New Roman"/>
          <w:color w:val="0D0D0D" w:themeColor="text1" w:themeTint="F2"/>
          <w:sz w:val="24"/>
          <w:szCs w:val="24"/>
        </w:rPr>
        <w:t xml:space="preserve"> </w:t>
      </w:r>
      <w:r w:rsidR="005B2472" w:rsidRPr="003C6DBD">
        <w:rPr>
          <w:rFonts w:ascii="Times New Roman" w:hAnsi="Times New Roman" w:cs="Times New Roman"/>
          <w:color w:val="0D0D0D" w:themeColor="text1" w:themeTint="F2"/>
          <w:sz w:val="24"/>
          <w:szCs w:val="24"/>
        </w:rPr>
        <w:t xml:space="preserve">but </w:t>
      </w:r>
      <w:r w:rsidR="0009752D" w:rsidRPr="003C6DBD">
        <w:rPr>
          <w:rFonts w:ascii="Times New Roman" w:hAnsi="Times New Roman" w:cs="Times New Roman"/>
          <w:color w:val="0D0D0D" w:themeColor="text1" w:themeTint="F2"/>
          <w:sz w:val="24"/>
          <w:szCs w:val="24"/>
        </w:rPr>
        <w:t xml:space="preserve">the most significant risk </w:t>
      </w:r>
      <w:r w:rsidR="005B746D" w:rsidRPr="003C6DBD">
        <w:rPr>
          <w:rFonts w:ascii="Times New Roman" w:hAnsi="Times New Roman" w:cs="Times New Roman"/>
          <w:color w:val="0D0D0D" w:themeColor="text1" w:themeTint="F2"/>
          <w:sz w:val="24"/>
          <w:szCs w:val="24"/>
        </w:rPr>
        <w:t xml:space="preserve">under </w:t>
      </w:r>
      <w:r w:rsidR="00FA1612" w:rsidRPr="003C6DBD">
        <w:rPr>
          <w:rFonts w:ascii="Times New Roman" w:hAnsi="Times New Roman" w:cs="Times New Roman"/>
          <w:color w:val="0D0D0D" w:themeColor="text1" w:themeTint="F2"/>
          <w:sz w:val="24"/>
          <w:szCs w:val="24"/>
        </w:rPr>
        <w:t>the economic</w:t>
      </w:r>
      <w:r w:rsidR="005B746D" w:rsidRPr="003C6DBD">
        <w:rPr>
          <w:rFonts w:ascii="Times New Roman" w:hAnsi="Times New Roman" w:cs="Times New Roman"/>
          <w:color w:val="0D0D0D" w:themeColor="text1" w:themeTint="F2"/>
          <w:sz w:val="24"/>
          <w:szCs w:val="24"/>
        </w:rPr>
        <w:t xml:space="preserve"> risk </w:t>
      </w:r>
      <w:r w:rsidR="0009752D" w:rsidRPr="003C6DBD">
        <w:rPr>
          <w:rFonts w:ascii="Times New Roman" w:hAnsi="Times New Roman" w:cs="Times New Roman"/>
          <w:color w:val="0D0D0D" w:themeColor="text1" w:themeTint="F2"/>
          <w:sz w:val="24"/>
          <w:szCs w:val="24"/>
        </w:rPr>
        <w:t xml:space="preserve">category in all </w:t>
      </w:r>
      <w:r w:rsidR="005B2472" w:rsidRPr="003C6DBD">
        <w:rPr>
          <w:rFonts w:ascii="Times New Roman" w:hAnsi="Times New Roman" w:cs="Times New Roman"/>
          <w:color w:val="0D0D0D" w:themeColor="text1" w:themeTint="F2"/>
          <w:sz w:val="24"/>
          <w:szCs w:val="24"/>
        </w:rPr>
        <w:t>four</w:t>
      </w:r>
      <w:r w:rsidR="0009752D" w:rsidRPr="003C6DBD">
        <w:rPr>
          <w:rFonts w:ascii="Times New Roman" w:hAnsi="Times New Roman" w:cs="Times New Roman"/>
          <w:color w:val="0D0D0D" w:themeColor="text1" w:themeTint="F2"/>
          <w:sz w:val="24"/>
          <w:szCs w:val="24"/>
        </w:rPr>
        <w:t xml:space="preserve"> years. </w:t>
      </w:r>
      <w:r w:rsidR="005B746D" w:rsidRPr="003C6DBD">
        <w:rPr>
          <w:rFonts w:ascii="Times New Roman" w:hAnsi="Times New Roman" w:cs="Times New Roman"/>
          <w:color w:val="0D0D0D" w:themeColor="text1" w:themeTint="F2"/>
          <w:sz w:val="24"/>
          <w:szCs w:val="24"/>
        </w:rPr>
        <w:t xml:space="preserve">Markets-biofuels (MRB) </w:t>
      </w:r>
      <w:r w:rsidR="0009752D" w:rsidRPr="003C6DBD">
        <w:rPr>
          <w:rFonts w:ascii="Times New Roman" w:hAnsi="Times New Roman" w:cs="Times New Roman"/>
          <w:color w:val="0D0D0D" w:themeColor="text1" w:themeTint="F2"/>
          <w:sz w:val="24"/>
          <w:szCs w:val="24"/>
        </w:rPr>
        <w:t>include risks like demand, supply, and pric</w:t>
      </w:r>
      <w:r w:rsidR="005B746D" w:rsidRPr="003C6DBD">
        <w:rPr>
          <w:rFonts w:ascii="Times New Roman" w:hAnsi="Times New Roman" w:cs="Times New Roman"/>
          <w:color w:val="0D0D0D" w:themeColor="text1" w:themeTint="F2"/>
          <w:sz w:val="24"/>
          <w:szCs w:val="24"/>
        </w:rPr>
        <w:t>ing</w:t>
      </w:r>
      <w:r w:rsidR="0009752D" w:rsidRPr="003C6DBD">
        <w:rPr>
          <w:rFonts w:ascii="Times New Roman" w:hAnsi="Times New Roman" w:cs="Times New Roman"/>
          <w:color w:val="0D0D0D" w:themeColor="text1" w:themeTint="F2"/>
          <w:sz w:val="24"/>
          <w:szCs w:val="24"/>
        </w:rPr>
        <w:t xml:space="preserve"> </w:t>
      </w:r>
      <w:r w:rsidR="005B746D" w:rsidRPr="003C6DBD">
        <w:rPr>
          <w:rFonts w:ascii="Times New Roman" w:hAnsi="Times New Roman" w:cs="Times New Roman"/>
          <w:color w:val="0D0D0D" w:themeColor="text1" w:themeTint="F2"/>
          <w:sz w:val="24"/>
          <w:szCs w:val="24"/>
        </w:rPr>
        <w:t xml:space="preserve">of </w:t>
      </w:r>
      <w:r w:rsidR="0009752D" w:rsidRPr="003C6DBD">
        <w:rPr>
          <w:rFonts w:ascii="Times New Roman" w:hAnsi="Times New Roman" w:cs="Times New Roman"/>
          <w:color w:val="0D0D0D" w:themeColor="text1" w:themeTint="F2"/>
          <w:sz w:val="24"/>
          <w:szCs w:val="24"/>
        </w:rPr>
        <w:t>biofuels.</w:t>
      </w:r>
      <w:r w:rsidR="001B24B1" w:rsidRPr="003C6DBD">
        <w:rPr>
          <w:rFonts w:ascii="Times New Roman" w:hAnsi="Times New Roman" w:cs="Times New Roman"/>
          <w:color w:val="0D0D0D" w:themeColor="text1" w:themeTint="F2"/>
          <w:sz w:val="24"/>
          <w:szCs w:val="24"/>
        </w:rPr>
        <w:t xml:space="preserve"> C</w:t>
      </w:r>
      <w:r w:rsidR="0009752D" w:rsidRPr="003C6DBD">
        <w:rPr>
          <w:rFonts w:ascii="Times New Roman" w:hAnsi="Times New Roman" w:cs="Times New Roman"/>
          <w:color w:val="0D0D0D" w:themeColor="text1" w:themeTint="F2"/>
          <w:sz w:val="24"/>
          <w:szCs w:val="24"/>
        </w:rPr>
        <w:t xml:space="preserve">ompetition </w:t>
      </w:r>
      <w:r w:rsidR="00C642D5" w:rsidRPr="003C6DBD">
        <w:rPr>
          <w:rFonts w:ascii="Times New Roman" w:hAnsi="Times New Roman" w:cs="Times New Roman"/>
          <w:color w:val="0D0D0D" w:themeColor="text1" w:themeTint="F2"/>
          <w:sz w:val="24"/>
          <w:szCs w:val="24"/>
        </w:rPr>
        <w:t xml:space="preserve">(COM) </w:t>
      </w:r>
      <w:r w:rsidR="0009752D" w:rsidRPr="003C6DBD">
        <w:rPr>
          <w:rFonts w:ascii="Times New Roman" w:hAnsi="Times New Roman" w:cs="Times New Roman"/>
          <w:color w:val="0D0D0D" w:themeColor="text1" w:themeTint="F2"/>
          <w:sz w:val="24"/>
          <w:szCs w:val="24"/>
        </w:rPr>
        <w:t>risk is related to competition with other related companies in production, marketing, and supply chain. Competition</w:t>
      </w:r>
      <w:r w:rsidR="00C642D5" w:rsidRPr="003C6DBD">
        <w:rPr>
          <w:rFonts w:ascii="Times New Roman" w:hAnsi="Times New Roman" w:cs="Times New Roman"/>
          <w:color w:val="0D0D0D" w:themeColor="text1" w:themeTint="F2"/>
          <w:sz w:val="24"/>
          <w:szCs w:val="24"/>
        </w:rPr>
        <w:t xml:space="preserve"> (COM)</w:t>
      </w:r>
      <w:r w:rsidR="0009752D" w:rsidRPr="003C6DBD">
        <w:rPr>
          <w:rFonts w:ascii="Times New Roman" w:hAnsi="Times New Roman" w:cs="Times New Roman"/>
          <w:color w:val="0D0D0D" w:themeColor="text1" w:themeTint="F2"/>
          <w:sz w:val="24"/>
          <w:szCs w:val="24"/>
        </w:rPr>
        <w:t xml:space="preserve"> </w:t>
      </w:r>
      <w:r w:rsidR="001B24B1" w:rsidRPr="003C6DBD">
        <w:rPr>
          <w:rFonts w:ascii="Times New Roman" w:hAnsi="Times New Roman" w:cs="Times New Roman"/>
          <w:color w:val="0D0D0D" w:themeColor="text1" w:themeTint="F2"/>
          <w:sz w:val="24"/>
          <w:szCs w:val="24"/>
        </w:rPr>
        <w:t>is</w:t>
      </w:r>
      <w:r w:rsidR="0009752D" w:rsidRPr="003C6DBD">
        <w:rPr>
          <w:rFonts w:ascii="Times New Roman" w:hAnsi="Times New Roman" w:cs="Times New Roman"/>
          <w:color w:val="0D0D0D" w:themeColor="text1" w:themeTint="F2"/>
          <w:sz w:val="24"/>
          <w:szCs w:val="24"/>
        </w:rPr>
        <w:t xml:space="preserve"> </w:t>
      </w:r>
      <w:r w:rsidR="0009752D" w:rsidRPr="003C6DBD">
        <w:rPr>
          <w:rFonts w:ascii="Times New Roman" w:hAnsi="Times New Roman" w:cs="Times New Roman"/>
          <w:color w:val="0D0D0D" w:themeColor="text1" w:themeTint="F2"/>
          <w:sz w:val="24"/>
          <w:szCs w:val="24"/>
        </w:rPr>
        <w:lastRenderedPageBreak/>
        <w:t>reported to be prevalent</w:t>
      </w:r>
      <w:r w:rsidR="001B24B1" w:rsidRPr="003C6DBD">
        <w:rPr>
          <w:rFonts w:ascii="Times New Roman" w:hAnsi="Times New Roman" w:cs="Times New Roman"/>
          <w:color w:val="0D0D0D" w:themeColor="text1" w:themeTint="F2"/>
          <w:sz w:val="24"/>
          <w:szCs w:val="24"/>
        </w:rPr>
        <w:t xml:space="preserve"> but not significant risk for sample</w:t>
      </w:r>
      <w:r w:rsidR="0009752D" w:rsidRPr="003C6DBD">
        <w:rPr>
          <w:rFonts w:ascii="Times New Roman" w:hAnsi="Times New Roman" w:cs="Times New Roman"/>
          <w:color w:val="0D0D0D" w:themeColor="text1" w:themeTint="F2"/>
          <w:sz w:val="24"/>
          <w:szCs w:val="24"/>
        </w:rPr>
        <w:t xml:space="preserve"> biofuel companies</w:t>
      </w:r>
      <w:r w:rsidR="00C642D5" w:rsidRPr="003C6DBD">
        <w:rPr>
          <w:rFonts w:ascii="Times New Roman" w:hAnsi="Times New Roman" w:cs="Times New Roman"/>
          <w:color w:val="0D0D0D" w:themeColor="text1" w:themeTint="F2"/>
          <w:sz w:val="24"/>
          <w:szCs w:val="24"/>
        </w:rPr>
        <w:t xml:space="preserve"> in all </w:t>
      </w:r>
      <w:r w:rsidR="007A3488" w:rsidRPr="003C6DBD">
        <w:rPr>
          <w:rFonts w:ascii="Times New Roman" w:hAnsi="Times New Roman" w:cs="Times New Roman"/>
          <w:color w:val="0D0D0D" w:themeColor="text1" w:themeTint="F2"/>
          <w:sz w:val="24"/>
          <w:szCs w:val="24"/>
        </w:rPr>
        <w:t>four</w:t>
      </w:r>
      <w:r w:rsidR="00C642D5" w:rsidRPr="003C6DBD">
        <w:rPr>
          <w:rFonts w:ascii="Times New Roman" w:hAnsi="Times New Roman" w:cs="Times New Roman"/>
          <w:color w:val="0D0D0D" w:themeColor="text1" w:themeTint="F2"/>
          <w:sz w:val="24"/>
          <w:szCs w:val="24"/>
        </w:rPr>
        <w:t xml:space="preserve"> years</w:t>
      </w:r>
      <w:r w:rsidR="0009752D" w:rsidRPr="003C6DBD">
        <w:rPr>
          <w:rFonts w:ascii="Times New Roman" w:hAnsi="Times New Roman" w:cs="Times New Roman"/>
          <w:color w:val="0D0D0D" w:themeColor="text1" w:themeTint="F2"/>
          <w:sz w:val="24"/>
          <w:szCs w:val="24"/>
        </w:rPr>
        <w:t>. Markets-competing fuels</w:t>
      </w:r>
      <w:r w:rsidR="00DF58D5" w:rsidRPr="003C6DBD">
        <w:rPr>
          <w:rFonts w:ascii="Times New Roman" w:hAnsi="Times New Roman" w:cs="Times New Roman"/>
          <w:color w:val="0D0D0D" w:themeColor="text1" w:themeTint="F2"/>
          <w:sz w:val="24"/>
          <w:szCs w:val="24"/>
        </w:rPr>
        <w:t xml:space="preserve"> (MRC)</w:t>
      </w:r>
      <w:r w:rsidR="0009752D" w:rsidRPr="003C6DBD">
        <w:rPr>
          <w:rFonts w:ascii="Times New Roman" w:hAnsi="Times New Roman" w:cs="Times New Roman"/>
          <w:color w:val="0D0D0D" w:themeColor="text1" w:themeTint="F2"/>
          <w:sz w:val="24"/>
          <w:szCs w:val="24"/>
        </w:rPr>
        <w:t xml:space="preserve"> was </w:t>
      </w:r>
      <w:r w:rsidR="00DF58D5" w:rsidRPr="003C6DBD">
        <w:rPr>
          <w:rFonts w:ascii="Times New Roman" w:hAnsi="Times New Roman" w:cs="Times New Roman"/>
          <w:color w:val="0D0D0D" w:themeColor="text1" w:themeTint="F2"/>
          <w:sz w:val="24"/>
          <w:szCs w:val="24"/>
        </w:rPr>
        <w:t xml:space="preserve">not </w:t>
      </w:r>
      <w:r w:rsidR="0009752D" w:rsidRPr="003C6DBD">
        <w:rPr>
          <w:rFonts w:ascii="Times New Roman" w:hAnsi="Times New Roman" w:cs="Times New Roman"/>
          <w:color w:val="0D0D0D" w:themeColor="text1" w:themeTint="F2"/>
          <w:sz w:val="24"/>
          <w:szCs w:val="24"/>
        </w:rPr>
        <w:t>significant</w:t>
      </w:r>
      <w:r w:rsidR="0052642B" w:rsidRPr="003C6DBD">
        <w:rPr>
          <w:rFonts w:ascii="Times New Roman" w:hAnsi="Times New Roman" w:cs="Times New Roman"/>
          <w:color w:val="0D0D0D" w:themeColor="text1" w:themeTint="F2"/>
          <w:sz w:val="24"/>
          <w:szCs w:val="24"/>
        </w:rPr>
        <w:t xml:space="preserve"> in all </w:t>
      </w:r>
      <w:r w:rsidR="007A3488" w:rsidRPr="003C6DBD">
        <w:rPr>
          <w:rFonts w:ascii="Times New Roman" w:hAnsi="Times New Roman" w:cs="Times New Roman"/>
          <w:color w:val="0D0D0D" w:themeColor="text1" w:themeTint="F2"/>
          <w:sz w:val="24"/>
          <w:szCs w:val="24"/>
        </w:rPr>
        <w:t>four</w:t>
      </w:r>
      <w:r w:rsidR="0052642B" w:rsidRPr="003C6DBD">
        <w:rPr>
          <w:rFonts w:ascii="Times New Roman" w:hAnsi="Times New Roman" w:cs="Times New Roman"/>
          <w:color w:val="0D0D0D" w:themeColor="text1" w:themeTint="F2"/>
          <w:sz w:val="24"/>
          <w:szCs w:val="24"/>
        </w:rPr>
        <w:t xml:space="preserve"> years but </w:t>
      </w:r>
      <w:r w:rsidR="007A3488" w:rsidRPr="003C6DBD">
        <w:rPr>
          <w:rFonts w:ascii="Times New Roman" w:hAnsi="Times New Roman" w:cs="Times New Roman"/>
          <w:color w:val="0D0D0D" w:themeColor="text1" w:themeTint="F2"/>
          <w:sz w:val="24"/>
          <w:szCs w:val="24"/>
        </w:rPr>
        <w:t xml:space="preserve">a </w:t>
      </w:r>
      <w:r w:rsidR="0052642B" w:rsidRPr="003C6DBD">
        <w:rPr>
          <w:rFonts w:ascii="Times New Roman" w:hAnsi="Times New Roman" w:cs="Times New Roman"/>
          <w:color w:val="0D0D0D" w:themeColor="text1" w:themeTint="F2"/>
          <w:sz w:val="24"/>
          <w:szCs w:val="24"/>
        </w:rPr>
        <w:t xml:space="preserve">prevalent </w:t>
      </w:r>
      <w:r w:rsidR="007A3488" w:rsidRPr="003C6DBD">
        <w:rPr>
          <w:rFonts w:ascii="Times New Roman" w:hAnsi="Times New Roman" w:cs="Times New Roman"/>
          <w:color w:val="0D0D0D" w:themeColor="text1" w:themeTint="F2"/>
          <w:sz w:val="24"/>
          <w:szCs w:val="24"/>
        </w:rPr>
        <w:t xml:space="preserve">risk </w:t>
      </w:r>
      <w:r w:rsidR="0052642B" w:rsidRPr="003C6DBD">
        <w:rPr>
          <w:rFonts w:ascii="Times New Roman" w:hAnsi="Times New Roman" w:cs="Times New Roman"/>
          <w:color w:val="0D0D0D" w:themeColor="text1" w:themeTint="F2"/>
          <w:sz w:val="24"/>
          <w:szCs w:val="24"/>
        </w:rPr>
        <w:t>in 2019</w:t>
      </w:r>
      <w:r w:rsidR="0009752D" w:rsidRPr="003C6DBD">
        <w:rPr>
          <w:rFonts w:ascii="Times New Roman" w:hAnsi="Times New Roman" w:cs="Times New Roman"/>
          <w:color w:val="0D0D0D" w:themeColor="text1" w:themeTint="F2"/>
          <w:sz w:val="24"/>
          <w:szCs w:val="24"/>
        </w:rPr>
        <w:t>. Markets-competing fuels</w:t>
      </w:r>
      <w:r w:rsidR="00DF58D5" w:rsidRPr="003C6DBD">
        <w:rPr>
          <w:rFonts w:ascii="Times New Roman" w:hAnsi="Times New Roman" w:cs="Times New Roman"/>
          <w:color w:val="0D0D0D" w:themeColor="text1" w:themeTint="F2"/>
          <w:sz w:val="24"/>
          <w:szCs w:val="24"/>
        </w:rPr>
        <w:t xml:space="preserve"> (MRC)</w:t>
      </w:r>
      <w:r w:rsidR="0009752D" w:rsidRPr="003C6DBD">
        <w:rPr>
          <w:rFonts w:ascii="Times New Roman" w:hAnsi="Times New Roman" w:cs="Times New Roman"/>
          <w:color w:val="0D0D0D" w:themeColor="text1" w:themeTint="F2"/>
          <w:sz w:val="24"/>
          <w:szCs w:val="24"/>
        </w:rPr>
        <w:t xml:space="preserve"> include risks like demand, supply, and price of fossil fuels or other renewable energy</w:t>
      </w:r>
      <w:r w:rsidR="0052642B" w:rsidRPr="003C6DBD">
        <w:rPr>
          <w:rFonts w:ascii="Times New Roman" w:hAnsi="Times New Roman" w:cs="Times New Roman"/>
          <w:color w:val="0D0D0D" w:themeColor="text1" w:themeTint="F2"/>
          <w:sz w:val="24"/>
          <w:szCs w:val="24"/>
        </w:rPr>
        <w:t xml:space="preserve"> that is a competition for biofuels</w:t>
      </w:r>
      <w:r w:rsidR="0009752D" w:rsidRPr="003C6DBD">
        <w:rPr>
          <w:rFonts w:ascii="Times New Roman" w:hAnsi="Times New Roman" w:cs="Times New Roman"/>
          <w:color w:val="0D0D0D" w:themeColor="text1" w:themeTint="F2"/>
          <w:sz w:val="24"/>
          <w:szCs w:val="24"/>
        </w:rPr>
        <w:t>. Stock</w:t>
      </w:r>
      <w:r w:rsidR="00DF58D5" w:rsidRPr="003C6DBD">
        <w:rPr>
          <w:rFonts w:ascii="Times New Roman" w:hAnsi="Times New Roman" w:cs="Times New Roman"/>
          <w:color w:val="0D0D0D" w:themeColor="text1" w:themeTint="F2"/>
          <w:sz w:val="24"/>
          <w:szCs w:val="24"/>
        </w:rPr>
        <w:t xml:space="preserve"> (STR)</w:t>
      </w:r>
      <w:r w:rsidR="0009752D" w:rsidRPr="003C6DBD">
        <w:rPr>
          <w:rFonts w:ascii="Times New Roman" w:hAnsi="Times New Roman" w:cs="Times New Roman"/>
          <w:color w:val="0D0D0D" w:themeColor="text1" w:themeTint="F2"/>
          <w:sz w:val="24"/>
          <w:szCs w:val="24"/>
        </w:rPr>
        <w:t xml:space="preserve"> risk </w:t>
      </w:r>
      <w:r w:rsidR="006A5BA2" w:rsidRPr="003C6DBD">
        <w:rPr>
          <w:rFonts w:ascii="Times New Roman" w:hAnsi="Times New Roman" w:cs="Times New Roman"/>
          <w:color w:val="0D0D0D" w:themeColor="text1" w:themeTint="F2"/>
          <w:sz w:val="24"/>
          <w:szCs w:val="24"/>
        </w:rPr>
        <w:t xml:space="preserve">is </w:t>
      </w:r>
      <w:r w:rsidR="00461453" w:rsidRPr="003C6DBD">
        <w:rPr>
          <w:rFonts w:ascii="Times New Roman" w:hAnsi="Times New Roman" w:cs="Times New Roman"/>
          <w:color w:val="0D0D0D" w:themeColor="text1" w:themeTint="F2"/>
          <w:sz w:val="24"/>
          <w:szCs w:val="24"/>
        </w:rPr>
        <w:t>neither</w:t>
      </w:r>
      <w:r w:rsidR="006A5BA2" w:rsidRPr="003C6DBD">
        <w:rPr>
          <w:rFonts w:ascii="Times New Roman" w:hAnsi="Times New Roman" w:cs="Times New Roman"/>
          <w:color w:val="0D0D0D" w:themeColor="text1" w:themeTint="F2"/>
          <w:sz w:val="24"/>
          <w:szCs w:val="24"/>
        </w:rPr>
        <w:t xml:space="preserve"> </w:t>
      </w:r>
      <w:r w:rsidR="0009752D" w:rsidRPr="003C6DBD">
        <w:rPr>
          <w:rFonts w:ascii="Times New Roman" w:hAnsi="Times New Roman" w:cs="Times New Roman"/>
          <w:color w:val="0D0D0D" w:themeColor="text1" w:themeTint="F2"/>
          <w:sz w:val="24"/>
          <w:szCs w:val="24"/>
        </w:rPr>
        <w:t xml:space="preserve">prevalent </w:t>
      </w:r>
      <w:r w:rsidR="00461453" w:rsidRPr="003C6DBD">
        <w:rPr>
          <w:rFonts w:ascii="Times New Roman" w:hAnsi="Times New Roman" w:cs="Times New Roman"/>
          <w:color w:val="0D0D0D" w:themeColor="text1" w:themeTint="F2"/>
          <w:sz w:val="24"/>
          <w:szCs w:val="24"/>
        </w:rPr>
        <w:t>nor</w:t>
      </w:r>
      <w:r w:rsidR="0009752D" w:rsidRPr="003C6DBD">
        <w:rPr>
          <w:rFonts w:ascii="Times New Roman" w:hAnsi="Times New Roman" w:cs="Times New Roman"/>
          <w:color w:val="0D0D0D" w:themeColor="text1" w:themeTint="F2"/>
          <w:sz w:val="24"/>
          <w:szCs w:val="24"/>
        </w:rPr>
        <w:t xml:space="preserve"> </w:t>
      </w:r>
      <w:r w:rsidR="006A5BA2" w:rsidRPr="003C6DBD">
        <w:rPr>
          <w:rFonts w:ascii="Times New Roman" w:hAnsi="Times New Roman" w:cs="Times New Roman"/>
          <w:color w:val="0D0D0D" w:themeColor="text1" w:themeTint="F2"/>
          <w:sz w:val="24"/>
          <w:szCs w:val="24"/>
        </w:rPr>
        <w:t xml:space="preserve">a </w:t>
      </w:r>
      <w:r w:rsidR="0009752D" w:rsidRPr="003C6DBD">
        <w:rPr>
          <w:rFonts w:ascii="Times New Roman" w:hAnsi="Times New Roman" w:cs="Times New Roman"/>
          <w:color w:val="0D0D0D" w:themeColor="text1" w:themeTint="F2"/>
          <w:sz w:val="24"/>
          <w:szCs w:val="24"/>
        </w:rPr>
        <w:t>significant risk</w:t>
      </w:r>
      <w:r w:rsidR="006A5BA2" w:rsidRPr="003C6DBD">
        <w:rPr>
          <w:rFonts w:ascii="Times New Roman" w:hAnsi="Times New Roman" w:cs="Times New Roman"/>
          <w:color w:val="0D0D0D" w:themeColor="text1" w:themeTint="F2"/>
          <w:sz w:val="24"/>
          <w:szCs w:val="24"/>
        </w:rPr>
        <w:t xml:space="preserve"> across </w:t>
      </w:r>
      <w:r w:rsidR="00461453" w:rsidRPr="003C6DBD">
        <w:rPr>
          <w:rFonts w:ascii="Times New Roman" w:hAnsi="Times New Roman" w:cs="Times New Roman"/>
          <w:color w:val="0D0D0D" w:themeColor="text1" w:themeTint="F2"/>
          <w:sz w:val="24"/>
          <w:szCs w:val="24"/>
        </w:rPr>
        <w:t xml:space="preserve">the </w:t>
      </w:r>
      <w:r w:rsidR="006A5BA2" w:rsidRPr="003C6DBD">
        <w:rPr>
          <w:rFonts w:ascii="Times New Roman" w:hAnsi="Times New Roman" w:cs="Times New Roman"/>
          <w:color w:val="0D0D0D" w:themeColor="text1" w:themeTint="F2"/>
          <w:sz w:val="24"/>
          <w:szCs w:val="24"/>
        </w:rPr>
        <w:t xml:space="preserve">sample of </w:t>
      </w:r>
      <w:r w:rsidR="00461453" w:rsidRPr="003C6DBD">
        <w:rPr>
          <w:rFonts w:ascii="Times New Roman" w:hAnsi="Times New Roman" w:cs="Times New Roman"/>
          <w:color w:val="0D0D0D" w:themeColor="text1" w:themeTint="F2"/>
          <w:sz w:val="24"/>
          <w:szCs w:val="24"/>
        </w:rPr>
        <w:t xml:space="preserve">biofuel </w:t>
      </w:r>
      <w:r w:rsidR="006A5BA2" w:rsidRPr="003C6DBD">
        <w:rPr>
          <w:rFonts w:ascii="Times New Roman" w:hAnsi="Times New Roman" w:cs="Times New Roman"/>
          <w:color w:val="0D0D0D" w:themeColor="text1" w:themeTint="F2"/>
          <w:sz w:val="24"/>
          <w:szCs w:val="24"/>
        </w:rPr>
        <w:t>companies</w:t>
      </w:r>
      <w:r w:rsidR="00461453" w:rsidRPr="003C6DBD">
        <w:rPr>
          <w:rFonts w:ascii="Times New Roman" w:hAnsi="Times New Roman" w:cs="Times New Roman"/>
          <w:color w:val="0D0D0D" w:themeColor="text1" w:themeTint="F2"/>
          <w:sz w:val="24"/>
          <w:szCs w:val="24"/>
        </w:rPr>
        <w:t xml:space="preserve"> except 2019</w:t>
      </w:r>
      <w:r w:rsidR="0009752D" w:rsidRPr="003C6DBD">
        <w:rPr>
          <w:rFonts w:ascii="Times New Roman" w:hAnsi="Times New Roman" w:cs="Times New Roman"/>
          <w:color w:val="0D0D0D" w:themeColor="text1" w:themeTint="F2"/>
          <w:sz w:val="24"/>
          <w:szCs w:val="24"/>
        </w:rPr>
        <w:t xml:space="preserve">. Stock </w:t>
      </w:r>
      <w:r w:rsidR="00872687" w:rsidRPr="003C6DBD">
        <w:rPr>
          <w:rFonts w:ascii="Times New Roman" w:hAnsi="Times New Roman" w:cs="Times New Roman"/>
          <w:color w:val="0D0D0D" w:themeColor="text1" w:themeTint="F2"/>
          <w:sz w:val="24"/>
          <w:szCs w:val="24"/>
        </w:rPr>
        <w:t>(STR)</w:t>
      </w:r>
      <w:r w:rsidR="0009752D" w:rsidRPr="003C6DBD">
        <w:rPr>
          <w:rFonts w:ascii="Times New Roman" w:hAnsi="Times New Roman" w:cs="Times New Roman"/>
          <w:color w:val="0D0D0D" w:themeColor="text1" w:themeTint="F2"/>
          <w:sz w:val="24"/>
          <w:szCs w:val="24"/>
        </w:rPr>
        <w:t xml:space="preserve"> risk includes risks related to the stock market and shares available to the public. Markets-energy</w:t>
      </w:r>
      <w:r w:rsidR="00872687" w:rsidRPr="003C6DBD">
        <w:rPr>
          <w:rFonts w:ascii="Times New Roman" w:hAnsi="Times New Roman" w:cs="Times New Roman"/>
          <w:color w:val="0D0D0D" w:themeColor="text1" w:themeTint="F2"/>
          <w:sz w:val="24"/>
          <w:szCs w:val="24"/>
        </w:rPr>
        <w:t xml:space="preserve"> (MRE)</w:t>
      </w:r>
      <w:r w:rsidR="0009752D" w:rsidRPr="003C6DBD">
        <w:rPr>
          <w:rFonts w:ascii="Times New Roman" w:hAnsi="Times New Roman" w:cs="Times New Roman"/>
          <w:color w:val="0D0D0D" w:themeColor="text1" w:themeTint="F2"/>
          <w:sz w:val="24"/>
          <w:szCs w:val="24"/>
        </w:rPr>
        <w:t xml:space="preserve"> risk is the least prevalent and </w:t>
      </w:r>
      <w:r w:rsidR="00872687" w:rsidRPr="003C6DBD">
        <w:rPr>
          <w:rFonts w:ascii="Times New Roman" w:hAnsi="Times New Roman" w:cs="Times New Roman"/>
          <w:color w:val="0D0D0D" w:themeColor="text1" w:themeTint="F2"/>
          <w:sz w:val="24"/>
          <w:szCs w:val="24"/>
        </w:rPr>
        <w:t>not a</w:t>
      </w:r>
      <w:r w:rsidR="0009752D" w:rsidRPr="003C6DBD">
        <w:rPr>
          <w:rFonts w:ascii="Times New Roman" w:hAnsi="Times New Roman" w:cs="Times New Roman"/>
          <w:color w:val="0D0D0D" w:themeColor="text1" w:themeTint="F2"/>
          <w:sz w:val="24"/>
          <w:szCs w:val="24"/>
        </w:rPr>
        <w:t xml:space="preserve"> significant risk to the </w:t>
      </w:r>
      <w:r w:rsidR="00872687" w:rsidRPr="003C6DBD">
        <w:rPr>
          <w:rFonts w:ascii="Times New Roman" w:hAnsi="Times New Roman" w:cs="Times New Roman"/>
          <w:color w:val="0D0D0D" w:themeColor="text1" w:themeTint="F2"/>
          <w:sz w:val="24"/>
          <w:szCs w:val="24"/>
        </w:rPr>
        <w:t>sample of biofuel companies</w:t>
      </w:r>
      <w:r w:rsidR="0009752D" w:rsidRPr="003C6DBD">
        <w:rPr>
          <w:rFonts w:ascii="Times New Roman" w:hAnsi="Times New Roman" w:cs="Times New Roman"/>
          <w:color w:val="0D0D0D" w:themeColor="text1" w:themeTint="F2"/>
          <w:sz w:val="24"/>
          <w:szCs w:val="24"/>
        </w:rPr>
        <w:t xml:space="preserve">. It includes risks related to the price of energy </w:t>
      </w:r>
      <w:r w:rsidR="0064443F" w:rsidRPr="003C6DBD">
        <w:rPr>
          <w:rFonts w:ascii="Times New Roman" w:hAnsi="Times New Roman" w:cs="Times New Roman"/>
          <w:color w:val="0D0D0D" w:themeColor="text1" w:themeTint="F2"/>
          <w:sz w:val="24"/>
          <w:szCs w:val="24"/>
        </w:rPr>
        <w:t xml:space="preserve">like electricity or fossil fuels, </w:t>
      </w:r>
      <w:r w:rsidR="0009752D" w:rsidRPr="003C6DBD">
        <w:rPr>
          <w:rFonts w:ascii="Times New Roman" w:hAnsi="Times New Roman" w:cs="Times New Roman"/>
          <w:color w:val="0D0D0D" w:themeColor="text1" w:themeTint="F2"/>
          <w:sz w:val="24"/>
          <w:szCs w:val="24"/>
        </w:rPr>
        <w:t xml:space="preserve">used </w:t>
      </w:r>
      <w:r w:rsidR="0064443F" w:rsidRPr="003C6DBD">
        <w:rPr>
          <w:rFonts w:ascii="Times New Roman" w:hAnsi="Times New Roman" w:cs="Times New Roman"/>
          <w:color w:val="0D0D0D" w:themeColor="text1" w:themeTint="F2"/>
          <w:sz w:val="24"/>
          <w:szCs w:val="24"/>
        </w:rPr>
        <w:t>by</w:t>
      </w:r>
      <w:r w:rsidR="0009752D" w:rsidRPr="003C6DBD">
        <w:rPr>
          <w:rFonts w:ascii="Times New Roman" w:hAnsi="Times New Roman" w:cs="Times New Roman"/>
          <w:color w:val="0D0D0D" w:themeColor="text1" w:themeTint="F2"/>
          <w:sz w:val="24"/>
          <w:szCs w:val="24"/>
        </w:rPr>
        <w:t xml:space="preserve"> the biofuel industry to run the</w:t>
      </w:r>
      <w:r w:rsidR="0064443F" w:rsidRPr="003C6DBD">
        <w:rPr>
          <w:rFonts w:ascii="Times New Roman" w:hAnsi="Times New Roman" w:cs="Times New Roman"/>
          <w:color w:val="0D0D0D" w:themeColor="text1" w:themeTint="F2"/>
          <w:sz w:val="24"/>
          <w:szCs w:val="24"/>
        </w:rPr>
        <w:t>ir</w:t>
      </w:r>
      <w:r w:rsidR="0009752D" w:rsidRPr="003C6DBD">
        <w:rPr>
          <w:rFonts w:ascii="Times New Roman" w:hAnsi="Times New Roman" w:cs="Times New Roman"/>
          <w:color w:val="0D0D0D" w:themeColor="text1" w:themeTint="F2"/>
          <w:sz w:val="24"/>
          <w:szCs w:val="24"/>
        </w:rPr>
        <w:t xml:space="preserve"> </w:t>
      </w:r>
      <w:r w:rsidR="0064443F" w:rsidRPr="003C6DBD">
        <w:rPr>
          <w:rFonts w:ascii="Times New Roman" w:hAnsi="Times New Roman" w:cs="Times New Roman"/>
          <w:color w:val="0D0D0D" w:themeColor="text1" w:themeTint="F2"/>
          <w:sz w:val="24"/>
          <w:szCs w:val="24"/>
        </w:rPr>
        <w:t xml:space="preserve">operating </w:t>
      </w:r>
      <w:r w:rsidR="0009752D" w:rsidRPr="003C6DBD">
        <w:rPr>
          <w:rFonts w:ascii="Times New Roman" w:hAnsi="Times New Roman" w:cs="Times New Roman"/>
          <w:color w:val="0D0D0D" w:themeColor="text1" w:themeTint="F2"/>
          <w:sz w:val="24"/>
          <w:szCs w:val="24"/>
        </w:rPr>
        <w:t>facilitie</w:t>
      </w:r>
      <w:r w:rsidR="0064443F" w:rsidRPr="003C6DBD">
        <w:rPr>
          <w:rFonts w:ascii="Times New Roman" w:hAnsi="Times New Roman" w:cs="Times New Roman"/>
          <w:color w:val="0D0D0D" w:themeColor="text1" w:themeTint="F2"/>
          <w:sz w:val="24"/>
          <w:szCs w:val="24"/>
        </w:rPr>
        <w:t xml:space="preserve">s. </w:t>
      </w:r>
    </w:p>
    <w:p w14:paraId="5F678ACF" w14:textId="0AD4DAD3" w:rsidR="00F70A21" w:rsidRPr="003C6DBD" w:rsidRDefault="003F6F35" w:rsidP="002A7494">
      <w:pPr>
        <w:pStyle w:val="Heading4"/>
        <w:rPr>
          <w:color w:val="0D0D0D" w:themeColor="text1" w:themeTint="F2"/>
        </w:rPr>
      </w:pPr>
      <w:bookmarkStart w:id="35" w:name="_Toc102229900"/>
      <w:r w:rsidRPr="003C6DBD">
        <w:rPr>
          <w:color w:val="0D0D0D" w:themeColor="text1" w:themeTint="F2"/>
        </w:rPr>
        <w:t>5.</w:t>
      </w:r>
      <w:r w:rsidR="00B43A4A" w:rsidRPr="003C6DBD">
        <w:rPr>
          <w:color w:val="0D0D0D" w:themeColor="text1" w:themeTint="F2"/>
        </w:rPr>
        <w:t>1.</w:t>
      </w:r>
      <w:r w:rsidRPr="003C6DBD">
        <w:rPr>
          <w:color w:val="0D0D0D" w:themeColor="text1" w:themeTint="F2"/>
        </w:rPr>
        <w:t>3 Social Risks</w:t>
      </w:r>
      <w:bookmarkEnd w:id="35"/>
    </w:p>
    <w:p w14:paraId="4BC733FF" w14:textId="1921856D" w:rsidR="001F419C" w:rsidRPr="003C6DBD" w:rsidRDefault="006159F7" w:rsidP="002A7494">
      <w:pPr>
        <w:spacing w:line="480" w:lineRule="auto"/>
        <w:ind w:firstLine="36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Figures 3 displays the prevalence and significance of risk factors under social risks category reported by the ALL portfolio of sample biofuel companies </w:t>
      </w:r>
      <w:r w:rsidR="00FE173C" w:rsidRPr="003C6DBD">
        <w:rPr>
          <w:rFonts w:ascii="Times New Roman" w:hAnsi="Times New Roman" w:cs="Times New Roman"/>
          <w:color w:val="0D0D0D" w:themeColor="text1" w:themeTint="F2"/>
          <w:sz w:val="24"/>
          <w:szCs w:val="24"/>
        </w:rPr>
        <w:t>from 2018 to 2021</w:t>
      </w:r>
      <w:r w:rsidRPr="003C6DBD">
        <w:rPr>
          <w:rFonts w:ascii="Times New Roman" w:hAnsi="Times New Roman" w:cs="Times New Roman"/>
          <w:color w:val="0D0D0D" w:themeColor="text1" w:themeTint="F2"/>
          <w:sz w:val="24"/>
          <w:szCs w:val="24"/>
        </w:rPr>
        <w:t xml:space="preserve">. </w:t>
      </w:r>
      <w:r w:rsidR="00012E50" w:rsidRPr="003C6DBD">
        <w:rPr>
          <w:rFonts w:ascii="Times New Roman" w:hAnsi="Times New Roman" w:cs="Times New Roman"/>
          <w:color w:val="0D0D0D" w:themeColor="text1" w:themeTint="F2"/>
          <w:sz w:val="24"/>
          <w:szCs w:val="24"/>
        </w:rPr>
        <w:t xml:space="preserve">Both social risks, </w:t>
      </w:r>
      <w:r w:rsidR="00733780" w:rsidRPr="003C6DBD">
        <w:rPr>
          <w:rFonts w:ascii="Times New Roman" w:hAnsi="Times New Roman" w:cs="Times New Roman"/>
          <w:color w:val="0D0D0D" w:themeColor="text1" w:themeTint="F2"/>
          <w:sz w:val="24"/>
          <w:szCs w:val="24"/>
        </w:rPr>
        <w:t>P</w:t>
      </w:r>
      <w:r w:rsidR="00012E50" w:rsidRPr="003C6DBD">
        <w:rPr>
          <w:rFonts w:ascii="Times New Roman" w:hAnsi="Times New Roman" w:cs="Times New Roman"/>
          <w:color w:val="0D0D0D" w:themeColor="text1" w:themeTint="F2"/>
          <w:sz w:val="24"/>
          <w:szCs w:val="24"/>
        </w:rPr>
        <w:t xml:space="preserve">ublic </w:t>
      </w:r>
      <w:r w:rsidR="00733780" w:rsidRPr="003C6DBD">
        <w:rPr>
          <w:rFonts w:ascii="Times New Roman" w:hAnsi="Times New Roman" w:cs="Times New Roman"/>
          <w:color w:val="0D0D0D" w:themeColor="text1" w:themeTint="F2"/>
          <w:sz w:val="24"/>
          <w:szCs w:val="24"/>
        </w:rPr>
        <w:t>P</w:t>
      </w:r>
      <w:r w:rsidR="00012E50" w:rsidRPr="003C6DBD">
        <w:rPr>
          <w:rFonts w:ascii="Times New Roman" w:hAnsi="Times New Roman" w:cs="Times New Roman"/>
          <w:color w:val="0D0D0D" w:themeColor="text1" w:themeTint="F2"/>
          <w:sz w:val="24"/>
          <w:szCs w:val="24"/>
        </w:rPr>
        <w:t>erception</w:t>
      </w:r>
      <w:r w:rsidR="00984A0A" w:rsidRPr="003C6DBD">
        <w:rPr>
          <w:rFonts w:ascii="Times New Roman" w:hAnsi="Times New Roman" w:cs="Times New Roman"/>
          <w:color w:val="0D0D0D" w:themeColor="text1" w:themeTint="F2"/>
          <w:sz w:val="24"/>
          <w:szCs w:val="24"/>
        </w:rPr>
        <w:t xml:space="preserve"> (PUP)</w:t>
      </w:r>
      <w:r w:rsidR="00012E50" w:rsidRPr="003C6DBD">
        <w:rPr>
          <w:rFonts w:ascii="Times New Roman" w:hAnsi="Times New Roman" w:cs="Times New Roman"/>
          <w:color w:val="0D0D0D" w:themeColor="text1" w:themeTint="F2"/>
          <w:sz w:val="24"/>
          <w:szCs w:val="24"/>
        </w:rPr>
        <w:t xml:space="preserve"> and </w:t>
      </w:r>
      <w:r w:rsidR="00733780" w:rsidRPr="003C6DBD">
        <w:rPr>
          <w:rFonts w:ascii="Times New Roman" w:hAnsi="Times New Roman" w:cs="Times New Roman"/>
          <w:color w:val="0D0D0D" w:themeColor="text1" w:themeTint="F2"/>
          <w:sz w:val="24"/>
          <w:szCs w:val="24"/>
        </w:rPr>
        <w:t>P</w:t>
      </w:r>
      <w:r w:rsidR="00012E50" w:rsidRPr="003C6DBD">
        <w:rPr>
          <w:rFonts w:ascii="Times New Roman" w:hAnsi="Times New Roman" w:cs="Times New Roman"/>
          <w:color w:val="0D0D0D" w:themeColor="text1" w:themeTint="F2"/>
          <w:sz w:val="24"/>
          <w:szCs w:val="24"/>
        </w:rPr>
        <w:t xml:space="preserve">ublic </w:t>
      </w:r>
      <w:r w:rsidR="00733780" w:rsidRPr="003C6DBD">
        <w:rPr>
          <w:rFonts w:ascii="Times New Roman" w:hAnsi="Times New Roman" w:cs="Times New Roman"/>
          <w:color w:val="0D0D0D" w:themeColor="text1" w:themeTint="F2"/>
          <w:sz w:val="24"/>
          <w:szCs w:val="24"/>
        </w:rPr>
        <w:t>O</w:t>
      </w:r>
      <w:r w:rsidR="00012E50" w:rsidRPr="003C6DBD">
        <w:rPr>
          <w:rFonts w:ascii="Times New Roman" w:hAnsi="Times New Roman" w:cs="Times New Roman"/>
          <w:color w:val="0D0D0D" w:themeColor="text1" w:themeTint="F2"/>
          <w:sz w:val="24"/>
          <w:szCs w:val="24"/>
        </w:rPr>
        <w:t>pposition</w:t>
      </w:r>
      <w:r w:rsidR="00984A0A" w:rsidRPr="003C6DBD">
        <w:rPr>
          <w:rFonts w:ascii="Times New Roman" w:hAnsi="Times New Roman" w:cs="Times New Roman"/>
          <w:color w:val="0D0D0D" w:themeColor="text1" w:themeTint="F2"/>
          <w:sz w:val="24"/>
          <w:szCs w:val="24"/>
        </w:rPr>
        <w:t xml:space="preserve"> (PUO)</w:t>
      </w:r>
      <w:r w:rsidR="00012E50" w:rsidRPr="003C6DBD">
        <w:rPr>
          <w:rFonts w:ascii="Times New Roman" w:hAnsi="Times New Roman" w:cs="Times New Roman"/>
          <w:color w:val="0D0D0D" w:themeColor="text1" w:themeTint="F2"/>
          <w:sz w:val="24"/>
          <w:szCs w:val="24"/>
        </w:rPr>
        <w:t>, are</w:t>
      </w:r>
      <w:r w:rsidR="00C310B6" w:rsidRPr="003C6DBD">
        <w:rPr>
          <w:rFonts w:ascii="Times New Roman" w:hAnsi="Times New Roman" w:cs="Times New Roman"/>
          <w:color w:val="0D0D0D" w:themeColor="text1" w:themeTint="F2"/>
          <w:sz w:val="24"/>
          <w:szCs w:val="24"/>
        </w:rPr>
        <w:t xml:space="preserve"> neither</w:t>
      </w:r>
      <w:r w:rsidR="00012E50" w:rsidRPr="003C6DBD">
        <w:rPr>
          <w:rFonts w:ascii="Times New Roman" w:hAnsi="Times New Roman" w:cs="Times New Roman"/>
          <w:color w:val="0D0D0D" w:themeColor="text1" w:themeTint="F2"/>
          <w:sz w:val="24"/>
          <w:szCs w:val="24"/>
        </w:rPr>
        <w:t xml:space="preserve"> prevalent </w:t>
      </w:r>
      <w:r w:rsidR="00C310B6" w:rsidRPr="003C6DBD">
        <w:rPr>
          <w:rFonts w:ascii="Times New Roman" w:hAnsi="Times New Roman" w:cs="Times New Roman"/>
          <w:color w:val="0D0D0D" w:themeColor="text1" w:themeTint="F2"/>
          <w:sz w:val="24"/>
          <w:szCs w:val="24"/>
        </w:rPr>
        <w:t>nor</w:t>
      </w:r>
      <w:r w:rsidR="00012E50" w:rsidRPr="003C6DBD">
        <w:rPr>
          <w:rFonts w:ascii="Times New Roman" w:hAnsi="Times New Roman" w:cs="Times New Roman"/>
          <w:color w:val="0D0D0D" w:themeColor="text1" w:themeTint="F2"/>
          <w:sz w:val="24"/>
          <w:szCs w:val="24"/>
        </w:rPr>
        <w:t xml:space="preserve"> significant in the </w:t>
      </w:r>
      <w:r w:rsidR="00C310B6" w:rsidRPr="003C6DBD">
        <w:rPr>
          <w:rFonts w:ascii="Times New Roman" w:hAnsi="Times New Roman" w:cs="Times New Roman"/>
          <w:color w:val="0D0D0D" w:themeColor="text1" w:themeTint="F2"/>
          <w:sz w:val="24"/>
          <w:szCs w:val="24"/>
        </w:rPr>
        <w:t xml:space="preserve">sample </w:t>
      </w:r>
      <w:r w:rsidR="00012E50" w:rsidRPr="003C6DBD">
        <w:rPr>
          <w:rFonts w:ascii="Times New Roman" w:hAnsi="Times New Roman" w:cs="Times New Roman"/>
          <w:color w:val="0D0D0D" w:themeColor="text1" w:themeTint="F2"/>
          <w:sz w:val="24"/>
          <w:szCs w:val="24"/>
        </w:rPr>
        <w:t xml:space="preserve">biofuel. Public </w:t>
      </w:r>
      <w:r w:rsidR="00733780" w:rsidRPr="003C6DBD">
        <w:rPr>
          <w:rFonts w:ascii="Times New Roman" w:hAnsi="Times New Roman" w:cs="Times New Roman"/>
          <w:color w:val="0D0D0D" w:themeColor="text1" w:themeTint="F2"/>
          <w:sz w:val="24"/>
          <w:szCs w:val="24"/>
        </w:rPr>
        <w:t>P</w:t>
      </w:r>
      <w:r w:rsidR="00012E50" w:rsidRPr="003C6DBD">
        <w:rPr>
          <w:rFonts w:ascii="Times New Roman" w:hAnsi="Times New Roman" w:cs="Times New Roman"/>
          <w:color w:val="0D0D0D" w:themeColor="text1" w:themeTint="F2"/>
          <w:sz w:val="24"/>
          <w:szCs w:val="24"/>
        </w:rPr>
        <w:t>erception</w:t>
      </w:r>
      <w:r w:rsidR="00984A0A" w:rsidRPr="003C6DBD">
        <w:rPr>
          <w:rFonts w:ascii="Times New Roman" w:hAnsi="Times New Roman" w:cs="Times New Roman"/>
          <w:color w:val="0D0D0D" w:themeColor="text1" w:themeTint="F2"/>
          <w:sz w:val="24"/>
          <w:szCs w:val="24"/>
        </w:rPr>
        <w:t xml:space="preserve"> (PUP)</w:t>
      </w:r>
      <w:r w:rsidR="00012E50" w:rsidRPr="003C6DBD">
        <w:rPr>
          <w:rFonts w:ascii="Times New Roman" w:hAnsi="Times New Roman" w:cs="Times New Roman"/>
          <w:color w:val="0D0D0D" w:themeColor="text1" w:themeTint="F2"/>
          <w:sz w:val="24"/>
          <w:szCs w:val="24"/>
        </w:rPr>
        <w:t xml:space="preserve"> includes risks like consumer perception towards biofuels and reluctance to use biofuels. Public </w:t>
      </w:r>
      <w:r w:rsidR="00733780" w:rsidRPr="003C6DBD">
        <w:rPr>
          <w:rFonts w:ascii="Times New Roman" w:hAnsi="Times New Roman" w:cs="Times New Roman"/>
          <w:color w:val="0D0D0D" w:themeColor="text1" w:themeTint="F2"/>
          <w:sz w:val="24"/>
          <w:szCs w:val="24"/>
        </w:rPr>
        <w:t>O</w:t>
      </w:r>
      <w:r w:rsidR="00012E50" w:rsidRPr="003C6DBD">
        <w:rPr>
          <w:rFonts w:ascii="Times New Roman" w:hAnsi="Times New Roman" w:cs="Times New Roman"/>
          <w:color w:val="0D0D0D" w:themeColor="text1" w:themeTint="F2"/>
          <w:sz w:val="24"/>
          <w:szCs w:val="24"/>
        </w:rPr>
        <w:t>pposition</w:t>
      </w:r>
      <w:r w:rsidR="00984A0A" w:rsidRPr="003C6DBD">
        <w:rPr>
          <w:rFonts w:ascii="Times New Roman" w:hAnsi="Times New Roman" w:cs="Times New Roman"/>
          <w:color w:val="0D0D0D" w:themeColor="text1" w:themeTint="F2"/>
          <w:sz w:val="24"/>
          <w:szCs w:val="24"/>
        </w:rPr>
        <w:t xml:space="preserve"> (PUO)</w:t>
      </w:r>
      <w:r w:rsidR="00012E50" w:rsidRPr="003C6DBD">
        <w:rPr>
          <w:rFonts w:ascii="Times New Roman" w:hAnsi="Times New Roman" w:cs="Times New Roman"/>
          <w:color w:val="0D0D0D" w:themeColor="text1" w:themeTint="F2"/>
          <w:sz w:val="24"/>
          <w:szCs w:val="24"/>
        </w:rPr>
        <w:t xml:space="preserve"> includes risks like social movements by certain groups or the public and debates about “food vs fuel”</w:t>
      </w:r>
      <w:r w:rsidR="00D46A34" w:rsidRPr="003C6DBD">
        <w:rPr>
          <w:rFonts w:ascii="Times New Roman" w:hAnsi="Times New Roman" w:cs="Times New Roman"/>
          <w:color w:val="0D0D0D" w:themeColor="text1" w:themeTint="F2"/>
          <w:sz w:val="24"/>
          <w:szCs w:val="24"/>
        </w:rPr>
        <w:t>.</w:t>
      </w:r>
    </w:p>
    <w:p w14:paraId="2D39A09C" w14:textId="3F17E35F" w:rsidR="00F70A21" w:rsidRPr="003C6DBD" w:rsidRDefault="003F6F35" w:rsidP="002A7494">
      <w:pPr>
        <w:pStyle w:val="Heading4"/>
        <w:rPr>
          <w:color w:val="0D0D0D" w:themeColor="text1" w:themeTint="F2"/>
        </w:rPr>
      </w:pPr>
      <w:bookmarkStart w:id="36" w:name="_Toc102229901"/>
      <w:r w:rsidRPr="003C6DBD">
        <w:rPr>
          <w:color w:val="0D0D0D" w:themeColor="text1" w:themeTint="F2"/>
        </w:rPr>
        <w:t>5.</w:t>
      </w:r>
      <w:r w:rsidR="00B43A4A" w:rsidRPr="003C6DBD">
        <w:rPr>
          <w:color w:val="0D0D0D" w:themeColor="text1" w:themeTint="F2"/>
        </w:rPr>
        <w:t>1.</w:t>
      </w:r>
      <w:r w:rsidRPr="003C6DBD">
        <w:rPr>
          <w:color w:val="0D0D0D" w:themeColor="text1" w:themeTint="F2"/>
        </w:rPr>
        <w:t>4 Technological Risk</w:t>
      </w:r>
      <w:bookmarkEnd w:id="36"/>
      <w:r w:rsidR="006F6030" w:rsidRPr="003C6DBD">
        <w:rPr>
          <w:color w:val="0D0D0D" w:themeColor="text1" w:themeTint="F2"/>
        </w:rPr>
        <w:tab/>
      </w:r>
    </w:p>
    <w:p w14:paraId="4594A1A4" w14:textId="716F54C3" w:rsidR="001F419C" w:rsidRPr="003C6DBD" w:rsidRDefault="006159F7" w:rsidP="002A7494">
      <w:pPr>
        <w:pStyle w:val="comp"/>
        <w:spacing w:before="0" w:beforeAutospacing="0" w:after="160" w:afterAutospacing="0" w:line="480" w:lineRule="auto"/>
        <w:ind w:firstLine="720"/>
        <w:rPr>
          <w:rFonts w:eastAsiaTheme="minorHAnsi"/>
          <w:color w:val="0D0D0D" w:themeColor="text1" w:themeTint="F2"/>
        </w:rPr>
      </w:pPr>
      <w:r w:rsidRPr="003C6DBD">
        <w:rPr>
          <w:color w:val="0D0D0D" w:themeColor="text1" w:themeTint="F2"/>
        </w:rPr>
        <w:t xml:space="preserve">Figures 4 displays the prevalence and significance of risk factors under technological risks category reported by the ALL portfolio of sample biofuel companies for 2021, 2020, 2019, and 2018. </w:t>
      </w:r>
      <w:r w:rsidR="007802E1" w:rsidRPr="003C6DBD">
        <w:rPr>
          <w:color w:val="0D0D0D" w:themeColor="text1" w:themeTint="F2"/>
        </w:rPr>
        <w:t>Cybersecurity</w:t>
      </w:r>
      <w:r w:rsidR="00984A0A" w:rsidRPr="003C6DBD">
        <w:rPr>
          <w:color w:val="0D0D0D" w:themeColor="text1" w:themeTint="F2"/>
        </w:rPr>
        <w:t xml:space="preserve"> (CYS)</w:t>
      </w:r>
      <w:r w:rsidR="007802E1" w:rsidRPr="003C6DBD">
        <w:rPr>
          <w:color w:val="0D0D0D" w:themeColor="text1" w:themeTint="F2"/>
        </w:rPr>
        <w:t xml:space="preserve"> is </w:t>
      </w:r>
      <w:r w:rsidR="00060039" w:rsidRPr="003C6DBD">
        <w:rPr>
          <w:color w:val="0D0D0D" w:themeColor="text1" w:themeTint="F2"/>
        </w:rPr>
        <w:t>the</w:t>
      </w:r>
      <w:r w:rsidR="007802E1" w:rsidRPr="003C6DBD">
        <w:rPr>
          <w:color w:val="0D0D0D" w:themeColor="text1" w:themeTint="F2"/>
        </w:rPr>
        <w:t xml:space="preserve"> only prevalent risk in the </w:t>
      </w:r>
      <w:r w:rsidR="007802E1" w:rsidRPr="003C6DBD">
        <w:rPr>
          <w:rFonts w:eastAsiaTheme="minorHAnsi"/>
          <w:color w:val="0D0D0D" w:themeColor="text1" w:themeTint="F2"/>
        </w:rPr>
        <w:t>technological risk category</w:t>
      </w:r>
      <w:r w:rsidR="00984A0A" w:rsidRPr="003C6DBD">
        <w:rPr>
          <w:rFonts w:eastAsiaTheme="minorHAnsi"/>
          <w:color w:val="0D0D0D" w:themeColor="text1" w:themeTint="F2"/>
        </w:rPr>
        <w:t xml:space="preserve"> in all </w:t>
      </w:r>
      <w:r w:rsidR="00542E08" w:rsidRPr="003C6DBD">
        <w:rPr>
          <w:rFonts w:eastAsiaTheme="minorHAnsi"/>
          <w:color w:val="0D0D0D" w:themeColor="text1" w:themeTint="F2"/>
        </w:rPr>
        <w:t>four</w:t>
      </w:r>
      <w:r w:rsidR="00984A0A" w:rsidRPr="003C6DBD">
        <w:rPr>
          <w:rFonts w:eastAsiaTheme="minorHAnsi"/>
          <w:color w:val="0D0D0D" w:themeColor="text1" w:themeTint="F2"/>
        </w:rPr>
        <w:t xml:space="preserve"> years</w:t>
      </w:r>
      <w:r w:rsidR="007802E1" w:rsidRPr="003C6DBD">
        <w:rPr>
          <w:rFonts w:eastAsiaTheme="minorHAnsi"/>
          <w:color w:val="0D0D0D" w:themeColor="text1" w:themeTint="F2"/>
        </w:rPr>
        <w:t xml:space="preserve">. </w:t>
      </w:r>
      <w:r w:rsidR="007802E1" w:rsidRPr="003C6DBD">
        <w:rPr>
          <w:color w:val="0D0D0D" w:themeColor="text1" w:themeTint="F2"/>
        </w:rPr>
        <w:t>Cybersecurity</w:t>
      </w:r>
      <w:r w:rsidR="00984A0A" w:rsidRPr="003C6DBD">
        <w:rPr>
          <w:color w:val="0D0D0D" w:themeColor="text1" w:themeTint="F2"/>
        </w:rPr>
        <w:t xml:space="preserve"> (CYS)</w:t>
      </w:r>
      <w:r w:rsidR="007802E1" w:rsidRPr="003C6DBD">
        <w:rPr>
          <w:color w:val="0D0D0D" w:themeColor="text1" w:themeTint="F2"/>
        </w:rPr>
        <w:t xml:space="preserve"> is the most important risk in this category and includes risks like security breaches, interruption of information systems, loss of company information, data theft, etc.</w:t>
      </w:r>
      <w:r w:rsidR="007802E1" w:rsidRPr="003C6DBD">
        <w:rPr>
          <w:rFonts w:eastAsiaTheme="minorHAnsi"/>
          <w:color w:val="0D0D0D" w:themeColor="text1" w:themeTint="F2"/>
        </w:rPr>
        <w:t xml:space="preserve"> </w:t>
      </w:r>
      <w:r w:rsidR="00542E08" w:rsidRPr="003C6DBD">
        <w:rPr>
          <w:rFonts w:eastAsiaTheme="minorHAnsi"/>
          <w:color w:val="0D0D0D" w:themeColor="text1" w:themeTint="F2"/>
        </w:rPr>
        <w:t xml:space="preserve">Conversion </w:t>
      </w:r>
      <w:r w:rsidR="00733780" w:rsidRPr="003C6DBD">
        <w:rPr>
          <w:rFonts w:eastAsiaTheme="minorHAnsi"/>
          <w:color w:val="0D0D0D" w:themeColor="text1" w:themeTint="F2"/>
        </w:rPr>
        <w:t>T</w:t>
      </w:r>
      <w:r w:rsidR="00542E08" w:rsidRPr="003C6DBD">
        <w:rPr>
          <w:rFonts w:eastAsiaTheme="minorHAnsi"/>
          <w:color w:val="0D0D0D" w:themeColor="text1" w:themeTint="F2"/>
        </w:rPr>
        <w:t xml:space="preserve">echnology (CNT), </w:t>
      </w:r>
      <w:r w:rsidR="00733780" w:rsidRPr="003C6DBD">
        <w:rPr>
          <w:rFonts w:eastAsiaTheme="minorHAnsi"/>
          <w:color w:val="0D0D0D" w:themeColor="text1" w:themeTint="F2"/>
        </w:rPr>
        <w:t>F</w:t>
      </w:r>
      <w:r w:rsidR="007802E1" w:rsidRPr="003C6DBD">
        <w:rPr>
          <w:rFonts w:eastAsiaTheme="minorHAnsi"/>
          <w:color w:val="0D0D0D" w:themeColor="text1" w:themeTint="F2"/>
        </w:rPr>
        <w:t xml:space="preserve">uel </w:t>
      </w:r>
      <w:r w:rsidR="00733780" w:rsidRPr="003C6DBD">
        <w:rPr>
          <w:rFonts w:eastAsiaTheme="minorHAnsi"/>
          <w:color w:val="0D0D0D" w:themeColor="text1" w:themeTint="F2"/>
        </w:rPr>
        <w:t>C</w:t>
      </w:r>
      <w:r w:rsidR="007802E1" w:rsidRPr="003C6DBD">
        <w:rPr>
          <w:rFonts w:eastAsiaTheme="minorHAnsi"/>
          <w:color w:val="0D0D0D" w:themeColor="text1" w:themeTint="F2"/>
        </w:rPr>
        <w:t>ompatibility</w:t>
      </w:r>
      <w:r w:rsidR="00984A0A" w:rsidRPr="003C6DBD">
        <w:rPr>
          <w:rFonts w:eastAsiaTheme="minorHAnsi"/>
          <w:color w:val="0D0D0D" w:themeColor="text1" w:themeTint="F2"/>
        </w:rPr>
        <w:t xml:space="preserve"> (FLC) and</w:t>
      </w:r>
      <w:r w:rsidR="007802E1" w:rsidRPr="003C6DBD">
        <w:rPr>
          <w:rFonts w:eastAsiaTheme="minorHAnsi"/>
          <w:color w:val="0D0D0D" w:themeColor="text1" w:themeTint="F2"/>
        </w:rPr>
        <w:t xml:space="preserve"> </w:t>
      </w:r>
      <w:r w:rsidR="00733780" w:rsidRPr="003C6DBD">
        <w:rPr>
          <w:rFonts w:eastAsiaTheme="minorHAnsi"/>
          <w:color w:val="0D0D0D" w:themeColor="text1" w:themeTint="F2"/>
        </w:rPr>
        <w:t>I</w:t>
      </w:r>
      <w:r w:rsidR="007802E1" w:rsidRPr="003C6DBD">
        <w:rPr>
          <w:rFonts w:eastAsiaTheme="minorHAnsi"/>
          <w:color w:val="0D0D0D" w:themeColor="text1" w:themeTint="F2"/>
        </w:rPr>
        <w:t xml:space="preserve">ntellectual </w:t>
      </w:r>
      <w:r w:rsidR="00733780" w:rsidRPr="003C6DBD">
        <w:rPr>
          <w:rFonts w:eastAsiaTheme="minorHAnsi"/>
          <w:color w:val="0D0D0D" w:themeColor="text1" w:themeTint="F2"/>
        </w:rPr>
        <w:t>P</w:t>
      </w:r>
      <w:r w:rsidR="007802E1" w:rsidRPr="003C6DBD">
        <w:rPr>
          <w:rFonts w:eastAsiaTheme="minorHAnsi"/>
          <w:color w:val="0D0D0D" w:themeColor="text1" w:themeTint="F2"/>
        </w:rPr>
        <w:t>roperty</w:t>
      </w:r>
      <w:r w:rsidR="00984A0A" w:rsidRPr="003C6DBD">
        <w:rPr>
          <w:rFonts w:eastAsiaTheme="minorHAnsi"/>
          <w:color w:val="0D0D0D" w:themeColor="text1" w:themeTint="F2"/>
        </w:rPr>
        <w:t xml:space="preserve"> </w:t>
      </w:r>
      <w:r w:rsidR="00984A0A" w:rsidRPr="003C6DBD">
        <w:rPr>
          <w:rFonts w:eastAsiaTheme="minorHAnsi"/>
          <w:color w:val="0D0D0D" w:themeColor="text1" w:themeTint="F2"/>
        </w:rPr>
        <w:lastRenderedPageBreak/>
        <w:t>(INP)</w:t>
      </w:r>
      <w:r w:rsidR="007802E1" w:rsidRPr="003C6DBD">
        <w:rPr>
          <w:rFonts w:eastAsiaTheme="minorHAnsi"/>
          <w:color w:val="0D0D0D" w:themeColor="text1" w:themeTint="F2"/>
        </w:rPr>
        <w:t xml:space="preserve"> </w:t>
      </w:r>
      <w:r w:rsidR="00984A0A" w:rsidRPr="003C6DBD">
        <w:rPr>
          <w:color w:val="0D0D0D" w:themeColor="text1" w:themeTint="F2"/>
        </w:rPr>
        <w:t>are in the lower left quadrant so technological risks in common are not prevalent and not significant</w:t>
      </w:r>
      <w:r w:rsidR="00984A0A" w:rsidRPr="003C6DBD">
        <w:rPr>
          <w:rFonts w:eastAsiaTheme="minorHAnsi"/>
          <w:color w:val="0D0D0D" w:themeColor="text1" w:themeTint="F2"/>
        </w:rPr>
        <w:t xml:space="preserve">. </w:t>
      </w:r>
      <w:r w:rsidR="00542E08" w:rsidRPr="003C6DBD">
        <w:rPr>
          <w:rFonts w:eastAsiaTheme="minorHAnsi"/>
          <w:color w:val="0D0D0D" w:themeColor="text1" w:themeTint="F2"/>
        </w:rPr>
        <w:t xml:space="preserve">Conversion </w:t>
      </w:r>
      <w:r w:rsidR="00733780" w:rsidRPr="003C6DBD">
        <w:rPr>
          <w:rFonts w:eastAsiaTheme="minorHAnsi"/>
          <w:color w:val="0D0D0D" w:themeColor="text1" w:themeTint="F2"/>
        </w:rPr>
        <w:t>T</w:t>
      </w:r>
      <w:r w:rsidR="00542E08" w:rsidRPr="003C6DBD">
        <w:rPr>
          <w:rFonts w:eastAsiaTheme="minorHAnsi"/>
          <w:color w:val="0D0D0D" w:themeColor="text1" w:themeTint="F2"/>
        </w:rPr>
        <w:t xml:space="preserve">echnology (CNT) includes risks associated with rapid changes in the conversion technology -feedstock to fuel- adopted by the biofuel facilities. </w:t>
      </w:r>
      <w:r w:rsidR="00EF29A4" w:rsidRPr="003C6DBD">
        <w:rPr>
          <w:rFonts w:eastAsiaTheme="minorHAnsi"/>
          <w:color w:val="0D0D0D" w:themeColor="text1" w:themeTint="F2"/>
        </w:rPr>
        <w:t xml:space="preserve">Fuel </w:t>
      </w:r>
      <w:r w:rsidR="00733780" w:rsidRPr="003C6DBD">
        <w:rPr>
          <w:rFonts w:eastAsiaTheme="minorHAnsi"/>
          <w:color w:val="0D0D0D" w:themeColor="text1" w:themeTint="F2"/>
        </w:rPr>
        <w:t>C</w:t>
      </w:r>
      <w:r w:rsidR="00EF29A4" w:rsidRPr="003C6DBD">
        <w:rPr>
          <w:rFonts w:eastAsiaTheme="minorHAnsi"/>
          <w:color w:val="0D0D0D" w:themeColor="text1" w:themeTint="F2"/>
        </w:rPr>
        <w:t>ompatibility (FLC) was not reported at all in 201</w:t>
      </w:r>
      <w:r w:rsidR="00542E08" w:rsidRPr="003C6DBD">
        <w:rPr>
          <w:rFonts w:eastAsiaTheme="minorHAnsi"/>
          <w:color w:val="0D0D0D" w:themeColor="text1" w:themeTint="F2"/>
        </w:rPr>
        <w:t>9</w:t>
      </w:r>
      <w:r w:rsidR="00EF29A4" w:rsidRPr="003C6DBD">
        <w:rPr>
          <w:rFonts w:eastAsiaTheme="minorHAnsi"/>
          <w:color w:val="0D0D0D" w:themeColor="text1" w:themeTint="F2"/>
        </w:rPr>
        <w:t xml:space="preserve"> by any sample companies. </w:t>
      </w:r>
      <w:r w:rsidR="007802E1" w:rsidRPr="003C6DBD">
        <w:rPr>
          <w:rFonts w:eastAsiaTheme="minorHAnsi"/>
          <w:color w:val="0D0D0D" w:themeColor="text1" w:themeTint="F2"/>
        </w:rPr>
        <w:t xml:space="preserve">Fuel </w:t>
      </w:r>
      <w:r w:rsidR="00733780" w:rsidRPr="003C6DBD">
        <w:rPr>
          <w:rFonts w:eastAsiaTheme="minorHAnsi"/>
          <w:color w:val="0D0D0D" w:themeColor="text1" w:themeTint="F2"/>
        </w:rPr>
        <w:t>C</w:t>
      </w:r>
      <w:r w:rsidR="007802E1" w:rsidRPr="003C6DBD">
        <w:rPr>
          <w:rFonts w:eastAsiaTheme="minorHAnsi"/>
          <w:color w:val="0D0D0D" w:themeColor="text1" w:themeTint="F2"/>
        </w:rPr>
        <w:t xml:space="preserve">ompatibility </w:t>
      </w:r>
      <w:r w:rsidR="00984A0A" w:rsidRPr="003C6DBD">
        <w:rPr>
          <w:rFonts w:eastAsiaTheme="minorHAnsi"/>
          <w:color w:val="0D0D0D" w:themeColor="text1" w:themeTint="F2"/>
        </w:rPr>
        <w:t xml:space="preserve">(FLC) </w:t>
      </w:r>
      <w:r w:rsidR="007802E1" w:rsidRPr="003C6DBD">
        <w:rPr>
          <w:rFonts w:eastAsiaTheme="minorHAnsi"/>
          <w:color w:val="0D0D0D" w:themeColor="text1" w:themeTint="F2"/>
        </w:rPr>
        <w:t xml:space="preserve">includes risks associated with blending and the feasibility of using biofuels as drop-in fuels. Intellectual </w:t>
      </w:r>
      <w:r w:rsidR="00733780" w:rsidRPr="003C6DBD">
        <w:rPr>
          <w:rFonts w:eastAsiaTheme="minorHAnsi"/>
          <w:color w:val="0D0D0D" w:themeColor="text1" w:themeTint="F2"/>
        </w:rPr>
        <w:t>P</w:t>
      </w:r>
      <w:r w:rsidR="007802E1" w:rsidRPr="003C6DBD">
        <w:rPr>
          <w:rFonts w:eastAsiaTheme="minorHAnsi"/>
          <w:color w:val="0D0D0D" w:themeColor="text1" w:themeTint="F2"/>
        </w:rPr>
        <w:t>roperty</w:t>
      </w:r>
      <w:r w:rsidR="00984A0A" w:rsidRPr="003C6DBD">
        <w:rPr>
          <w:rFonts w:eastAsiaTheme="minorHAnsi"/>
          <w:color w:val="0D0D0D" w:themeColor="text1" w:themeTint="F2"/>
        </w:rPr>
        <w:t xml:space="preserve"> (INP)</w:t>
      </w:r>
      <w:r w:rsidR="007802E1" w:rsidRPr="003C6DBD">
        <w:rPr>
          <w:rFonts w:eastAsiaTheme="minorHAnsi"/>
          <w:color w:val="0D0D0D" w:themeColor="text1" w:themeTint="F2"/>
        </w:rPr>
        <w:t xml:space="preserve"> includes risks like inability to protect intellectual property rights or patents associated with biofuel production technology. </w:t>
      </w:r>
    </w:p>
    <w:p w14:paraId="62697480" w14:textId="17225BD5" w:rsidR="004365B5" w:rsidRPr="003C6DBD" w:rsidRDefault="00EE1E19" w:rsidP="001F205A">
      <w:pPr>
        <w:spacing w:line="480" w:lineRule="auto"/>
        <w:ind w:firstLine="720"/>
        <w:rPr>
          <w:rFonts w:ascii="Times New Roman" w:hAnsi="Times New Roman" w:cs="Times New Roman"/>
          <w:color w:val="0D0D0D" w:themeColor="text1" w:themeTint="F2"/>
          <w:sz w:val="24"/>
          <w:szCs w:val="24"/>
        </w:rPr>
      </w:pPr>
      <w:bookmarkStart w:id="37" w:name="_Toc102229902"/>
      <w:r w:rsidRPr="003C6DBD">
        <w:rPr>
          <w:rFonts w:ascii="Times New Roman" w:hAnsi="Times New Roman" w:cs="Times New Roman"/>
          <w:color w:val="0D0D0D" w:themeColor="text1" w:themeTint="F2"/>
          <w:sz w:val="24"/>
          <w:szCs w:val="24"/>
        </w:rPr>
        <w:t xml:space="preserve">The PEST analysis of risks in the biofuel industry reported political risks and economic risks as important risks to the sample companies. Political risks like </w:t>
      </w:r>
      <w:r w:rsidR="00733780" w:rsidRPr="003C6DBD">
        <w:rPr>
          <w:rFonts w:ascii="Times New Roman" w:hAnsi="Times New Roman" w:cs="Times New Roman"/>
          <w:color w:val="0D0D0D" w:themeColor="text1" w:themeTint="F2"/>
          <w:sz w:val="24"/>
          <w:szCs w:val="24"/>
        </w:rPr>
        <w:t>B</w:t>
      </w:r>
      <w:r w:rsidRPr="003C6DBD">
        <w:rPr>
          <w:rFonts w:ascii="Times New Roman" w:hAnsi="Times New Roman" w:cs="Times New Roman"/>
          <w:color w:val="0D0D0D" w:themeColor="text1" w:themeTint="F2"/>
          <w:sz w:val="24"/>
          <w:szCs w:val="24"/>
        </w:rPr>
        <w:t xml:space="preserve">iofuel </w:t>
      </w:r>
      <w:r w:rsidR="00733780" w:rsidRPr="003C6DBD">
        <w:rPr>
          <w:rFonts w:ascii="Times New Roman" w:hAnsi="Times New Roman" w:cs="Times New Roman"/>
          <w:color w:val="0D0D0D" w:themeColor="text1" w:themeTint="F2"/>
          <w:sz w:val="24"/>
          <w:szCs w:val="24"/>
        </w:rPr>
        <w:t>R</w:t>
      </w:r>
      <w:r w:rsidRPr="003C6DBD">
        <w:rPr>
          <w:rFonts w:ascii="Times New Roman" w:hAnsi="Times New Roman" w:cs="Times New Roman"/>
          <w:color w:val="0D0D0D" w:themeColor="text1" w:themeTint="F2"/>
          <w:sz w:val="24"/>
          <w:szCs w:val="24"/>
        </w:rPr>
        <w:t>egulation</w:t>
      </w:r>
      <w:r w:rsidR="001B5920" w:rsidRPr="003C6DBD">
        <w:rPr>
          <w:rFonts w:ascii="Times New Roman" w:hAnsi="Times New Roman" w:cs="Times New Roman"/>
          <w:color w:val="0D0D0D" w:themeColor="text1" w:themeTint="F2"/>
          <w:sz w:val="24"/>
          <w:szCs w:val="24"/>
        </w:rPr>
        <w:t xml:space="preserve"> (BFR) and </w:t>
      </w:r>
      <w:r w:rsidR="00733780" w:rsidRPr="003C6DBD">
        <w:rPr>
          <w:rFonts w:ascii="Times New Roman" w:hAnsi="Times New Roman" w:cs="Times New Roman"/>
          <w:color w:val="0D0D0D" w:themeColor="text1" w:themeTint="F2"/>
          <w:sz w:val="24"/>
          <w:szCs w:val="24"/>
        </w:rPr>
        <w:t>G</w:t>
      </w:r>
      <w:r w:rsidRPr="003C6DBD">
        <w:rPr>
          <w:rFonts w:ascii="Times New Roman" w:hAnsi="Times New Roman" w:cs="Times New Roman"/>
          <w:color w:val="0D0D0D" w:themeColor="text1" w:themeTint="F2"/>
          <w:sz w:val="24"/>
          <w:szCs w:val="24"/>
        </w:rPr>
        <w:t xml:space="preserve">eneral </w:t>
      </w:r>
      <w:r w:rsidR="00733780" w:rsidRPr="003C6DBD">
        <w:rPr>
          <w:rFonts w:ascii="Times New Roman" w:hAnsi="Times New Roman" w:cs="Times New Roman"/>
          <w:color w:val="0D0D0D" w:themeColor="text1" w:themeTint="F2"/>
          <w:sz w:val="24"/>
          <w:szCs w:val="24"/>
        </w:rPr>
        <w:t>R</w:t>
      </w:r>
      <w:r w:rsidRPr="003C6DBD">
        <w:rPr>
          <w:rFonts w:ascii="Times New Roman" w:hAnsi="Times New Roman" w:cs="Times New Roman"/>
          <w:color w:val="0D0D0D" w:themeColor="text1" w:themeTint="F2"/>
          <w:sz w:val="24"/>
          <w:szCs w:val="24"/>
        </w:rPr>
        <w:t>egulation</w:t>
      </w:r>
      <w:r w:rsidR="001B5920" w:rsidRPr="003C6DBD">
        <w:rPr>
          <w:rFonts w:ascii="Times New Roman" w:hAnsi="Times New Roman" w:cs="Times New Roman"/>
          <w:color w:val="0D0D0D" w:themeColor="text1" w:themeTint="F2"/>
          <w:sz w:val="24"/>
          <w:szCs w:val="24"/>
        </w:rPr>
        <w:t xml:space="preserve"> (GNR)</w:t>
      </w:r>
      <w:r w:rsidRPr="003C6DBD">
        <w:rPr>
          <w:rFonts w:ascii="Times New Roman" w:hAnsi="Times New Roman" w:cs="Times New Roman"/>
          <w:color w:val="0D0D0D" w:themeColor="text1" w:themeTint="F2"/>
          <w:sz w:val="24"/>
          <w:szCs w:val="24"/>
        </w:rPr>
        <w:t xml:space="preserve">, and economic risks like </w:t>
      </w:r>
      <w:r w:rsidR="00733780" w:rsidRPr="003C6DBD">
        <w:rPr>
          <w:rFonts w:ascii="Times New Roman" w:hAnsi="Times New Roman" w:cs="Times New Roman"/>
          <w:color w:val="0D0D0D" w:themeColor="text1" w:themeTint="F2"/>
          <w:sz w:val="24"/>
          <w:szCs w:val="24"/>
        </w:rPr>
        <w:t>G</w:t>
      </w:r>
      <w:r w:rsidRPr="003C6DBD">
        <w:rPr>
          <w:rFonts w:ascii="Times New Roman" w:hAnsi="Times New Roman" w:cs="Times New Roman"/>
          <w:color w:val="0D0D0D" w:themeColor="text1" w:themeTint="F2"/>
          <w:sz w:val="24"/>
          <w:szCs w:val="24"/>
        </w:rPr>
        <w:t xml:space="preserve">eneral </w:t>
      </w:r>
      <w:r w:rsidR="00733780" w:rsidRPr="003C6DBD">
        <w:rPr>
          <w:rFonts w:ascii="Times New Roman" w:hAnsi="Times New Roman" w:cs="Times New Roman"/>
          <w:color w:val="0D0D0D" w:themeColor="text1" w:themeTint="F2"/>
          <w:sz w:val="24"/>
          <w:szCs w:val="24"/>
        </w:rPr>
        <w:t>E</w:t>
      </w:r>
      <w:r w:rsidRPr="003C6DBD">
        <w:rPr>
          <w:rFonts w:ascii="Times New Roman" w:hAnsi="Times New Roman" w:cs="Times New Roman"/>
          <w:color w:val="0D0D0D" w:themeColor="text1" w:themeTint="F2"/>
          <w:sz w:val="24"/>
          <w:szCs w:val="24"/>
        </w:rPr>
        <w:t xml:space="preserve">conomic </w:t>
      </w:r>
      <w:r w:rsidR="00733780" w:rsidRPr="003C6DBD">
        <w:rPr>
          <w:rFonts w:ascii="Times New Roman" w:hAnsi="Times New Roman" w:cs="Times New Roman"/>
          <w:color w:val="0D0D0D" w:themeColor="text1" w:themeTint="F2"/>
          <w:sz w:val="24"/>
          <w:szCs w:val="24"/>
        </w:rPr>
        <w:t>C</w:t>
      </w:r>
      <w:r w:rsidRPr="003C6DBD">
        <w:rPr>
          <w:rFonts w:ascii="Times New Roman" w:hAnsi="Times New Roman" w:cs="Times New Roman"/>
          <w:color w:val="0D0D0D" w:themeColor="text1" w:themeTint="F2"/>
          <w:sz w:val="24"/>
          <w:szCs w:val="24"/>
        </w:rPr>
        <w:t>onditions</w:t>
      </w:r>
      <w:r w:rsidR="001B5920" w:rsidRPr="003C6DBD">
        <w:rPr>
          <w:rFonts w:ascii="Times New Roman" w:hAnsi="Times New Roman" w:cs="Times New Roman"/>
          <w:color w:val="0D0D0D" w:themeColor="text1" w:themeTint="F2"/>
          <w:sz w:val="24"/>
          <w:szCs w:val="24"/>
        </w:rPr>
        <w:t xml:space="preserve"> (GEC) and</w:t>
      </w:r>
      <w:r w:rsidRPr="003C6DBD">
        <w:rPr>
          <w:rFonts w:ascii="Times New Roman" w:hAnsi="Times New Roman" w:cs="Times New Roman"/>
          <w:color w:val="0D0D0D" w:themeColor="text1" w:themeTint="F2"/>
          <w:sz w:val="24"/>
          <w:szCs w:val="24"/>
        </w:rPr>
        <w:t xml:space="preserve"> </w:t>
      </w:r>
      <w:r w:rsidR="00733780" w:rsidRPr="003C6DBD">
        <w:rPr>
          <w:rFonts w:ascii="Times New Roman" w:hAnsi="Times New Roman" w:cs="Times New Roman"/>
          <w:color w:val="0D0D0D" w:themeColor="text1" w:themeTint="F2"/>
          <w:sz w:val="24"/>
          <w:szCs w:val="24"/>
        </w:rPr>
        <w:t>M</w:t>
      </w:r>
      <w:r w:rsidRPr="003C6DBD">
        <w:rPr>
          <w:rFonts w:ascii="Times New Roman" w:hAnsi="Times New Roman" w:cs="Times New Roman"/>
          <w:color w:val="0D0D0D" w:themeColor="text1" w:themeTint="F2"/>
          <w:sz w:val="24"/>
          <w:szCs w:val="24"/>
        </w:rPr>
        <w:t>arkets-feedstock</w:t>
      </w:r>
      <w:r w:rsidR="001B5920" w:rsidRPr="003C6DBD">
        <w:rPr>
          <w:rFonts w:ascii="Times New Roman" w:hAnsi="Times New Roman" w:cs="Times New Roman"/>
          <w:color w:val="0D0D0D" w:themeColor="text1" w:themeTint="F2"/>
          <w:sz w:val="24"/>
          <w:szCs w:val="24"/>
        </w:rPr>
        <w:t xml:space="preserve"> (MRF) are</w:t>
      </w:r>
      <w:r w:rsidRPr="003C6DBD">
        <w:rPr>
          <w:rFonts w:ascii="Times New Roman" w:hAnsi="Times New Roman" w:cs="Times New Roman"/>
          <w:color w:val="0D0D0D" w:themeColor="text1" w:themeTint="F2"/>
          <w:sz w:val="24"/>
          <w:szCs w:val="24"/>
        </w:rPr>
        <w:t xml:space="preserve"> pronounced risks</w:t>
      </w:r>
      <w:r w:rsidR="0024697E" w:rsidRPr="003C6DBD">
        <w:rPr>
          <w:rFonts w:ascii="Times New Roman" w:hAnsi="Times New Roman" w:cs="Times New Roman"/>
          <w:color w:val="0D0D0D" w:themeColor="text1" w:themeTint="F2"/>
          <w:sz w:val="24"/>
          <w:szCs w:val="24"/>
        </w:rPr>
        <w:t xml:space="preserve"> during the study period</w:t>
      </w:r>
      <w:r w:rsidRPr="003C6DBD">
        <w:rPr>
          <w:rFonts w:ascii="Times New Roman" w:hAnsi="Times New Roman" w:cs="Times New Roman"/>
          <w:color w:val="0D0D0D" w:themeColor="text1" w:themeTint="F2"/>
          <w:sz w:val="24"/>
          <w:szCs w:val="24"/>
        </w:rPr>
        <w:t xml:space="preserve">. </w:t>
      </w:r>
    </w:p>
    <w:p w14:paraId="0955BDDD" w14:textId="3AA27223" w:rsidR="00F70A21" w:rsidRPr="003C6DBD" w:rsidRDefault="003F6F35" w:rsidP="002A7494">
      <w:pPr>
        <w:pStyle w:val="Heading4"/>
        <w:rPr>
          <w:color w:val="0D0D0D" w:themeColor="text1" w:themeTint="F2"/>
        </w:rPr>
      </w:pPr>
      <w:r w:rsidRPr="003C6DBD">
        <w:rPr>
          <w:color w:val="0D0D0D" w:themeColor="text1" w:themeTint="F2"/>
        </w:rPr>
        <w:t>5.</w:t>
      </w:r>
      <w:r w:rsidR="00B43A4A" w:rsidRPr="003C6DBD">
        <w:rPr>
          <w:color w:val="0D0D0D" w:themeColor="text1" w:themeTint="F2"/>
        </w:rPr>
        <w:t>1.</w:t>
      </w:r>
      <w:r w:rsidRPr="003C6DBD">
        <w:rPr>
          <w:color w:val="0D0D0D" w:themeColor="text1" w:themeTint="F2"/>
        </w:rPr>
        <w:t>5 Primary Activities</w:t>
      </w:r>
      <w:bookmarkEnd w:id="37"/>
    </w:p>
    <w:p w14:paraId="0EF85F25" w14:textId="21808721" w:rsidR="0033048B" w:rsidRPr="003C6DBD" w:rsidRDefault="006159F7" w:rsidP="0082634C">
      <w:pPr>
        <w:pStyle w:val="comp"/>
        <w:spacing w:before="0" w:beforeAutospacing="0" w:after="160" w:afterAutospacing="0" w:line="480" w:lineRule="auto"/>
        <w:ind w:firstLine="720"/>
        <w:rPr>
          <w:rFonts w:eastAsiaTheme="minorHAnsi"/>
          <w:color w:val="0D0D0D" w:themeColor="text1" w:themeTint="F2"/>
        </w:rPr>
      </w:pPr>
      <w:r w:rsidRPr="003C6DBD">
        <w:rPr>
          <w:color w:val="0D0D0D" w:themeColor="text1" w:themeTint="F2"/>
        </w:rPr>
        <w:t xml:space="preserve">Figures 5 displays the prevalence and significance of risk factors under primary activities risks category reported by the ALL portfolio of sample biofuel companies for 2021, 2020, 2019, and 2018. </w:t>
      </w:r>
      <w:r w:rsidR="00380F51" w:rsidRPr="003C6DBD">
        <w:rPr>
          <w:rFonts w:eastAsiaTheme="minorHAnsi"/>
          <w:color w:val="0D0D0D" w:themeColor="text1" w:themeTint="F2"/>
        </w:rPr>
        <w:t xml:space="preserve">Profitable </w:t>
      </w:r>
      <w:r w:rsidR="0036662D" w:rsidRPr="003C6DBD">
        <w:rPr>
          <w:rFonts w:eastAsiaTheme="minorHAnsi"/>
          <w:color w:val="0D0D0D" w:themeColor="text1" w:themeTint="F2"/>
        </w:rPr>
        <w:t>O</w:t>
      </w:r>
      <w:r w:rsidR="00380F51" w:rsidRPr="003C6DBD">
        <w:rPr>
          <w:rFonts w:eastAsiaTheme="minorHAnsi"/>
          <w:color w:val="0D0D0D" w:themeColor="text1" w:themeTint="F2"/>
        </w:rPr>
        <w:t>peration</w:t>
      </w:r>
      <w:r w:rsidR="00737659" w:rsidRPr="003C6DBD">
        <w:rPr>
          <w:rFonts w:eastAsiaTheme="minorHAnsi"/>
          <w:color w:val="0D0D0D" w:themeColor="text1" w:themeTint="F2"/>
        </w:rPr>
        <w:t>s</w:t>
      </w:r>
      <w:r w:rsidR="00946F7E" w:rsidRPr="003C6DBD">
        <w:rPr>
          <w:rFonts w:eastAsiaTheme="minorHAnsi"/>
          <w:color w:val="0D0D0D" w:themeColor="text1" w:themeTint="F2"/>
        </w:rPr>
        <w:t xml:space="preserve"> (PRO)</w:t>
      </w:r>
      <w:r w:rsidR="00380F51" w:rsidRPr="003C6DBD">
        <w:rPr>
          <w:rFonts w:eastAsiaTheme="minorHAnsi"/>
          <w:color w:val="0D0D0D" w:themeColor="text1" w:themeTint="F2"/>
        </w:rPr>
        <w:t xml:space="preserve"> </w:t>
      </w:r>
      <w:r w:rsidR="00737659" w:rsidRPr="003C6DBD">
        <w:rPr>
          <w:rFonts w:eastAsiaTheme="minorHAnsi"/>
          <w:color w:val="0D0D0D" w:themeColor="text1" w:themeTint="F2"/>
        </w:rPr>
        <w:t>are</w:t>
      </w:r>
      <w:r w:rsidR="00380F51" w:rsidRPr="003C6DBD">
        <w:rPr>
          <w:rFonts w:eastAsiaTheme="minorHAnsi"/>
          <w:color w:val="0D0D0D" w:themeColor="text1" w:themeTint="F2"/>
        </w:rPr>
        <w:t xml:space="preserve"> the most important specific risks </w:t>
      </w:r>
      <w:r w:rsidR="00BD5897" w:rsidRPr="003C6DBD">
        <w:rPr>
          <w:rFonts w:eastAsiaTheme="minorHAnsi"/>
          <w:color w:val="0D0D0D" w:themeColor="text1" w:themeTint="F2"/>
        </w:rPr>
        <w:t xml:space="preserve">related to primary activities </w:t>
      </w:r>
      <w:r w:rsidR="00380F51" w:rsidRPr="003C6DBD">
        <w:rPr>
          <w:rFonts w:eastAsiaTheme="minorHAnsi"/>
          <w:color w:val="0D0D0D" w:themeColor="text1" w:themeTint="F2"/>
        </w:rPr>
        <w:t xml:space="preserve">because </w:t>
      </w:r>
      <w:r w:rsidR="0036662D" w:rsidRPr="003C6DBD">
        <w:rPr>
          <w:rFonts w:eastAsiaTheme="minorHAnsi"/>
          <w:color w:val="0D0D0D" w:themeColor="text1" w:themeTint="F2"/>
        </w:rPr>
        <w:t>they are</w:t>
      </w:r>
      <w:r w:rsidR="00380F51" w:rsidRPr="003C6DBD">
        <w:rPr>
          <w:rFonts w:eastAsiaTheme="minorHAnsi"/>
          <w:color w:val="0D0D0D" w:themeColor="text1" w:themeTint="F2"/>
        </w:rPr>
        <w:t xml:space="preserve"> highly prevalent and significant in the primary activities category. It includes risks related to the operational activities of companies to attain or maintain a profitable situation. Facilities </w:t>
      </w:r>
      <w:r w:rsidR="0036662D" w:rsidRPr="003C6DBD">
        <w:rPr>
          <w:rFonts w:eastAsiaTheme="minorHAnsi"/>
          <w:color w:val="0D0D0D" w:themeColor="text1" w:themeTint="F2"/>
        </w:rPr>
        <w:t>D</w:t>
      </w:r>
      <w:r w:rsidR="00380F51" w:rsidRPr="003C6DBD">
        <w:rPr>
          <w:rFonts w:eastAsiaTheme="minorHAnsi"/>
          <w:color w:val="0D0D0D" w:themeColor="text1" w:themeTint="F2"/>
        </w:rPr>
        <w:t>evelopment</w:t>
      </w:r>
      <w:r w:rsidR="00946F7E" w:rsidRPr="003C6DBD">
        <w:rPr>
          <w:rFonts w:eastAsiaTheme="minorHAnsi"/>
          <w:color w:val="0D0D0D" w:themeColor="text1" w:themeTint="F2"/>
        </w:rPr>
        <w:t xml:space="preserve"> (FTD)</w:t>
      </w:r>
      <w:r w:rsidR="00380F51" w:rsidRPr="003C6DBD">
        <w:rPr>
          <w:rFonts w:eastAsiaTheme="minorHAnsi"/>
          <w:color w:val="0D0D0D" w:themeColor="text1" w:themeTint="F2"/>
        </w:rPr>
        <w:t xml:space="preserve"> is </w:t>
      </w:r>
      <w:r w:rsidR="00F0451C" w:rsidRPr="003C6DBD">
        <w:rPr>
          <w:rFonts w:eastAsiaTheme="minorHAnsi"/>
          <w:color w:val="0D0D0D" w:themeColor="text1" w:themeTint="F2"/>
        </w:rPr>
        <w:t>neither prevalent nor</w:t>
      </w:r>
      <w:r w:rsidR="00380F51" w:rsidRPr="003C6DBD">
        <w:rPr>
          <w:rFonts w:eastAsiaTheme="minorHAnsi"/>
          <w:color w:val="0D0D0D" w:themeColor="text1" w:themeTint="F2"/>
        </w:rPr>
        <w:t xml:space="preserve"> significant risk in this category</w:t>
      </w:r>
      <w:r w:rsidR="00F0451C" w:rsidRPr="003C6DBD">
        <w:rPr>
          <w:rFonts w:eastAsiaTheme="minorHAnsi"/>
          <w:color w:val="0D0D0D" w:themeColor="text1" w:themeTint="F2"/>
        </w:rPr>
        <w:t xml:space="preserve"> in 2018 and 2019</w:t>
      </w:r>
      <w:r w:rsidR="00380F51" w:rsidRPr="003C6DBD">
        <w:rPr>
          <w:rFonts w:eastAsiaTheme="minorHAnsi"/>
          <w:color w:val="0D0D0D" w:themeColor="text1" w:themeTint="F2"/>
        </w:rPr>
        <w:t>.</w:t>
      </w:r>
      <w:r w:rsidR="00F0451C" w:rsidRPr="003C6DBD">
        <w:rPr>
          <w:rFonts w:eastAsiaTheme="minorHAnsi"/>
          <w:color w:val="0D0D0D" w:themeColor="text1" w:themeTint="F2"/>
        </w:rPr>
        <w:t xml:space="preserve"> </w:t>
      </w:r>
      <w:r w:rsidR="00946F7E" w:rsidRPr="003C6DBD">
        <w:rPr>
          <w:rFonts w:eastAsiaTheme="minorHAnsi"/>
          <w:color w:val="0D0D0D" w:themeColor="text1" w:themeTint="F2"/>
        </w:rPr>
        <w:t>However, i</w:t>
      </w:r>
      <w:r w:rsidR="00F0451C" w:rsidRPr="003C6DBD">
        <w:rPr>
          <w:rFonts w:eastAsiaTheme="minorHAnsi"/>
          <w:color w:val="0D0D0D" w:themeColor="text1" w:themeTint="F2"/>
        </w:rPr>
        <w:t xml:space="preserve">t </w:t>
      </w:r>
      <w:r w:rsidR="00946F7E" w:rsidRPr="003C6DBD">
        <w:rPr>
          <w:rFonts w:eastAsiaTheme="minorHAnsi"/>
          <w:color w:val="0D0D0D" w:themeColor="text1" w:themeTint="F2"/>
        </w:rPr>
        <w:t>is</w:t>
      </w:r>
      <w:r w:rsidR="00F0451C" w:rsidRPr="003C6DBD">
        <w:rPr>
          <w:rFonts w:eastAsiaTheme="minorHAnsi"/>
          <w:color w:val="0D0D0D" w:themeColor="text1" w:themeTint="F2"/>
        </w:rPr>
        <w:t xml:space="preserve"> a significant risk in 202</w:t>
      </w:r>
      <w:r w:rsidR="0051547C" w:rsidRPr="003C6DBD">
        <w:rPr>
          <w:rFonts w:eastAsiaTheme="minorHAnsi"/>
          <w:color w:val="0D0D0D" w:themeColor="text1" w:themeTint="F2"/>
        </w:rPr>
        <w:t>1 and 2020</w:t>
      </w:r>
      <w:r w:rsidR="00F0451C" w:rsidRPr="003C6DBD">
        <w:rPr>
          <w:rFonts w:eastAsiaTheme="minorHAnsi"/>
          <w:color w:val="0D0D0D" w:themeColor="text1" w:themeTint="F2"/>
        </w:rPr>
        <w:t xml:space="preserve">. Facilities </w:t>
      </w:r>
      <w:r w:rsidR="0036662D" w:rsidRPr="003C6DBD">
        <w:rPr>
          <w:rFonts w:eastAsiaTheme="minorHAnsi"/>
          <w:color w:val="0D0D0D" w:themeColor="text1" w:themeTint="F2"/>
        </w:rPr>
        <w:t>D</w:t>
      </w:r>
      <w:r w:rsidR="00F0451C" w:rsidRPr="003C6DBD">
        <w:rPr>
          <w:rFonts w:eastAsiaTheme="minorHAnsi"/>
          <w:color w:val="0D0D0D" w:themeColor="text1" w:themeTint="F2"/>
        </w:rPr>
        <w:t xml:space="preserve">evelopment </w:t>
      </w:r>
      <w:r w:rsidR="00946F7E" w:rsidRPr="003C6DBD">
        <w:rPr>
          <w:rFonts w:eastAsiaTheme="minorHAnsi"/>
          <w:color w:val="0D0D0D" w:themeColor="text1" w:themeTint="F2"/>
        </w:rPr>
        <w:t xml:space="preserve">(FTD) </w:t>
      </w:r>
      <w:r w:rsidR="00F0451C" w:rsidRPr="003C6DBD">
        <w:rPr>
          <w:rFonts w:eastAsiaTheme="minorHAnsi"/>
          <w:color w:val="0D0D0D" w:themeColor="text1" w:themeTint="F2"/>
        </w:rPr>
        <w:t>includes risks related to construction and setting up the biofuel facilities.</w:t>
      </w:r>
    </w:p>
    <w:p w14:paraId="73803321" w14:textId="77777777" w:rsidR="00C848A7" w:rsidRPr="003C6DBD" w:rsidRDefault="00C848A7" w:rsidP="00C848A7">
      <w:pPr>
        <w:pStyle w:val="Heading4"/>
        <w:rPr>
          <w:color w:val="0D0D0D" w:themeColor="text1" w:themeTint="F2"/>
        </w:rPr>
      </w:pPr>
      <w:r w:rsidRPr="003C6DBD">
        <w:rPr>
          <w:color w:val="0D0D0D" w:themeColor="text1" w:themeTint="F2"/>
        </w:rPr>
        <w:lastRenderedPageBreak/>
        <w:t>5.1.6 Support Activities</w:t>
      </w:r>
    </w:p>
    <w:p w14:paraId="0D7032E5" w14:textId="284B20C9" w:rsidR="00CD6D9D" w:rsidRPr="003C6DBD" w:rsidRDefault="006159F7" w:rsidP="00E9348D">
      <w:pPr>
        <w:pStyle w:val="comp"/>
        <w:spacing w:before="120" w:beforeAutospacing="0" w:after="120" w:afterAutospacing="0" w:line="480" w:lineRule="auto"/>
        <w:ind w:firstLine="720"/>
        <w:rPr>
          <w:rFonts w:eastAsiaTheme="minorHAnsi"/>
          <w:color w:val="0D0D0D" w:themeColor="text1" w:themeTint="F2"/>
        </w:rPr>
      </w:pPr>
      <w:r w:rsidRPr="003C6DBD">
        <w:rPr>
          <w:color w:val="0D0D0D" w:themeColor="text1" w:themeTint="F2"/>
        </w:rPr>
        <w:t xml:space="preserve">Figures 6 displays the prevalence and significance of risk factors under support activities risks category reported by the ALL portfolio of sample biofuel companies for 2021, 2020, 2019, and 2018. </w:t>
      </w:r>
      <w:r w:rsidR="00C848A7" w:rsidRPr="003C6DBD">
        <w:rPr>
          <w:rFonts w:eastAsiaTheme="minorHAnsi"/>
          <w:color w:val="0D0D0D" w:themeColor="text1" w:themeTint="F2"/>
        </w:rPr>
        <w:t xml:space="preserve">Risk management (RKM), </w:t>
      </w:r>
      <w:r w:rsidR="0036662D" w:rsidRPr="003C6DBD">
        <w:rPr>
          <w:rFonts w:eastAsiaTheme="minorHAnsi"/>
          <w:color w:val="0D0D0D" w:themeColor="text1" w:themeTint="F2"/>
        </w:rPr>
        <w:t>C</w:t>
      </w:r>
      <w:r w:rsidR="00C848A7" w:rsidRPr="003C6DBD">
        <w:rPr>
          <w:rFonts w:eastAsiaTheme="minorHAnsi"/>
          <w:color w:val="0D0D0D" w:themeColor="text1" w:themeTint="F2"/>
        </w:rPr>
        <w:t xml:space="preserve">ontracting (CON), and </w:t>
      </w:r>
      <w:r w:rsidR="0036662D" w:rsidRPr="003C6DBD">
        <w:rPr>
          <w:rFonts w:eastAsiaTheme="minorHAnsi"/>
          <w:color w:val="0D0D0D" w:themeColor="text1" w:themeTint="F2"/>
        </w:rPr>
        <w:t>F</w:t>
      </w:r>
      <w:r w:rsidR="00C848A7" w:rsidRPr="003C6DBD">
        <w:rPr>
          <w:rFonts w:eastAsiaTheme="minorHAnsi"/>
          <w:color w:val="0D0D0D" w:themeColor="text1" w:themeTint="F2"/>
        </w:rPr>
        <w:t xml:space="preserve">inancing (FIN) are present in the upper right quadrant in all </w:t>
      </w:r>
      <w:r w:rsidR="006466AC" w:rsidRPr="003C6DBD">
        <w:rPr>
          <w:rFonts w:eastAsiaTheme="minorHAnsi"/>
          <w:color w:val="0D0D0D" w:themeColor="text1" w:themeTint="F2"/>
        </w:rPr>
        <w:t>four</w:t>
      </w:r>
      <w:r w:rsidR="00C848A7" w:rsidRPr="003C6DBD">
        <w:rPr>
          <w:rFonts w:eastAsiaTheme="minorHAnsi"/>
          <w:color w:val="0D0D0D" w:themeColor="text1" w:themeTint="F2"/>
        </w:rPr>
        <w:t xml:space="preserve"> years, suggesting that these risks are prevalent and significant for the sample biofuel companies. Risk </w:t>
      </w:r>
      <w:r w:rsidR="0036662D" w:rsidRPr="003C6DBD">
        <w:rPr>
          <w:rFonts w:eastAsiaTheme="minorHAnsi"/>
          <w:color w:val="0D0D0D" w:themeColor="text1" w:themeTint="F2"/>
        </w:rPr>
        <w:t>M</w:t>
      </w:r>
      <w:r w:rsidR="00C848A7" w:rsidRPr="003C6DBD">
        <w:rPr>
          <w:rFonts w:eastAsiaTheme="minorHAnsi"/>
          <w:color w:val="0D0D0D" w:themeColor="text1" w:themeTint="F2"/>
        </w:rPr>
        <w:t xml:space="preserve">anagement (RKM) includes risks like foreign currency exchange, natural disasters, pandemics, etc. Risk </w:t>
      </w:r>
      <w:r w:rsidR="0036662D" w:rsidRPr="003C6DBD">
        <w:rPr>
          <w:rFonts w:eastAsiaTheme="minorHAnsi"/>
          <w:color w:val="0D0D0D" w:themeColor="text1" w:themeTint="F2"/>
        </w:rPr>
        <w:t>M</w:t>
      </w:r>
      <w:r w:rsidR="00C848A7" w:rsidRPr="003C6DBD">
        <w:rPr>
          <w:rFonts w:eastAsiaTheme="minorHAnsi"/>
          <w:color w:val="0D0D0D" w:themeColor="text1" w:themeTint="F2"/>
        </w:rPr>
        <w:t xml:space="preserve">anagement (RKM) is observed to be the most important risk among all the risk categories in all years because it is at the farthest top right corner location in the risk importance quadrant graph. Contracting (CON) includes risks associated with long-term contracts or agreements with partners and subsidiaries. Financing (FIN) related risks are challenges associated with obtaining funds to run the facilities and risks caused by contemporary financial arrangements. General </w:t>
      </w:r>
      <w:r w:rsidR="0036662D" w:rsidRPr="003C6DBD">
        <w:rPr>
          <w:rFonts w:eastAsiaTheme="minorHAnsi"/>
          <w:color w:val="0D0D0D" w:themeColor="text1" w:themeTint="F2"/>
        </w:rPr>
        <w:t>M</w:t>
      </w:r>
      <w:r w:rsidR="00C848A7" w:rsidRPr="003C6DBD">
        <w:rPr>
          <w:rFonts w:eastAsiaTheme="minorHAnsi"/>
          <w:color w:val="0D0D0D" w:themeColor="text1" w:themeTint="F2"/>
        </w:rPr>
        <w:t xml:space="preserve">anagement (GNM) risks related to key personnel or employees, and general managerial </w:t>
      </w:r>
      <w:r w:rsidR="008D706B" w:rsidRPr="003C6DBD">
        <w:rPr>
          <w:rFonts w:eastAsiaTheme="minorHAnsi"/>
          <w:color w:val="0D0D0D" w:themeColor="text1" w:themeTint="F2"/>
        </w:rPr>
        <w:t>issues</w:t>
      </w:r>
      <w:r w:rsidR="00C848A7" w:rsidRPr="003C6DBD">
        <w:rPr>
          <w:rFonts w:eastAsiaTheme="minorHAnsi"/>
          <w:color w:val="0D0D0D" w:themeColor="text1" w:themeTint="F2"/>
        </w:rPr>
        <w:t xml:space="preserve"> are prevalent but not significant. Mergers and </w:t>
      </w:r>
      <w:r w:rsidR="0036662D" w:rsidRPr="003C6DBD">
        <w:rPr>
          <w:rFonts w:eastAsiaTheme="minorHAnsi"/>
          <w:color w:val="0D0D0D" w:themeColor="text1" w:themeTint="F2"/>
        </w:rPr>
        <w:t>A</w:t>
      </w:r>
      <w:r w:rsidR="00C848A7" w:rsidRPr="003C6DBD">
        <w:rPr>
          <w:rFonts w:eastAsiaTheme="minorHAnsi"/>
          <w:color w:val="0D0D0D" w:themeColor="text1" w:themeTint="F2"/>
        </w:rPr>
        <w:t xml:space="preserve">cquisitions (MNA) risk is related to the past or future of the company because of mergers, acquisitions, divestitures, or joint ventures. This risk is neither prevalent nor significant. </w:t>
      </w:r>
    </w:p>
    <w:p w14:paraId="593596EE" w14:textId="2E6842EA" w:rsidR="00EB60A9" w:rsidRPr="003C6DBD" w:rsidRDefault="00FE688A" w:rsidP="00E9348D">
      <w:pPr>
        <w:pStyle w:val="comp"/>
        <w:spacing w:before="120" w:beforeAutospacing="0" w:after="120" w:afterAutospacing="0" w:line="480" w:lineRule="auto"/>
        <w:ind w:firstLine="720"/>
        <w:rPr>
          <w:rFonts w:eastAsiaTheme="minorHAnsi"/>
          <w:color w:val="0D0D0D" w:themeColor="text1" w:themeTint="F2"/>
        </w:rPr>
      </w:pPr>
      <w:r w:rsidRPr="003C6DBD">
        <w:rPr>
          <w:rFonts w:eastAsiaTheme="minorHAnsi"/>
          <w:color w:val="0D0D0D" w:themeColor="text1" w:themeTint="F2"/>
        </w:rPr>
        <w:t xml:space="preserve">As a summary, </w:t>
      </w:r>
      <w:r w:rsidR="00EB60A9" w:rsidRPr="003C6DBD">
        <w:rPr>
          <w:rFonts w:eastAsiaTheme="minorHAnsi"/>
          <w:color w:val="0D0D0D" w:themeColor="text1" w:themeTint="F2"/>
        </w:rPr>
        <w:t xml:space="preserve">Table 13 displays the major risks that are prevalent and significant for all companies in the sample between 2018 and 2021. This enables us to identify whether any risks consistently remained significant over the years and whether some risks are more prevalent and significant in certain years than others. Political risk included </w:t>
      </w:r>
      <w:r w:rsidR="0036662D" w:rsidRPr="003C6DBD">
        <w:rPr>
          <w:rFonts w:eastAsiaTheme="minorHAnsi"/>
          <w:color w:val="0D0D0D" w:themeColor="text1" w:themeTint="F2"/>
        </w:rPr>
        <w:t>B</w:t>
      </w:r>
      <w:r w:rsidR="00EB60A9" w:rsidRPr="003C6DBD">
        <w:rPr>
          <w:rFonts w:eastAsiaTheme="minorHAnsi"/>
          <w:color w:val="0D0D0D" w:themeColor="text1" w:themeTint="F2"/>
        </w:rPr>
        <w:t xml:space="preserve">iofuel </w:t>
      </w:r>
      <w:r w:rsidR="0036662D" w:rsidRPr="003C6DBD">
        <w:rPr>
          <w:rFonts w:eastAsiaTheme="minorHAnsi"/>
          <w:color w:val="0D0D0D" w:themeColor="text1" w:themeTint="F2"/>
        </w:rPr>
        <w:t>R</w:t>
      </w:r>
      <w:r w:rsidR="00EB60A9" w:rsidRPr="003C6DBD">
        <w:rPr>
          <w:rFonts w:eastAsiaTheme="minorHAnsi"/>
          <w:color w:val="0D0D0D" w:themeColor="text1" w:themeTint="F2"/>
        </w:rPr>
        <w:t xml:space="preserve">egulation (BFR), which is a prevalent and significant risk throughout all years, while </w:t>
      </w:r>
      <w:r w:rsidR="0036662D" w:rsidRPr="003C6DBD">
        <w:rPr>
          <w:rFonts w:eastAsiaTheme="minorHAnsi"/>
          <w:color w:val="0D0D0D" w:themeColor="text1" w:themeTint="F2"/>
        </w:rPr>
        <w:t>G</w:t>
      </w:r>
      <w:r w:rsidR="00EB60A9" w:rsidRPr="003C6DBD">
        <w:rPr>
          <w:rFonts w:eastAsiaTheme="minorHAnsi"/>
          <w:color w:val="0D0D0D" w:themeColor="text1" w:themeTint="F2"/>
        </w:rPr>
        <w:t xml:space="preserve">eneral </w:t>
      </w:r>
      <w:r w:rsidR="0036662D" w:rsidRPr="003C6DBD">
        <w:rPr>
          <w:rFonts w:eastAsiaTheme="minorHAnsi"/>
          <w:color w:val="0D0D0D" w:themeColor="text1" w:themeTint="F2"/>
        </w:rPr>
        <w:t>R</w:t>
      </w:r>
      <w:r w:rsidR="00EB60A9" w:rsidRPr="003C6DBD">
        <w:rPr>
          <w:rFonts w:eastAsiaTheme="minorHAnsi"/>
          <w:color w:val="0D0D0D" w:themeColor="text1" w:themeTint="F2"/>
        </w:rPr>
        <w:t xml:space="preserve">egulation (GNR) is only prevalent and significant in 2018 and 2019. Similarly, </w:t>
      </w:r>
      <w:r w:rsidR="0036662D" w:rsidRPr="003C6DBD">
        <w:rPr>
          <w:rFonts w:eastAsiaTheme="minorHAnsi"/>
          <w:color w:val="0D0D0D" w:themeColor="text1" w:themeTint="F2"/>
        </w:rPr>
        <w:t>G</w:t>
      </w:r>
      <w:r w:rsidR="00EB60A9" w:rsidRPr="003C6DBD">
        <w:rPr>
          <w:rFonts w:eastAsiaTheme="minorHAnsi"/>
          <w:color w:val="0D0D0D" w:themeColor="text1" w:themeTint="F2"/>
        </w:rPr>
        <w:t xml:space="preserve">eneral </w:t>
      </w:r>
      <w:r w:rsidR="0036662D" w:rsidRPr="003C6DBD">
        <w:rPr>
          <w:rFonts w:eastAsiaTheme="minorHAnsi"/>
          <w:color w:val="0D0D0D" w:themeColor="text1" w:themeTint="F2"/>
        </w:rPr>
        <w:t>E</w:t>
      </w:r>
      <w:r w:rsidR="00EB60A9" w:rsidRPr="003C6DBD">
        <w:rPr>
          <w:rFonts w:eastAsiaTheme="minorHAnsi"/>
          <w:color w:val="0D0D0D" w:themeColor="text1" w:themeTint="F2"/>
        </w:rPr>
        <w:t xml:space="preserve">conomic </w:t>
      </w:r>
      <w:r w:rsidR="0036662D" w:rsidRPr="003C6DBD">
        <w:rPr>
          <w:rFonts w:eastAsiaTheme="minorHAnsi"/>
          <w:color w:val="0D0D0D" w:themeColor="text1" w:themeTint="F2"/>
        </w:rPr>
        <w:t>C</w:t>
      </w:r>
      <w:r w:rsidR="00EB60A9" w:rsidRPr="003C6DBD">
        <w:rPr>
          <w:rFonts w:eastAsiaTheme="minorHAnsi"/>
          <w:color w:val="0D0D0D" w:themeColor="text1" w:themeTint="F2"/>
        </w:rPr>
        <w:t xml:space="preserve">ondition (GEC) is a prevalent and significant risk throughout all years, whereas </w:t>
      </w:r>
      <w:r w:rsidR="0036662D" w:rsidRPr="003C6DBD">
        <w:rPr>
          <w:rFonts w:eastAsiaTheme="minorHAnsi"/>
          <w:color w:val="0D0D0D" w:themeColor="text1" w:themeTint="F2"/>
        </w:rPr>
        <w:t>M</w:t>
      </w:r>
      <w:r w:rsidR="00EB60A9" w:rsidRPr="003C6DBD">
        <w:rPr>
          <w:rFonts w:eastAsiaTheme="minorHAnsi"/>
          <w:color w:val="0D0D0D" w:themeColor="text1" w:themeTint="F2"/>
        </w:rPr>
        <w:t>arkets</w:t>
      </w:r>
      <w:r w:rsidR="0036662D" w:rsidRPr="003C6DBD">
        <w:rPr>
          <w:rFonts w:eastAsiaTheme="minorHAnsi"/>
          <w:color w:val="0D0D0D" w:themeColor="text1" w:themeTint="F2"/>
        </w:rPr>
        <w:t>-</w:t>
      </w:r>
      <w:r w:rsidR="00EB60A9" w:rsidRPr="003C6DBD">
        <w:rPr>
          <w:rFonts w:eastAsiaTheme="minorHAnsi"/>
          <w:color w:val="0D0D0D" w:themeColor="text1" w:themeTint="F2"/>
        </w:rPr>
        <w:t xml:space="preserve">feedstock (MRF) is only prevalent and significant in 2018 and 2019. Social and technological risks did not have any </w:t>
      </w:r>
      <w:r w:rsidR="00EB60A9" w:rsidRPr="003C6DBD">
        <w:rPr>
          <w:rFonts w:eastAsiaTheme="minorHAnsi"/>
          <w:color w:val="0D0D0D" w:themeColor="text1" w:themeTint="F2"/>
        </w:rPr>
        <w:lastRenderedPageBreak/>
        <w:t>prevalent and significant risk factors. Likewise, primary activities and support activities risks reported the same prevalent and significant risks across all years.</w:t>
      </w:r>
    </w:p>
    <w:p w14:paraId="6A272556" w14:textId="63CD73E4" w:rsidR="00FA19F4" w:rsidRPr="003C6DBD" w:rsidRDefault="00FA19F4" w:rsidP="00FA19F4">
      <w:pPr>
        <w:pStyle w:val="Heading3"/>
        <w:spacing w:before="120" w:after="120" w:line="480" w:lineRule="auto"/>
        <w:rPr>
          <w:rFonts w:eastAsiaTheme="minorHAnsi" w:cs="Times New Roman"/>
          <w:color w:val="0D0D0D" w:themeColor="text1" w:themeTint="F2"/>
          <w:szCs w:val="24"/>
        </w:rPr>
      </w:pPr>
      <w:bookmarkStart w:id="38" w:name="_Toc132761846"/>
      <w:r w:rsidRPr="003C6DBD">
        <w:rPr>
          <w:rFonts w:eastAsiaTheme="minorHAnsi" w:cs="Times New Roman"/>
          <w:color w:val="0D0D0D" w:themeColor="text1" w:themeTint="F2"/>
          <w:szCs w:val="24"/>
        </w:rPr>
        <w:t xml:space="preserve">5.2 </w:t>
      </w:r>
      <w:r w:rsidR="003410B7" w:rsidRPr="003C6DBD">
        <w:rPr>
          <w:rFonts w:eastAsiaTheme="minorHAnsi" w:cs="Times New Roman"/>
          <w:color w:val="0D0D0D" w:themeColor="text1" w:themeTint="F2"/>
          <w:szCs w:val="24"/>
        </w:rPr>
        <w:t xml:space="preserve">Risk Analysis of </w:t>
      </w:r>
      <w:r w:rsidR="00D10D7B" w:rsidRPr="003C6DBD">
        <w:rPr>
          <w:rFonts w:eastAsiaTheme="minorHAnsi" w:cs="Times New Roman"/>
          <w:color w:val="0D0D0D" w:themeColor="text1" w:themeTint="F2"/>
          <w:szCs w:val="24"/>
        </w:rPr>
        <w:t xml:space="preserve">Two </w:t>
      </w:r>
      <w:r w:rsidR="003410B7" w:rsidRPr="003C6DBD">
        <w:rPr>
          <w:rFonts w:eastAsiaTheme="minorHAnsi" w:cs="Times New Roman"/>
          <w:color w:val="0D0D0D" w:themeColor="text1" w:themeTint="F2"/>
          <w:szCs w:val="24"/>
        </w:rPr>
        <w:t>Portfolios</w:t>
      </w:r>
      <w:bookmarkEnd w:id="38"/>
      <w:r w:rsidR="003410B7" w:rsidRPr="003C6DBD">
        <w:rPr>
          <w:rFonts w:eastAsiaTheme="minorHAnsi" w:cs="Times New Roman"/>
          <w:color w:val="0D0D0D" w:themeColor="text1" w:themeTint="F2"/>
          <w:szCs w:val="24"/>
        </w:rPr>
        <w:t xml:space="preserve"> </w:t>
      </w:r>
    </w:p>
    <w:p w14:paraId="7EBC9CE9" w14:textId="1E083FDD" w:rsidR="009B1BD3" w:rsidRPr="003C6DBD" w:rsidRDefault="009B1BD3" w:rsidP="009B1BD3">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b/>
        <w:t xml:space="preserve">A </w:t>
      </w:r>
      <w:r w:rsidR="00704D00" w:rsidRPr="003C6DBD">
        <w:rPr>
          <w:rFonts w:ascii="Times New Roman" w:hAnsi="Times New Roman" w:cs="Times New Roman"/>
          <w:color w:val="0D0D0D" w:themeColor="text1" w:themeTint="F2"/>
          <w:sz w:val="24"/>
          <w:szCs w:val="24"/>
        </w:rPr>
        <w:t>comparison</w:t>
      </w:r>
      <w:r w:rsidRPr="003C6DBD">
        <w:rPr>
          <w:rFonts w:ascii="Times New Roman" w:hAnsi="Times New Roman" w:cs="Times New Roman"/>
          <w:color w:val="0D0D0D" w:themeColor="text1" w:themeTint="F2"/>
          <w:sz w:val="24"/>
          <w:szCs w:val="24"/>
        </w:rPr>
        <w:t xml:space="preserve"> </w:t>
      </w:r>
      <w:r w:rsidR="003410B7" w:rsidRPr="003C6DBD">
        <w:rPr>
          <w:rFonts w:ascii="Times New Roman" w:hAnsi="Times New Roman" w:cs="Times New Roman"/>
          <w:color w:val="0D0D0D" w:themeColor="text1" w:themeTint="F2"/>
          <w:sz w:val="24"/>
          <w:szCs w:val="24"/>
        </w:rPr>
        <w:t>is</w:t>
      </w:r>
      <w:r w:rsidRPr="003C6DBD">
        <w:rPr>
          <w:rFonts w:ascii="Times New Roman" w:hAnsi="Times New Roman" w:cs="Times New Roman"/>
          <w:color w:val="0D0D0D" w:themeColor="text1" w:themeTint="F2"/>
          <w:sz w:val="24"/>
          <w:szCs w:val="24"/>
        </w:rPr>
        <w:t xml:space="preserve"> conducted by further categorizing the 2</w:t>
      </w:r>
      <w:r w:rsidR="005B0AE7" w:rsidRPr="003C6DBD">
        <w:rPr>
          <w:rFonts w:ascii="Times New Roman" w:hAnsi="Times New Roman" w:cs="Times New Roman"/>
          <w:color w:val="0D0D0D" w:themeColor="text1" w:themeTint="F2"/>
          <w:sz w:val="24"/>
          <w:szCs w:val="24"/>
        </w:rPr>
        <w:t>2</w:t>
      </w:r>
      <w:r w:rsidRPr="003C6DBD">
        <w:rPr>
          <w:rFonts w:ascii="Times New Roman" w:hAnsi="Times New Roman" w:cs="Times New Roman"/>
          <w:color w:val="0D0D0D" w:themeColor="text1" w:themeTint="F2"/>
          <w:sz w:val="24"/>
          <w:szCs w:val="24"/>
        </w:rPr>
        <w:t xml:space="preserve"> sample biofuel companies into </w:t>
      </w:r>
      <w:r w:rsidR="00025BD0" w:rsidRPr="003C6DBD">
        <w:rPr>
          <w:rFonts w:ascii="Times New Roman" w:hAnsi="Times New Roman" w:cs="Times New Roman"/>
          <w:color w:val="0D0D0D" w:themeColor="text1" w:themeTint="F2"/>
          <w:sz w:val="24"/>
          <w:szCs w:val="24"/>
        </w:rPr>
        <w:t>p</w:t>
      </w:r>
      <w:r w:rsidRPr="003C6DBD">
        <w:rPr>
          <w:rFonts w:ascii="Times New Roman" w:hAnsi="Times New Roman" w:cs="Times New Roman"/>
          <w:color w:val="0D0D0D" w:themeColor="text1" w:themeTint="F2"/>
          <w:sz w:val="24"/>
          <w:szCs w:val="24"/>
        </w:rPr>
        <w:t xml:space="preserve">rimary biofuels (PB) and </w:t>
      </w:r>
      <w:r w:rsidR="00025BD0" w:rsidRPr="003C6DBD">
        <w:rPr>
          <w:rFonts w:ascii="Times New Roman" w:hAnsi="Times New Roman" w:cs="Times New Roman"/>
          <w:color w:val="0D0D0D" w:themeColor="text1" w:themeTint="F2"/>
          <w:sz w:val="24"/>
          <w:szCs w:val="24"/>
        </w:rPr>
        <w:t>secondary biofuels</w:t>
      </w:r>
      <w:r w:rsidRPr="003C6DBD">
        <w:rPr>
          <w:rFonts w:ascii="Times New Roman" w:hAnsi="Times New Roman" w:cs="Times New Roman"/>
          <w:color w:val="0D0D0D" w:themeColor="text1" w:themeTint="F2"/>
          <w:sz w:val="24"/>
          <w:szCs w:val="24"/>
        </w:rPr>
        <w:t xml:space="preserve"> (</w:t>
      </w:r>
      <w:r w:rsidR="00025BD0" w:rsidRPr="003C6DBD">
        <w:rPr>
          <w:rFonts w:ascii="Times New Roman" w:hAnsi="Times New Roman" w:cs="Times New Roman"/>
          <w:color w:val="0D0D0D" w:themeColor="text1" w:themeTint="F2"/>
          <w:sz w:val="24"/>
          <w:szCs w:val="24"/>
        </w:rPr>
        <w:t>SB</w:t>
      </w:r>
      <w:r w:rsidRPr="003C6DBD">
        <w:rPr>
          <w:rFonts w:ascii="Times New Roman" w:hAnsi="Times New Roman" w:cs="Times New Roman"/>
          <w:color w:val="0D0D0D" w:themeColor="text1" w:themeTint="F2"/>
          <w:sz w:val="24"/>
          <w:szCs w:val="24"/>
        </w:rPr>
        <w:t>)</w:t>
      </w:r>
      <w:r w:rsidR="00B21CF5" w:rsidRPr="003C6DBD">
        <w:rPr>
          <w:rFonts w:ascii="Times New Roman" w:hAnsi="Times New Roman" w:cs="Times New Roman"/>
          <w:color w:val="0D0D0D" w:themeColor="text1" w:themeTint="F2"/>
          <w:sz w:val="24"/>
          <w:szCs w:val="24"/>
        </w:rPr>
        <w:t xml:space="preserve"> and performing the risk analysis</w:t>
      </w:r>
      <w:r w:rsidRPr="003C6DBD">
        <w:rPr>
          <w:rFonts w:ascii="Times New Roman" w:hAnsi="Times New Roman" w:cs="Times New Roman"/>
          <w:color w:val="0D0D0D" w:themeColor="text1" w:themeTint="F2"/>
          <w:sz w:val="24"/>
          <w:szCs w:val="24"/>
        </w:rPr>
        <w:t xml:space="preserve">. The basis used to classify the sample biofuel companies is </w:t>
      </w:r>
      <w:r w:rsidR="00E9348D" w:rsidRPr="003C6DBD">
        <w:rPr>
          <w:rFonts w:ascii="Times New Roman" w:hAnsi="Times New Roman" w:cs="Times New Roman"/>
          <w:color w:val="0D0D0D" w:themeColor="text1" w:themeTint="F2"/>
          <w:sz w:val="24"/>
          <w:szCs w:val="24"/>
        </w:rPr>
        <w:t xml:space="preserve">the percentage of revenues from biofuels which is </w:t>
      </w:r>
      <w:r w:rsidRPr="003C6DBD">
        <w:rPr>
          <w:rFonts w:ascii="Times New Roman" w:hAnsi="Times New Roman" w:cs="Times New Roman"/>
          <w:color w:val="0D0D0D" w:themeColor="text1" w:themeTint="F2"/>
          <w:sz w:val="24"/>
          <w:szCs w:val="24"/>
        </w:rPr>
        <w:t xml:space="preserve">discussed in </w:t>
      </w:r>
      <w:r w:rsidR="00E9348D" w:rsidRPr="003C6DBD">
        <w:rPr>
          <w:rFonts w:ascii="Times New Roman" w:hAnsi="Times New Roman" w:cs="Times New Roman"/>
          <w:color w:val="0D0D0D" w:themeColor="text1" w:themeTint="F2"/>
          <w:sz w:val="24"/>
          <w:szCs w:val="24"/>
        </w:rPr>
        <w:t xml:space="preserve">detail in the </w:t>
      </w:r>
      <w:r w:rsidRPr="003C6DBD">
        <w:rPr>
          <w:rFonts w:ascii="Times New Roman" w:hAnsi="Times New Roman" w:cs="Times New Roman"/>
          <w:color w:val="0D0D0D" w:themeColor="text1" w:themeTint="F2"/>
          <w:sz w:val="24"/>
          <w:szCs w:val="24"/>
        </w:rPr>
        <w:t xml:space="preserve">data and methods section. </w:t>
      </w:r>
      <w:r w:rsidR="006D098A" w:rsidRPr="003C6DBD">
        <w:rPr>
          <w:rFonts w:ascii="Times New Roman" w:hAnsi="Times New Roman" w:cs="Times New Roman"/>
          <w:color w:val="0D0D0D" w:themeColor="text1" w:themeTint="F2"/>
          <w:sz w:val="24"/>
          <w:szCs w:val="24"/>
        </w:rPr>
        <w:t xml:space="preserve">The sample companies </w:t>
      </w:r>
      <w:r w:rsidR="00B21CF5" w:rsidRPr="003C6DBD">
        <w:rPr>
          <w:rFonts w:ascii="Times New Roman" w:hAnsi="Times New Roman" w:cs="Times New Roman"/>
          <w:color w:val="0D0D0D" w:themeColor="text1" w:themeTint="F2"/>
          <w:sz w:val="24"/>
          <w:szCs w:val="24"/>
        </w:rPr>
        <w:t>are</w:t>
      </w:r>
      <w:r w:rsidR="006D098A" w:rsidRPr="003C6DBD">
        <w:rPr>
          <w:rFonts w:ascii="Times New Roman" w:hAnsi="Times New Roman" w:cs="Times New Roman"/>
          <w:color w:val="0D0D0D" w:themeColor="text1" w:themeTint="F2"/>
          <w:sz w:val="24"/>
          <w:szCs w:val="24"/>
        </w:rPr>
        <w:t xml:space="preserve"> categorized into 1</w:t>
      </w:r>
      <w:r w:rsidR="006F3B94" w:rsidRPr="003C6DBD">
        <w:rPr>
          <w:rFonts w:ascii="Times New Roman" w:hAnsi="Times New Roman" w:cs="Times New Roman"/>
          <w:color w:val="0D0D0D" w:themeColor="text1" w:themeTint="F2"/>
          <w:sz w:val="24"/>
          <w:szCs w:val="24"/>
        </w:rPr>
        <w:t>0</w:t>
      </w:r>
      <w:r w:rsidR="006D098A" w:rsidRPr="003C6DBD">
        <w:rPr>
          <w:rFonts w:ascii="Times New Roman" w:hAnsi="Times New Roman" w:cs="Times New Roman"/>
          <w:color w:val="0D0D0D" w:themeColor="text1" w:themeTint="F2"/>
          <w:sz w:val="24"/>
          <w:szCs w:val="24"/>
        </w:rPr>
        <w:t xml:space="preserve"> PB companies and 12 </w:t>
      </w:r>
      <w:r w:rsidR="006F3B94" w:rsidRPr="003C6DBD">
        <w:rPr>
          <w:rFonts w:ascii="Times New Roman" w:hAnsi="Times New Roman" w:cs="Times New Roman"/>
          <w:color w:val="0D0D0D" w:themeColor="text1" w:themeTint="F2"/>
          <w:sz w:val="24"/>
          <w:szCs w:val="24"/>
        </w:rPr>
        <w:t>SB</w:t>
      </w:r>
      <w:r w:rsidR="006D098A" w:rsidRPr="003C6DBD">
        <w:rPr>
          <w:rFonts w:ascii="Times New Roman" w:hAnsi="Times New Roman" w:cs="Times New Roman"/>
          <w:color w:val="0D0D0D" w:themeColor="text1" w:themeTint="F2"/>
          <w:sz w:val="24"/>
          <w:szCs w:val="24"/>
        </w:rPr>
        <w:t xml:space="preserve"> companies. The mean prevalence scores for PB companies are </w:t>
      </w:r>
      <w:r w:rsidR="000C53E1" w:rsidRPr="003C6DBD">
        <w:rPr>
          <w:rFonts w:ascii="Times New Roman" w:hAnsi="Times New Roman" w:cs="Times New Roman"/>
          <w:color w:val="0D0D0D" w:themeColor="text1" w:themeTint="F2"/>
          <w:sz w:val="24"/>
          <w:szCs w:val="24"/>
        </w:rPr>
        <w:t>6.96</w:t>
      </w:r>
      <w:r w:rsidR="006D098A" w:rsidRPr="003C6DBD">
        <w:rPr>
          <w:rFonts w:ascii="Times New Roman" w:hAnsi="Times New Roman" w:cs="Times New Roman"/>
          <w:color w:val="0D0D0D" w:themeColor="text1" w:themeTint="F2"/>
          <w:sz w:val="24"/>
          <w:szCs w:val="24"/>
        </w:rPr>
        <w:t>,</w:t>
      </w:r>
      <w:r w:rsidR="000C53E1" w:rsidRPr="003C6DBD">
        <w:rPr>
          <w:rFonts w:ascii="Times New Roman" w:hAnsi="Times New Roman" w:cs="Times New Roman"/>
          <w:color w:val="0D0D0D" w:themeColor="text1" w:themeTint="F2"/>
          <w:sz w:val="24"/>
          <w:szCs w:val="24"/>
        </w:rPr>
        <w:t xml:space="preserve"> 6.96</w:t>
      </w:r>
      <w:r w:rsidR="006D098A" w:rsidRPr="003C6DBD">
        <w:rPr>
          <w:rFonts w:ascii="Times New Roman" w:hAnsi="Times New Roman" w:cs="Times New Roman"/>
          <w:color w:val="0D0D0D" w:themeColor="text1" w:themeTint="F2"/>
          <w:sz w:val="24"/>
          <w:szCs w:val="24"/>
        </w:rPr>
        <w:t xml:space="preserve">, </w:t>
      </w:r>
      <w:r w:rsidR="000C53E1" w:rsidRPr="003C6DBD">
        <w:rPr>
          <w:rFonts w:ascii="Times New Roman" w:hAnsi="Times New Roman" w:cs="Times New Roman"/>
          <w:color w:val="0D0D0D" w:themeColor="text1" w:themeTint="F2"/>
          <w:sz w:val="24"/>
          <w:szCs w:val="24"/>
        </w:rPr>
        <w:t xml:space="preserve">7.04, </w:t>
      </w:r>
      <w:r w:rsidR="006D098A" w:rsidRPr="003C6DBD">
        <w:rPr>
          <w:rFonts w:ascii="Times New Roman" w:hAnsi="Times New Roman" w:cs="Times New Roman"/>
          <w:color w:val="0D0D0D" w:themeColor="text1" w:themeTint="F2"/>
          <w:sz w:val="24"/>
          <w:szCs w:val="24"/>
        </w:rPr>
        <w:t xml:space="preserve">and </w:t>
      </w:r>
      <w:r w:rsidR="000C53E1" w:rsidRPr="003C6DBD">
        <w:rPr>
          <w:rFonts w:ascii="Times New Roman" w:hAnsi="Times New Roman" w:cs="Times New Roman"/>
          <w:color w:val="0D0D0D" w:themeColor="text1" w:themeTint="F2"/>
          <w:sz w:val="24"/>
          <w:szCs w:val="24"/>
        </w:rPr>
        <w:t>6.40</w:t>
      </w:r>
      <w:r w:rsidR="006D098A" w:rsidRPr="003C6DBD">
        <w:rPr>
          <w:rFonts w:ascii="Times New Roman" w:hAnsi="Times New Roman" w:cs="Times New Roman"/>
          <w:color w:val="0D0D0D" w:themeColor="text1" w:themeTint="F2"/>
          <w:sz w:val="24"/>
          <w:szCs w:val="24"/>
        </w:rPr>
        <w:t xml:space="preserve"> in 2018, 2019, 2020</w:t>
      </w:r>
      <w:r w:rsidR="000C53E1" w:rsidRPr="003C6DBD">
        <w:rPr>
          <w:rFonts w:ascii="Times New Roman" w:hAnsi="Times New Roman" w:cs="Times New Roman"/>
          <w:color w:val="0D0D0D" w:themeColor="text1" w:themeTint="F2"/>
          <w:sz w:val="24"/>
          <w:szCs w:val="24"/>
        </w:rPr>
        <w:t>, and 2021</w:t>
      </w:r>
      <w:r w:rsidR="006D098A" w:rsidRPr="003C6DBD">
        <w:rPr>
          <w:rFonts w:ascii="Times New Roman" w:hAnsi="Times New Roman" w:cs="Times New Roman"/>
          <w:color w:val="0D0D0D" w:themeColor="text1" w:themeTint="F2"/>
          <w:sz w:val="24"/>
          <w:szCs w:val="24"/>
        </w:rPr>
        <w:t xml:space="preserve"> respectively. The mean significance scores for PB companies are 0.050</w:t>
      </w:r>
      <w:r w:rsidR="000C53E1" w:rsidRPr="003C6DBD">
        <w:rPr>
          <w:rFonts w:ascii="Times New Roman" w:hAnsi="Times New Roman" w:cs="Times New Roman"/>
          <w:color w:val="0D0D0D" w:themeColor="text1" w:themeTint="F2"/>
          <w:sz w:val="24"/>
          <w:szCs w:val="24"/>
        </w:rPr>
        <w:t>991</w:t>
      </w:r>
      <w:r w:rsidR="006D098A" w:rsidRPr="003C6DBD">
        <w:rPr>
          <w:rFonts w:ascii="Times New Roman" w:hAnsi="Times New Roman" w:cs="Times New Roman"/>
          <w:color w:val="0D0D0D" w:themeColor="text1" w:themeTint="F2"/>
          <w:sz w:val="24"/>
          <w:szCs w:val="24"/>
        </w:rPr>
        <w:t>, 0.052</w:t>
      </w:r>
      <w:r w:rsidR="000C53E1" w:rsidRPr="003C6DBD">
        <w:rPr>
          <w:rFonts w:ascii="Times New Roman" w:hAnsi="Times New Roman" w:cs="Times New Roman"/>
          <w:color w:val="0D0D0D" w:themeColor="text1" w:themeTint="F2"/>
          <w:sz w:val="24"/>
          <w:szCs w:val="24"/>
        </w:rPr>
        <w:t>777</w:t>
      </w:r>
      <w:r w:rsidR="006D098A" w:rsidRPr="003C6DBD">
        <w:rPr>
          <w:rFonts w:ascii="Times New Roman" w:hAnsi="Times New Roman" w:cs="Times New Roman"/>
          <w:color w:val="0D0D0D" w:themeColor="text1" w:themeTint="F2"/>
          <w:sz w:val="24"/>
          <w:szCs w:val="24"/>
        </w:rPr>
        <w:t xml:space="preserve">, </w:t>
      </w:r>
      <w:r w:rsidR="000C53E1" w:rsidRPr="003C6DBD">
        <w:rPr>
          <w:rFonts w:ascii="Times New Roman" w:hAnsi="Times New Roman" w:cs="Times New Roman"/>
          <w:color w:val="0D0D0D" w:themeColor="text1" w:themeTint="F2"/>
          <w:sz w:val="24"/>
          <w:szCs w:val="24"/>
        </w:rPr>
        <w:t xml:space="preserve">0.052836 </w:t>
      </w:r>
      <w:r w:rsidR="006D098A" w:rsidRPr="003C6DBD">
        <w:rPr>
          <w:rFonts w:ascii="Times New Roman" w:hAnsi="Times New Roman" w:cs="Times New Roman"/>
          <w:color w:val="0D0D0D" w:themeColor="text1" w:themeTint="F2"/>
          <w:sz w:val="24"/>
          <w:szCs w:val="24"/>
        </w:rPr>
        <w:t>and 0.05</w:t>
      </w:r>
      <w:r w:rsidR="000C53E1" w:rsidRPr="003C6DBD">
        <w:rPr>
          <w:rFonts w:ascii="Times New Roman" w:hAnsi="Times New Roman" w:cs="Times New Roman"/>
          <w:color w:val="0D0D0D" w:themeColor="text1" w:themeTint="F2"/>
          <w:sz w:val="24"/>
          <w:szCs w:val="24"/>
        </w:rPr>
        <w:t>3076</w:t>
      </w:r>
      <w:r w:rsidR="006D098A" w:rsidRPr="003C6DBD">
        <w:rPr>
          <w:rFonts w:ascii="Times New Roman" w:hAnsi="Times New Roman" w:cs="Times New Roman"/>
          <w:color w:val="0D0D0D" w:themeColor="text1" w:themeTint="F2"/>
          <w:sz w:val="24"/>
          <w:szCs w:val="24"/>
        </w:rPr>
        <w:t xml:space="preserve"> in 2018, 2019, </w:t>
      </w:r>
      <w:r w:rsidR="000C53E1" w:rsidRPr="003C6DBD">
        <w:rPr>
          <w:rFonts w:ascii="Times New Roman" w:hAnsi="Times New Roman" w:cs="Times New Roman"/>
          <w:color w:val="0D0D0D" w:themeColor="text1" w:themeTint="F2"/>
          <w:sz w:val="24"/>
          <w:szCs w:val="24"/>
        </w:rPr>
        <w:t xml:space="preserve">2020, and 2021 </w:t>
      </w:r>
      <w:r w:rsidR="006D098A" w:rsidRPr="003C6DBD">
        <w:rPr>
          <w:rFonts w:ascii="Times New Roman" w:hAnsi="Times New Roman" w:cs="Times New Roman"/>
          <w:color w:val="0D0D0D" w:themeColor="text1" w:themeTint="F2"/>
          <w:sz w:val="24"/>
          <w:szCs w:val="24"/>
        </w:rPr>
        <w:t xml:space="preserve">respectively. For </w:t>
      </w:r>
      <w:r w:rsidR="007C34A0" w:rsidRPr="003C6DBD">
        <w:rPr>
          <w:rFonts w:ascii="Times New Roman" w:hAnsi="Times New Roman" w:cs="Times New Roman"/>
          <w:color w:val="0D0D0D" w:themeColor="text1" w:themeTint="F2"/>
          <w:sz w:val="24"/>
          <w:szCs w:val="24"/>
        </w:rPr>
        <w:t>SB</w:t>
      </w:r>
      <w:r w:rsidR="006D098A" w:rsidRPr="003C6DBD">
        <w:rPr>
          <w:rFonts w:ascii="Times New Roman" w:hAnsi="Times New Roman" w:cs="Times New Roman"/>
          <w:color w:val="0D0D0D" w:themeColor="text1" w:themeTint="F2"/>
          <w:sz w:val="24"/>
          <w:szCs w:val="24"/>
        </w:rPr>
        <w:t xml:space="preserve"> companies, the mean prevalence scores are 6.96, 6.84,</w:t>
      </w:r>
      <w:r w:rsidR="007C34A0" w:rsidRPr="003C6DBD">
        <w:rPr>
          <w:rFonts w:ascii="Times New Roman" w:hAnsi="Times New Roman" w:cs="Times New Roman"/>
          <w:color w:val="0D0D0D" w:themeColor="text1" w:themeTint="F2"/>
          <w:sz w:val="24"/>
          <w:szCs w:val="24"/>
        </w:rPr>
        <w:t xml:space="preserve"> </w:t>
      </w:r>
      <w:r w:rsidR="006D098A" w:rsidRPr="003C6DBD">
        <w:rPr>
          <w:rFonts w:ascii="Times New Roman" w:hAnsi="Times New Roman" w:cs="Times New Roman"/>
          <w:color w:val="0D0D0D" w:themeColor="text1" w:themeTint="F2"/>
          <w:sz w:val="24"/>
          <w:szCs w:val="24"/>
        </w:rPr>
        <w:t>6.96</w:t>
      </w:r>
      <w:r w:rsidR="007C34A0" w:rsidRPr="003C6DBD">
        <w:rPr>
          <w:rFonts w:ascii="Times New Roman" w:hAnsi="Times New Roman" w:cs="Times New Roman"/>
          <w:color w:val="0D0D0D" w:themeColor="text1" w:themeTint="F2"/>
          <w:sz w:val="24"/>
          <w:szCs w:val="24"/>
        </w:rPr>
        <w:t>, and 7.04</w:t>
      </w:r>
      <w:r w:rsidR="006D098A" w:rsidRPr="003C6DBD">
        <w:rPr>
          <w:rFonts w:ascii="Times New Roman" w:hAnsi="Times New Roman" w:cs="Times New Roman"/>
          <w:color w:val="0D0D0D" w:themeColor="text1" w:themeTint="F2"/>
          <w:sz w:val="24"/>
          <w:szCs w:val="24"/>
        </w:rPr>
        <w:t xml:space="preserve"> in 2018, 2019, </w:t>
      </w:r>
      <w:r w:rsidR="007C34A0" w:rsidRPr="003C6DBD">
        <w:rPr>
          <w:rFonts w:ascii="Times New Roman" w:hAnsi="Times New Roman" w:cs="Times New Roman"/>
          <w:color w:val="0D0D0D" w:themeColor="text1" w:themeTint="F2"/>
          <w:sz w:val="24"/>
          <w:szCs w:val="24"/>
        </w:rPr>
        <w:t xml:space="preserve">2020, and 2021 </w:t>
      </w:r>
      <w:r w:rsidR="006D098A" w:rsidRPr="003C6DBD">
        <w:rPr>
          <w:rFonts w:ascii="Times New Roman" w:hAnsi="Times New Roman" w:cs="Times New Roman"/>
          <w:color w:val="0D0D0D" w:themeColor="text1" w:themeTint="F2"/>
          <w:sz w:val="24"/>
          <w:szCs w:val="24"/>
        </w:rPr>
        <w:t>respectively. The mean significance scores are 0.061460, 0.060723, 0.059935</w:t>
      </w:r>
      <w:r w:rsidR="007C34A0" w:rsidRPr="003C6DBD">
        <w:rPr>
          <w:rFonts w:ascii="Times New Roman" w:hAnsi="Times New Roman" w:cs="Times New Roman"/>
          <w:color w:val="0D0D0D" w:themeColor="text1" w:themeTint="F2"/>
          <w:sz w:val="24"/>
          <w:szCs w:val="24"/>
        </w:rPr>
        <w:t>, and 0.059237</w:t>
      </w:r>
      <w:r w:rsidR="006D098A" w:rsidRPr="003C6DBD">
        <w:rPr>
          <w:rFonts w:ascii="Times New Roman" w:hAnsi="Times New Roman" w:cs="Times New Roman"/>
          <w:color w:val="0D0D0D" w:themeColor="text1" w:themeTint="F2"/>
          <w:sz w:val="24"/>
          <w:szCs w:val="24"/>
        </w:rPr>
        <w:t xml:space="preserve"> in 2018, 2019, </w:t>
      </w:r>
      <w:r w:rsidR="007C34A0" w:rsidRPr="003C6DBD">
        <w:rPr>
          <w:rFonts w:ascii="Times New Roman" w:hAnsi="Times New Roman" w:cs="Times New Roman"/>
          <w:color w:val="0D0D0D" w:themeColor="text1" w:themeTint="F2"/>
          <w:sz w:val="24"/>
          <w:szCs w:val="24"/>
        </w:rPr>
        <w:t xml:space="preserve">2020, and 2021 </w:t>
      </w:r>
      <w:r w:rsidR="006D098A" w:rsidRPr="003C6DBD">
        <w:rPr>
          <w:rFonts w:ascii="Times New Roman" w:hAnsi="Times New Roman" w:cs="Times New Roman"/>
          <w:color w:val="0D0D0D" w:themeColor="text1" w:themeTint="F2"/>
          <w:sz w:val="24"/>
          <w:szCs w:val="24"/>
        </w:rPr>
        <w:t xml:space="preserve">respectively. </w:t>
      </w:r>
    </w:p>
    <w:p w14:paraId="76420FDB" w14:textId="67863039" w:rsidR="000657AF" w:rsidRPr="003C6DBD" w:rsidRDefault="000657AF" w:rsidP="000657AF">
      <w:pPr>
        <w:pStyle w:val="Heading4"/>
        <w:rPr>
          <w:color w:val="0D0D0D" w:themeColor="text1" w:themeTint="F2"/>
        </w:rPr>
      </w:pPr>
      <w:r w:rsidRPr="003C6DBD">
        <w:rPr>
          <w:color w:val="0D0D0D" w:themeColor="text1" w:themeTint="F2"/>
        </w:rPr>
        <w:t>5.2.1 Political Risks</w:t>
      </w:r>
    </w:p>
    <w:p w14:paraId="658658E7" w14:textId="4F11249C" w:rsidR="00A07BF7" w:rsidRPr="003C6DBD" w:rsidRDefault="00931E3F" w:rsidP="0044467F">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b/>
      </w:r>
      <w:r w:rsidR="00B971CC" w:rsidRPr="003C6DBD">
        <w:rPr>
          <w:rFonts w:ascii="Times New Roman" w:hAnsi="Times New Roman" w:cs="Times New Roman"/>
          <w:color w:val="0D0D0D" w:themeColor="text1" w:themeTint="F2"/>
          <w:sz w:val="24"/>
          <w:szCs w:val="24"/>
        </w:rPr>
        <w:t xml:space="preserve">Figure </w:t>
      </w:r>
      <w:r w:rsidR="005E14E8" w:rsidRPr="003C6DBD">
        <w:rPr>
          <w:rFonts w:ascii="Times New Roman" w:hAnsi="Times New Roman" w:cs="Times New Roman"/>
          <w:color w:val="0D0D0D" w:themeColor="text1" w:themeTint="F2"/>
          <w:sz w:val="24"/>
          <w:szCs w:val="24"/>
        </w:rPr>
        <w:t>7</w:t>
      </w:r>
      <w:r w:rsidR="00B971CC" w:rsidRPr="003C6DBD">
        <w:rPr>
          <w:rFonts w:ascii="Times New Roman" w:hAnsi="Times New Roman" w:cs="Times New Roman"/>
          <w:color w:val="0D0D0D" w:themeColor="text1" w:themeTint="F2"/>
          <w:sz w:val="24"/>
          <w:szCs w:val="24"/>
        </w:rPr>
        <w:t xml:space="preserve"> shows the </w:t>
      </w:r>
      <w:r w:rsidR="00704D00" w:rsidRPr="003C6DBD">
        <w:rPr>
          <w:rFonts w:ascii="Times New Roman" w:hAnsi="Times New Roman" w:cs="Times New Roman"/>
          <w:color w:val="0D0D0D" w:themeColor="text1" w:themeTint="F2"/>
          <w:sz w:val="24"/>
          <w:szCs w:val="24"/>
        </w:rPr>
        <w:t>comparison</w:t>
      </w:r>
      <w:r w:rsidR="00B971CC" w:rsidRPr="003C6DBD">
        <w:rPr>
          <w:rFonts w:ascii="Times New Roman" w:hAnsi="Times New Roman" w:cs="Times New Roman"/>
          <w:color w:val="0D0D0D" w:themeColor="text1" w:themeTint="F2"/>
          <w:sz w:val="24"/>
          <w:szCs w:val="24"/>
        </w:rPr>
        <w:t xml:space="preserve"> for political risks. </w:t>
      </w:r>
      <w:r w:rsidR="001B4581" w:rsidRPr="003C6DBD">
        <w:rPr>
          <w:rFonts w:ascii="Times New Roman" w:hAnsi="Times New Roman" w:cs="Times New Roman"/>
          <w:color w:val="0D0D0D" w:themeColor="text1" w:themeTint="F2"/>
          <w:sz w:val="24"/>
          <w:szCs w:val="24"/>
        </w:rPr>
        <w:t xml:space="preserve">Biofuel </w:t>
      </w:r>
      <w:r w:rsidR="00C94E4E" w:rsidRPr="003C6DBD">
        <w:rPr>
          <w:rFonts w:ascii="Times New Roman" w:hAnsi="Times New Roman" w:cs="Times New Roman"/>
          <w:color w:val="0D0D0D" w:themeColor="text1" w:themeTint="F2"/>
          <w:sz w:val="24"/>
          <w:szCs w:val="24"/>
        </w:rPr>
        <w:t>R</w:t>
      </w:r>
      <w:r w:rsidR="001B4581" w:rsidRPr="003C6DBD">
        <w:rPr>
          <w:rFonts w:ascii="Times New Roman" w:hAnsi="Times New Roman" w:cs="Times New Roman"/>
          <w:color w:val="0D0D0D" w:themeColor="text1" w:themeTint="F2"/>
          <w:sz w:val="24"/>
          <w:szCs w:val="24"/>
        </w:rPr>
        <w:t xml:space="preserve">egulation (BFR) is still found to be prevalent and significant for PB companies. </w:t>
      </w:r>
      <w:r w:rsidR="005A5266" w:rsidRPr="003C6DBD">
        <w:rPr>
          <w:rFonts w:ascii="Times New Roman" w:hAnsi="Times New Roman" w:cs="Times New Roman"/>
          <w:color w:val="0D0D0D" w:themeColor="text1" w:themeTint="F2"/>
          <w:sz w:val="24"/>
          <w:szCs w:val="24"/>
        </w:rPr>
        <w:t xml:space="preserve">For </w:t>
      </w:r>
      <w:r w:rsidR="000B4670" w:rsidRPr="003C6DBD">
        <w:rPr>
          <w:rFonts w:ascii="Times New Roman" w:hAnsi="Times New Roman" w:cs="Times New Roman"/>
          <w:color w:val="0D0D0D" w:themeColor="text1" w:themeTint="F2"/>
          <w:sz w:val="24"/>
          <w:szCs w:val="24"/>
        </w:rPr>
        <w:t>SB</w:t>
      </w:r>
      <w:r w:rsidR="001B4581" w:rsidRPr="003C6DBD">
        <w:rPr>
          <w:rFonts w:ascii="Times New Roman" w:hAnsi="Times New Roman" w:cs="Times New Roman"/>
          <w:color w:val="0D0D0D" w:themeColor="text1" w:themeTint="F2"/>
          <w:sz w:val="24"/>
          <w:szCs w:val="24"/>
        </w:rPr>
        <w:t xml:space="preserve"> companies</w:t>
      </w:r>
      <w:r w:rsidR="005A5266" w:rsidRPr="003C6DBD">
        <w:rPr>
          <w:rFonts w:ascii="Times New Roman" w:hAnsi="Times New Roman" w:cs="Times New Roman"/>
          <w:color w:val="0D0D0D" w:themeColor="text1" w:themeTint="F2"/>
          <w:sz w:val="24"/>
          <w:szCs w:val="24"/>
        </w:rPr>
        <w:t>,</w:t>
      </w:r>
      <w:r w:rsidR="000B4670" w:rsidRPr="003C6DBD">
        <w:rPr>
          <w:rFonts w:ascii="Times New Roman" w:hAnsi="Times New Roman" w:cs="Times New Roman"/>
          <w:color w:val="0D0D0D" w:themeColor="text1" w:themeTint="F2"/>
          <w:sz w:val="24"/>
          <w:szCs w:val="24"/>
        </w:rPr>
        <w:t xml:space="preserve"> on the other hand</w:t>
      </w:r>
      <w:r w:rsidR="005A5266" w:rsidRPr="003C6DBD">
        <w:rPr>
          <w:rFonts w:ascii="Times New Roman" w:hAnsi="Times New Roman" w:cs="Times New Roman"/>
          <w:color w:val="0D0D0D" w:themeColor="text1" w:themeTint="F2"/>
          <w:sz w:val="24"/>
          <w:szCs w:val="24"/>
        </w:rPr>
        <w:t>,</w:t>
      </w:r>
      <w:r w:rsidR="001B4581" w:rsidRPr="003C6DBD">
        <w:rPr>
          <w:rFonts w:ascii="Times New Roman" w:hAnsi="Times New Roman" w:cs="Times New Roman"/>
          <w:color w:val="0D0D0D" w:themeColor="text1" w:themeTint="F2"/>
          <w:sz w:val="24"/>
          <w:szCs w:val="24"/>
        </w:rPr>
        <w:t xml:space="preserve"> </w:t>
      </w:r>
      <w:r w:rsidR="00C94E4E" w:rsidRPr="003C6DBD">
        <w:rPr>
          <w:rFonts w:ascii="Times New Roman" w:hAnsi="Times New Roman" w:cs="Times New Roman"/>
          <w:color w:val="0D0D0D" w:themeColor="text1" w:themeTint="F2"/>
          <w:sz w:val="24"/>
          <w:szCs w:val="24"/>
        </w:rPr>
        <w:t>B</w:t>
      </w:r>
      <w:r w:rsidR="001B4581" w:rsidRPr="003C6DBD">
        <w:rPr>
          <w:rFonts w:ascii="Times New Roman" w:hAnsi="Times New Roman" w:cs="Times New Roman"/>
          <w:color w:val="0D0D0D" w:themeColor="text1" w:themeTint="F2"/>
          <w:sz w:val="24"/>
          <w:szCs w:val="24"/>
        </w:rPr>
        <w:t xml:space="preserve">iofuel </w:t>
      </w:r>
      <w:r w:rsidR="00C94E4E" w:rsidRPr="003C6DBD">
        <w:rPr>
          <w:rFonts w:ascii="Times New Roman" w:hAnsi="Times New Roman" w:cs="Times New Roman"/>
          <w:color w:val="0D0D0D" w:themeColor="text1" w:themeTint="F2"/>
          <w:sz w:val="24"/>
          <w:szCs w:val="24"/>
        </w:rPr>
        <w:t>R</w:t>
      </w:r>
      <w:r w:rsidR="001B4581" w:rsidRPr="003C6DBD">
        <w:rPr>
          <w:rFonts w:ascii="Times New Roman" w:hAnsi="Times New Roman" w:cs="Times New Roman"/>
          <w:color w:val="0D0D0D" w:themeColor="text1" w:themeTint="F2"/>
          <w:sz w:val="24"/>
          <w:szCs w:val="24"/>
        </w:rPr>
        <w:t xml:space="preserve">egulation (BFR) is not prevalent and significant. </w:t>
      </w:r>
      <w:r w:rsidR="007A10A1" w:rsidRPr="003C6DBD">
        <w:rPr>
          <w:rFonts w:ascii="Times New Roman" w:hAnsi="Times New Roman" w:cs="Times New Roman"/>
          <w:color w:val="0D0D0D" w:themeColor="text1" w:themeTint="F2"/>
          <w:sz w:val="24"/>
          <w:szCs w:val="24"/>
        </w:rPr>
        <w:t xml:space="preserve">General </w:t>
      </w:r>
      <w:r w:rsidR="00C94E4E" w:rsidRPr="003C6DBD">
        <w:rPr>
          <w:rFonts w:ascii="Times New Roman" w:hAnsi="Times New Roman" w:cs="Times New Roman"/>
          <w:color w:val="0D0D0D" w:themeColor="text1" w:themeTint="F2"/>
          <w:sz w:val="24"/>
          <w:szCs w:val="24"/>
        </w:rPr>
        <w:t>R</w:t>
      </w:r>
      <w:r w:rsidR="007A10A1" w:rsidRPr="003C6DBD">
        <w:rPr>
          <w:rFonts w:ascii="Times New Roman" w:hAnsi="Times New Roman" w:cs="Times New Roman"/>
          <w:color w:val="0D0D0D" w:themeColor="text1" w:themeTint="F2"/>
          <w:sz w:val="24"/>
          <w:szCs w:val="24"/>
        </w:rPr>
        <w:t xml:space="preserve">egulation (GNR), an important risk reported from previous analysis, is not prevalent and significant in PB companies. </w:t>
      </w:r>
      <w:r w:rsidR="002570B1" w:rsidRPr="003C6DBD">
        <w:rPr>
          <w:rFonts w:ascii="Times New Roman" w:hAnsi="Times New Roman" w:cs="Times New Roman"/>
          <w:color w:val="0D0D0D" w:themeColor="text1" w:themeTint="F2"/>
          <w:sz w:val="24"/>
          <w:szCs w:val="24"/>
        </w:rPr>
        <w:t xml:space="preserve">The term “previous analysis” is used </w:t>
      </w:r>
      <w:r w:rsidR="00BE1FD2" w:rsidRPr="003C6DBD">
        <w:rPr>
          <w:rFonts w:ascii="Times New Roman" w:hAnsi="Times New Roman" w:cs="Times New Roman"/>
          <w:color w:val="0D0D0D" w:themeColor="text1" w:themeTint="F2"/>
          <w:sz w:val="24"/>
          <w:szCs w:val="24"/>
        </w:rPr>
        <w:t xml:space="preserve">to </w:t>
      </w:r>
      <w:r w:rsidR="002570B1" w:rsidRPr="003C6DBD">
        <w:rPr>
          <w:rFonts w:ascii="Times New Roman" w:hAnsi="Times New Roman" w:cs="Times New Roman"/>
          <w:color w:val="0D0D0D" w:themeColor="text1" w:themeTint="F2"/>
          <w:sz w:val="24"/>
          <w:szCs w:val="24"/>
        </w:rPr>
        <w:t>refer to the risk analysis comprising all 2</w:t>
      </w:r>
      <w:r w:rsidR="000B4670" w:rsidRPr="003C6DBD">
        <w:rPr>
          <w:rFonts w:ascii="Times New Roman" w:hAnsi="Times New Roman" w:cs="Times New Roman"/>
          <w:color w:val="0D0D0D" w:themeColor="text1" w:themeTint="F2"/>
          <w:sz w:val="24"/>
          <w:szCs w:val="24"/>
        </w:rPr>
        <w:t>2</w:t>
      </w:r>
      <w:r w:rsidR="002570B1" w:rsidRPr="003C6DBD">
        <w:rPr>
          <w:rFonts w:ascii="Times New Roman" w:hAnsi="Times New Roman" w:cs="Times New Roman"/>
          <w:color w:val="0D0D0D" w:themeColor="text1" w:themeTint="F2"/>
          <w:sz w:val="24"/>
          <w:szCs w:val="24"/>
        </w:rPr>
        <w:t xml:space="preserve"> sample companies. </w:t>
      </w:r>
      <w:r w:rsidR="005A5266" w:rsidRPr="003C6DBD">
        <w:rPr>
          <w:rFonts w:ascii="Times New Roman" w:hAnsi="Times New Roman" w:cs="Times New Roman"/>
          <w:color w:val="0D0D0D" w:themeColor="text1" w:themeTint="F2"/>
          <w:sz w:val="24"/>
          <w:szCs w:val="24"/>
        </w:rPr>
        <w:t>G</w:t>
      </w:r>
      <w:r w:rsidR="007A10A1" w:rsidRPr="003C6DBD">
        <w:rPr>
          <w:rFonts w:ascii="Times New Roman" w:hAnsi="Times New Roman" w:cs="Times New Roman"/>
          <w:color w:val="0D0D0D" w:themeColor="text1" w:themeTint="F2"/>
          <w:sz w:val="24"/>
          <w:szCs w:val="24"/>
        </w:rPr>
        <w:t xml:space="preserve">eneral </w:t>
      </w:r>
      <w:r w:rsidR="00C94E4E" w:rsidRPr="003C6DBD">
        <w:rPr>
          <w:rFonts w:ascii="Times New Roman" w:hAnsi="Times New Roman" w:cs="Times New Roman"/>
          <w:color w:val="0D0D0D" w:themeColor="text1" w:themeTint="F2"/>
          <w:sz w:val="24"/>
          <w:szCs w:val="24"/>
        </w:rPr>
        <w:t>R</w:t>
      </w:r>
      <w:r w:rsidR="007A10A1" w:rsidRPr="003C6DBD">
        <w:rPr>
          <w:rFonts w:ascii="Times New Roman" w:hAnsi="Times New Roman" w:cs="Times New Roman"/>
          <w:color w:val="0D0D0D" w:themeColor="text1" w:themeTint="F2"/>
          <w:sz w:val="24"/>
          <w:szCs w:val="24"/>
        </w:rPr>
        <w:t xml:space="preserve">egulation (GNR) </w:t>
      </w:r>
      <w:r w:rsidR="005A5266" w:rsidRPr="003C6DBD">
        <w:rPr>
          <w:rFonts w:ascii="Times New Roman" w:hAnsi="Times New Roman" w:cs="Times New Roman"/>
          <w:color w:val="0D0D0D" w:themeColor="text1" w:themeTint="F2"/>
          <w:sz w:val="24"/>
          <w:szCs w:val="24"/>
        </w:rPr>
        <w:t xml:space="preserve">is found </w:t>
      </w:r>
      <w:r w:rsidR="007A10A1" w:rsidRPr="003C6DBD">
        <w:rPr>
          <w:rFonts w:ascii="Times New Roman" w:hAnsi="Times New Roman" w:cs="Times New Roman"/>
          <w:color w:val="0D0D0D" w:themeColor="text1" w:themeTint="F2"/>
          <w:sz w:val="24"/>
          <w:szCs w:val="24"/>
        </w:rPr>
        <w:t>to be prevalent and significant</w:t>
      </w:r>
      <w:r w:rsidR="005A5266" w:rsidRPr="003C6DBD">
        <w:rPr>
          <w:rFonts w:ascii="Times New Roman" w:hAnsi="Times New Roman" w:cs="Times New Roman"/>
          <w:color w:val="0D0D0D" w:themeColor="text1" w:themeTint="F2"/>
          <w:sz w:val="24"/>
          <w:szCs w:val="24"/>
        </w:rPr>
        <w:t xml:space="preserve"> for SB firms</w:t>
      </w:r>
      <w:r w:rsidR="007A10A1" w:rsidRPr="003C6DBD">
        <w:rPr>
          <w:rFonts w:ascii="Times New Roman" w:hAnsi="Times New Roman" w:cs="Times New Roman"/>
          <w:color w:val="0D0D0D" w:themeColor="text1" w:themeTint="F2"/>
          <w:sz w:val="24"/>
          <w:szCs w:val="24"/>
        </w:rPr>
        <w:t xml:space="preserve">. For PB companies, </w:t>
      </w:r>
      <w:r w:rsidR="00C94E4E" w:rsidRPr="003C6DBD">
        <w:rPr>
          <w:rFonts w:ascii="Times New Roman" w:hAnsi="Times New Roman" w:cs="Times New Roman"/>
          <w:color w:val="0D0D0D" w:themeColor="text1" w:themeTint="F2"/>
          <w:sz w:val="24"/>
          <w:szCs w:val="24"/>
        </w:rPr>
        <w:t>I</w:t>
      </w:r>
      <w:r w:rsidR="007A10A1" w:rsidRPr="003C6DBD">
        <w:rPr>
          <w:rFonts w:ascii="Times New Roman" w:hAnsi="Times New Roman" w:cs="Times New Roman"/>
          <w:color w:val="0D0D0D" w:themeColor="text1" w:themeTint="F2"/>
          <w:sz w:val="24"/>
          <w:szCs w:val="24"/>
        </w:rPr>
        <w:t xml:space="preserve">nfrastructure (INF) risk is neither prevalent nor significant consistent with previous analysis, but </w:t>
      </w:r>
      <w:r w:rsidR="000B4670" w:rsidRPr="003C6DBD">
        <w:rPr>
          <w:rFonts w:ascii="Times New Roman" w:hAnsi="Times New Roman" w:cs="Times New Roman"/>
          <w:color w:val="0D0D0D" w:themeColor="text1" w:themeTint="F2"/>
          <w:sz w:val="24"/>
          <w:szCs w:val="24"/>
        </w:rPr>
        <w:t>SB</w:t>
      </w:r>
      <w:r w:rsidR="007A10A1" w:rsidRPr="003C6DBD">
        <w:rPr>
          <w:rFonts w:ascii="Times New Roman" w:hAnsi="Times New Roman" w:cs="Times New Roman"/>
          <w:color w:val="0D0D0D" w:themeColor="text1" w:themeTint="F2"/>
          <w:sz w:val="24"/>
          <w:szCs w:val="24"/>
        </w:rPr>
        <w:t xml:space="preserve"> companies </w:t>
      </w:r>
      <w:r w:rsidR="005A5266" w:rsidRPr="003C6DBD">
        <w:rPr>
          <w:rFonts w:ascii="Times New Roman" w:hAnsi="Times New Roman" w:cs="Times New Roman"/>
          <w:color w:val="0D0D0D" w:themeColor="text1" w:themeTint="F2"/>
          <w:sz w:val="24"/>
          <w:szCs w:val="24"/>
        </w:rPr>
        <w:t xml:space="preserve">reported </w:t>
      </w:r>
      <w:r w:rsidR="00C94E4E" w:rsidRPr="003C6DBD">
        <w:rPr>
          <w:rFonts w:ascii="Times New Roman" w:hAnsi="Times New Roman" w:cs="Times New Roman"/>
          <w:color w:val="0D0D0D" w:themeColor="text1" w:themeTint="F2"/>
          <w:sz w:val="24"/>
          <w:szCs w:val="24"/>
        </w:rPr>
        <w:t>I</w:t>
      </w:r>
      <w:r w:rsidR="007A10A1" w:rsidRPr="003C6DBD">
        <w:rPr>
          <w:rFonts w:ascii="Times New Roman" w:hAnsi="Times New Roman" w:cs="Times New Roman"/>
          <w:color w:val="0D0D0D" w:themeColor="text1" w:themeTint="F2"/>
          <w:sz w:val="24"/>
          <w:szCs w:val="24"/>
        </w:rPr>
        <w:t xml:space="preserve">nfrastructure (INF) risk to be prevalent and significant. </w:t>
      </w:r>
    </w:p>
    <w:p w14:paraId="320690C4" w14:textId="5268A2D9" w:rsidR="000657AF" w:rsidRPr="003C6DBD" w:rsidRDefault="000657AF" w:rsidP="000657AF">
      <w:pPr>
        <w:pStyle w:val="Heading4"/>
        <w:rPr>
          <w:rFonts w:eastAsiaTheme="minorHAnsi"/>
          <w:color w:val="0D0D0D" w:themeColor="text1" w:themeTint="F2"/>
        </w:rPr>
      </w:pPr>
      <w:r w:rsidRPr="003C6DBD">
        <w:rPr>
          <w:rFonts w:eastAsiaTheme="minorHAnsi"/>
          <w:color w:val="0D0D0D" w:themeColor="text1" w:themeTint="F2"/>
        </w:rPr>
        <w:lastRenderedPageBreak/>
        <w:t>5.2.2 Economic Risks</w:t>
      </w:r>
    </w:p>
    <w:p w14:paraId="52BB4B0B" w14:textId="3B80E39F" w:rsidR="00716758" w:rsidRPr="003C6DBD" w:rsidRDefault="00932021" w:rsidP="00AE5159">
      <w:pPr>
        <w:pStyle w:val="comp"/>
        <w:spacing w:before="0" w:beforeAutospacing="0" w:after="160" w:afterAutospacing="0" w:line="480" w:lineRule="auto"/>
        <w:ind w:firstLine="720"/>
        <w:rPr>
          <w:rFonts w:eastAsiaTheme="minorHAnsi"/>
          <w:color w:val="0D0D0D" w:themeColor="text1" w:themeTint="F2"/>
        </w:rPr>
      </w:pPr>
      <w:r w:rsidRPr="003C6DBD">
        <w:rPr>
          <w:rFonts w:eastAsiaTheme="minorHAnsi"/>
          <w:color w:val="0D0D0D" w:themeColor="text1" w:themeTint="F2"/>
        </w:rPr>
        <w:t xml:space="preserve">Figure </w:t>
      </w:r>
      <w:r w:rsidR="005E14E8" w:rsidRPr="003C6DBD">
        <w:rPr>
          <w:rFonts w:eastAsiaTheme="minorHAnsi"/>
          <w:color w:val="0D0D0D" w:themeColor="text1" w:themeTint="F2"/>
        </w:rPr>
        <w:t>8</w:t>
      </w:r>
      <w:r w:rsidRPr="003C6DBD">
        <w:rPr>
          <w:rFonts w:eastAsiaTheme="minorHAnsi"/>
          <w:color w:val="0D0D0D" w:themeColor="text1" w:themeTint="F2"/>
        </w:rPr>
        <w:t xml:space="preserve"> shows the </w:t>
      </w:r>
      <w:r w:rsidR="00704D00" w:rsidRPr="003C6DBD">
        <w:rPr>
          <w:rFonts w:eastAsiaTheme="minorHAnsi"/>
          <w:color w:val="0D0D0D" w:themeColor="text1" w:themeTint="F2"/>
        </w:rPr>
        <w:t>comparison</w:t>
      </w:r>
      <w:r w:rsidRPr="003C6DBD">
        <w:rPr>
          <w:rFonts w:eastAsiaTheme="minorHAnsi"/>
          <w:color w:val="0D0D0D" w:themeColor="text1" w:themeTint="F2"/>
        </w:rPr>
        <w:t xml:space="preserve"> for economic risks. </w:t>
      </w:r>
      <w:r w:rsidR="00877E7D" w:rsidRPr="003C6DBD">
        <w:rPr>
          <w:rFonts w:eastAsiaTheme="minorHAnsi"/>
          <w:color w:val="0D0D0D" w:themeColor="text1" w:themeTint="F2"/>
        </w:rPr>
        <w:t xml:space="preserve">Markets-feedstock (MRF) and General </w:t>
      </w:r>
      <w:r w:rsidR="00C94E4E" w:rsidRPr="003C6DBD">
        <w:rPr>
          <w:rFonts w:eastAsiaTheme="minorHAnsi"/>
          <w:color w:val="0D0D0D" w:themeColor="text1" w:themeTint="F2"/>
        </w:rPr>
        <w:t>E</w:t>
      </w:r>
      <w:r w:rsidR="00877E7D" w:rsidRPr="003C6DBD">
        <w:rPr>
          <w:rFonts w:eastAsiaTheme="minorHAnsi"/>
          <w:color w:val="0D0D0D" w:themeColor="text1" w:themeTint="F2"/>
        </w:rPr>
        <w:t xml:space="preserve">conomic </w:t>
      </w:r>
      <w:r w:rsidR="00C94E4E" w:rsidRPr="003C6DBD">
        <w:rPr>
          <w:rFonts w:eastAsiaTheme="minorHAnsi"/>
          <w:color w:val="0D0D0D" w:themeColor="text1" w:themeTint="F2"/>
        </w:rPr>
        <w:t>C</w:t>
      </w:r>
      <w:r w:rsidR="00877E7D" w:rsidRPr="003C6DBD">
        <w:rPr>
          <w:rFonts w:eastAsiaTheme="minorHAnsi"/>
          <w:color w:val="0D0D0D" w:themeColor="text1" w:themeTint="F2"/>
        </w:rPr>
        <w:t xml:space="preserve">onditions (GEC) are found to be prevalent and significant from previous analysis. </w:t>
      </w:r>
      <w:r w:rsidR="00DF10E4" w:rsidRPr="003C6DBD">
        <w:rPr>
          <w:rFonts w:eastAsiaTheme="minorHAnsi"/>
          <w:color w:val="0D0D0D" w:themeColor="text1" w:themeTint="F2"/>
        </w:rPr>
        <w:t xml:space="preserve">Markets-feedstock (MRF) is found to be prevalent and significant </w:t>
      </w:r>
      <w:r w:rsidR="005A5266" w:rsidRPr="003C6DBD">
        <w:rPr>
          <w:rFonts w:eastAsiaTheme="minorHAnsi"/>
          <w:color w:val="0D0D0D" w:themeColor="text1" w:themeTint="F2"/>
        </w:rPr>
        <w:t>for</w:t>
      </w:r>
      <w:r w:rsidR="003A4082" w:rsidRPr="003C6DBD">
        <w:rPr>
          <w:rFonts w:eastAsiaTheme="minorHAnsi"/>
          <w:color w:val="0D0D0D" w:themeColor="text1" w:themeTint="F2"/>
        </w:rPr>
        <w:t xml:space="preserve"> </w:t>
      </w:r>
      <w:r w:rsidR="00DF10E4" w:rsidRPr="003C6DBD">
        <w:rPr>
          <w:rFonts w:eastAsiaTheme="minorHAnsi"/>
          <w:color w:val="0D0D0D" w:themeColor="text1" w:themeTint="F2"/>
        </w:rPr>
        <w:t>PB companies</w:t>
      </w:r>
      <w:r w:rsidR="005A5266" w:rsidRPr="003C6DBD">
        <w:rPr>
          <w:rFonts w:eastAsiaTheme="minorHAnsi"/>
          <w:color w:val="0D0D0D" w:themeColor="text1" w:themeTint="F2"/>
        </w:rPr>
        <w:t xml:space="preserve"> only</w:t>
      </w:r>
      <w:r w:rsidR="00DF10E4" w:rsidRPr="003C6DBD">
        <w:rPr>
          <w:rFonts w:eastAsiaTheme="minorHAnsi"/>
          <w:color w:val="0D0D0D" w:themeColor="text1" w:themeTint="F2"/>
        </w:rPr>
        <w:t xml:space="preserve">. General </w:t>
      </w:r>
      <w:r w:rsidR="00C94E4E" w:rsidRPr="003C6DBD">
        <w:rPr>
          <w:rFonts w:eastAsiaTheme="minorHAnsi"/>
          <w:color w:val="0D0D0D" w:themeColor="text1" w:themeTint="F2"/>
        </w:rPr>
        <w:t>E</w:t>
      </w:r>
      <w:r w:rsidR="00DF10E4" w:rsidRPr="003C6DBD">
        <w:rPr>
          <w:rFonts w:eastAsiaTheme="minorHAnsi"/>
          <w:color w:val="0D0D0D" w:themeColor="text1" w:themeTint="F2"/>
        </w:rPr>
        <w:t xml:space="preserve">conomic </w:t>
      </w:r>
      <w:r w:rsidR="00C94E4E" w:rsidRPr="003C6DBD">
        <w:rPr>
          <w:rFonts w:eastAsiaTheme="minorHAnsi"/>
          <w:color w:val="0D0D0D" w:themeColor="text1" w:themeTint="F2"/>
        </w:rPr>
        <w:t>C</w:t>
      </w:r>
      <w:r w:rsidR="00DF10E4" w:rsidRPr="003C6DBD">
        <w:rPr>
          <w:rFonts w:eastAsiaTheme="minorHAnsi"/>
          <w:color w:val="0D0D0D" w:themeColor="text1" w:themeTint="F2"/>
        </w:rPr>
        <w:t xml:space="preserve">ondition (GEC) is prevalent and significant for </w:t>
      </w:r>
      <w:r w:rsidR="003A4082" w:rsidRPr="003C6DBD">
        <w:rPr>
          <w:rFonts w:eastAsiaTheme="minorHAnsi"/>
          <w:color w:val="0D0D0D" w:themeColor="text1" w:themeTint="F2"/>
        </w:rPr>
        <w:t>SB</w:t>
      </w:r>
      <w:r w:rsidR="00DF10E4" w:rsidRPr="003C6DBD">
        <w:rPr>
          <w:rFonts w:eastAsiaTheme="minorHAnsi"/>
          <w:color w:val="0D0D0D" w:themeColor="text1" w:themeTint="F2"/>
        </w:rPr>
        <w:t xml:space="preserve"> but not for PB companies. In addition, Markets-biofuels (MRB), a specific risk found to be significant but not prevalent in previous analysis, is found to be both prevalent and significant for PB companies. But </w:t>
      </w:r>
      <w:r w:rsidR="00C94E4E" w:rsidRPr="003C6DBD">
        <w:rPr>
          <w:rFonts w:eastAsiaTheme="minorHAnsi"/>
          <w:color w:val="0D0D0D" w:themeColor="text1" w:themeTint="F2"/>
        </w:rPr>
        <w:t>M</w:t>
      </w:r>
      <w:r w:rsidR="00DF10E4" w:rsidRPr="003C6DBD">
        <w:rPr>
          <w:rFonts w:eastAsiaTheme="minorHAnsi"/>
          <w:color w:val="0D0D0D" w:themeColor="text1" w:themeTint="F2"/>
        </w:rPr>
        <w:t xml:space="preserve">arkets-biofuels (MRB) risk is neither prevalent nor significant for </w:t>
      </w:r>
      <w:r w:rsidR="00F0720A" w:rsidRPr="003C6DBD">
        <w:rPr>
          <w:rFonts w:eastAsiaTheme="minorHAnsi"/>
          <w:color w:val="0D0D0D" w:themeColor="text1" w:themeTint="F2"/>
        </w:rPr>
        <w:t>SB</w:t>
      </w:r>
      <w:r w:rsidR="00DF10E4" w:rsidRPr="003C6DBD">
        <w:rPr>
          <w:rFonts w:eastAsiaTheme="minorHAnsi"/>
          <w:color w:val="0D0D0D" w:themeColor="text1" w:themeTint="F2"/>
        </w:rPr>
        <w:t xml:space="preserve"> companies. </w:t>
      </w:r>
      <w:r w:rsidR="0012128B" w:rsidRPr="003C6DBD">
        <w:rPr>
          <w:rFonts w:eastAsiaTheme="minorHAnsi"/>
          <w:color w:val="0D0D0D" w:themeColor="text1" w:themeTint="F2"/>
        </w:rPr>
        <w:t xml:space="preserve">Stock-risk (STR), a specific risk found to be prevalent but not significant in previous analysis, is consistently prevalent for </w:t>
      </w:r>
      <w:r w:rsidR="00876B80" w:rsidRPr="003C6DBD">
        <w:rPr>
          <w:rFonts w:eastAsiaTheme="minorHAnsi"/>
          <w:color w:val="0D0D0D" w:themeColor="text1" w:themeTint="F2"/>
        </w:rPr>
        <w:t>SB</w:t>
      </w:r>
      <w:r w:rsidR="0012128B" w:rsidRPr="003C6DBD">
        <w:rPr>
          <w:rFonts w:eastAsiaTheme="minorHAnsi"/>
          <w:color w:val="0D0D0D" w:themeColor="text1" w:themeTint="F2"/>
        </w:rPr>
        <w:t xml:space="preserve"> companies but not prevalent for PB companies.</w:t>
      </w:r>
      <w:r w:rsidR="00F0720A" w:rsidRPr="003C6DBD">
        <w:rPr>
          <w:rFonts w:eastAsiaTheme="minorHAnsi"/>
          <w:color w:val="0D0D0D" w:themeColor="text1" w:themeTint="F2"/>
        </w:rPr>
        <w:t xml:space="preserve"> </w:t>
      </w:r>
      <w:r w:rsidR="00046FB2" w:rsidRPr="003C6DBD">
        <w:rPr>
          <w:rFonts w:eastAsiaTheme="minorHAnsi"/>
          <w:color w:val="0D0D0D" w:themeColor="text1" w:themeTint="F2"/>
        </w:rPr>
        <w:t>But</w:t>
      </w:r>
      <w:r w:rsidR="00F0720A" w:rsidRPr="003C6DBD">
        <w:rPr>
          <w:rFonts w:eastAsiaTheme="minorHAnsi"/>
          <w:color w:val="0D0D0D" w:themeColor="text1" w:themeTint="F2"/>
        </w:rPr>
        <w:t xml:space="preserve"> it is found to be prevalent and significant in 2021 for PB companies.</w:t>
      </w:r>
      <w:r w:rsidR="0012128B" w:rsidRPr="003C6DBD">
        <w:rPr>
          <w:rFonts w:eastAsiaTheme="minorHAnsi"/>
          <w:color w:val="0D0D0D" w:themeColor="text1" w:themeTint="F2"/>
        </w:rPr>
        <w:t xml:space="preserve"> </w:t>
      </w:r>
      <w:r w:rsidR="003F1F8A" w:rsidRPr="003C6DBD">
        <w:rPr>
          <w:rFonts w:eastAsiaTheme="minorHAnsi"/>
          <w:color w:val="0D0D0D" w:themeColor="text1" w:themeTint="F2"/>
        </w:rPr>
        <w:t>Markets-competing fuel (MRC) is prevalent for PB companies</w:t>
      </w:r>
      <w:r w:rsidR="00876B80" w:rsidRPr="003C6DBD">
        <w:rPr>
          <w:rFonts w:eastAsiaTheme="minorHAnsi"/>
          <w:color w:val="0D0D0D" w:themeColor="text1" w:themeTint="F2"/>
        </w:rPr>
        <w:t xml:space="preserve"> in 2018 and 2019</w:t>
      </w:r>
      <w:r w:rsidR="003F1F8A" w:rsidRPr="003C6DBD">
        <w:rPr>
          <w:rFonts w:eastAsiaTheme="minorHAnsi"/>
          <w:color w:val="0D0D0D" w:themeColor="text1" w:themeTint="F2"/>
        </w:rPr>
        <w:t xml:space="preserve"> but not prevalent for</w:t>
      </w:r>
      <w:r w:rsidR="00876B80" w:rsidRPr="003C6DBD">
        <w:rPr>
          <w:rFonts w:eastAsiaTheme="minorHAnsi"/>
          <w:color w:val="0D0D0D" w:themeColor="text1" w:themeTint="F2"/>
        </w:rPr>
        <w:t xml:space="preserve"> SB</w:t>
      </w:r>
      <w:r w:rsidR="003F1F8A" w:rsidRPr="003C6DBD">
        <w:rPr>
          <w:rFonts w:eastAsiaTheme="minorHAnsi"/>
          <w:color w:val="0D0D0D" w:themeColor="text1" w:themeTint="F2"/>
        </w:rPr>
        <w:t xml:space="preserve"> companies</w:t>
      </w:r>
      <w:r w:rsidR="002E2051" w:rsidRPr="003C6DBD">
        <w:rPr>
          <w:rFonts w:eastAsiaTheme="minorHAnsi"/>
          <w:color w:val="0D0D0D" w:themeColor="text1" w:themeTint="F2"/>
        </w:rPr>
        <w:t xml:space="preserve"> in all four years</w:t>
      </w:r>
      <w:r w:rsidR="003F1F8A" w:rsidRPr="003C6DBD">
        <w:rPr>
          <w:rFonts w:eastAsiaTheme="minorHAnsi"/>
          <w:color w:val="0D0D0D" w:themeColor="text1" w:themeTint="F2"/>
        </w:rPr>
        <w:t xml:space="preserve">. </w:t>
      </w:r>
      <w:r w:rsidR="008D706B" w:rsidRPr="003C6DBD">
        <w:rPr>
          <w:rFonts w:eastAsiaTheme="minorHAnsi"/>
          <w:color w:val="0D0D0D" w:themeColor="text1" w:themeTint="F2"/>
        </w:rPr>
        <w:t>Market energy</w:t>
      </w:r>
      <w:r w:rsidR="003F1F8A" w:rsidRPr="003C6DBD">
        <w:rPr>
          <w:rFonts w:eastAsiaTheme="minorHAnsi"/>
          <w:color w:val="0D0D0D" w:themeColor="text1" w:themeTint="F2"/>
        </w:rPr>
        <w:t xml:space="preserve"> (MRE) and </w:t>
      </w:r>
      <w:r w:rsidR="00C94E4E" w:rsidRPr="003C6DBD">
        <w:rPr>
          <w:rFonts w:eastAsiaTheme="minorHAnsi"/>
          <w:color w:val="0D0D0D" w:themeColor="text1" w:themeTint="F2"/>
        </w:rPr>
        <w:t>C</w:t>
      </w:r>
      <w:r w:rsidR="003F1F8A" w:rsidRPr="003C6DBD">
        <w:rPr>
          <w:rFonts w:eastAsiaTheme="minorHAnsi"/>
          <w:color w:val="0D0D0D" w:themeColor="text1" w:themeTint="F2"/>
        </w:rPr>
        <w:t>ompetition (COM) are found to be consistent with the results of previous analysis for both portfolio</w:t>
      </w:r>
      <w:r w:rsidR="00F71DA1" w:rsidRPr="003C6DBD">
        <w:rPr>
          <w:rFonts w:eastAsiaTheme="minorHAnsi"/>
          <w:color w:val="0D0D0D" w:themeColor="text1" w:themeTint="F2"/>
        </w:rPr>
        <w:t>s.</w:t>
      </w:r>
    </w:p>
    <w:p w14:paraId="326C3AF5" w14:textId="3F71C02A" w:rsidR="0013726E" w:rsidRPr="003C6DBD" w:rsidRDefault="000657AF" w:rsidP="000657AF">
      <w:pPr>
        <w:pStyle w:val="Heading4"/>
        <w:rPr>
          <w:rFonts w:eastAsiaTheme="minorHAnsi"/>
          <w:color w:val="0D0D0D" w:themeColor="text1" w:themeTint="F2"/>
        </w:rPr>
      </w:pPr>
      <w:r w:rsidRPr="003C6DBD">
        <w:rPr>
          <w:rFonts w:eastAsiaTheme="minorHAnsi"/>
          <w:color w:val="0D0D0D" w:themeColor="text1" w:themeTint="F2"/>
        </w:rPr>
        <w:t>5.2.3 Social Risks</w:t>
      </w:r>
    </w:p>
    <w:p w14:paraId="2E963605" w14:textId="5BDD4277" w:rsidR="00A07BF7" w:rsidRPr="003C6DBD" w:rsidRDefault="000657AF" w:rsidP="00AE5159">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b/>
        <w:t xml:space="preserve">Figure </w:t>
      </w:r>
      <w:r w:rsidR="005E14E8" w:rsidRPr="003C6DBD">
        <w:rPr>
          <w:rFonts w:ascii="Times New Roman" w:hAnsi="Times New Roman" w:cs="Times New Roman"/>
          <w:color w:val="0D0D0D" w:themeColor="text1" w:themeTint="F2"/>
          <w:sz w:val="24"/>
          <w:szCs w:val="24"/>
        </w:rPr>
        <w:t>9</w:t>
      </w:r>
      <w:r w:rsidRPr="003C6DBD">
        <w:rPr>
          <w:rFonts w:ascii="Times New Roman" w:hAnsi="Times New Roman" w:cs="Times New Roman"/>
          <w:color w:val="0D0D0D" w:themeColor="text1" w:themeTint="F2"/>
          <w:sz w:val="24"/>
          <w:szCs w:val="24"/>
        </w:rPr>
        <w:t xml:space="preserve"> shows the </w:t>
      </w:r>
      <w:r w:rsidR="00704D00" w:rsidRPr="003C6DBD">
        <w:rPr>
          <w:rFonts w:ascii="Times New Roman" w:hAnsi="Times New Roman" w:cs="Times New Roman"/>
          <w:color w:val="0D0D0D" w:themeColor="text1" w:themeTint="F2"/>
          <w:sz w:val="24"/>
          <w:szCs w:val="24"/>
        </w:rPr>
        <w:t>comparison</w:t>
      </w:r>
      <w:r w:rsidRPr="003C6DBD">
        <w:rPr>
          <w:rFonts w:ascii="Times New Roman" w:hAnsi="Times New Roman" w:cs="Times New Roman"/>
          <w:color w:val="0D0D0D" w:themeColor="text1" w:themeTint="F2"/>
          <w:sz w:val="24"/>
          <w:szCs w:val="24"/>
        </w:rPr>
        <w:t xml:space="preserve"> for social risks. Social risks are found to have consistent </w:t>
      </w:r>
      <w:r w:rsidR="008D706B" w:rsidRPr="003C6DBD">
        <w:rPr>
          <w:rFonts w:ascii="Times New Roman" w:hAnsi="Times New Roman" w:cs="Times New Roman"/>
          <w:color w:val="0D0D0D" w:themeColor="text1" w:themeTint="F2"/>
          <w:sz w:val="24"/>
          <w:szCs w:val="24"/>
        </w:rPr>
        <w:t>results</w:t>
      </w:r>
      <w:r w:rsidRPr="003C6DBD">
        <w:rPr>
          <w:rFonts w:ascii="Times New Roman" w:hAnsi="Times New Roman" w:cs="Times New Roman"/>
          <w:color w:val="0D0D0D" w:themeColor="text1" w:themeTint="F2"/>
          <w:sz w:val="24"/>
          <w:szCs w:val="24"/>
        </w:rPr>
        <w:t xml:space="preserve"> with previous analysis. Both </w:t>
      </w:r>
      <w:r w:rsidR="00C94E4E" w:rsidRPr="003C6DBD">
        <w:rPr>
          <w:rFonts w:ascii="Times New Roman" w:hAnsi="Times New Roman" w:cs="Times New Roman"/>
          <w:color w:val="0D0D0D" w:themeColor="text1" w:themeTint="F2"/>
          <w:sz w:val="24"/>
          <w:szCs w:val="24"/>
        </w:rPr>
        <w:t>P</w:t>
      </w:r>
      <w:r w:rsidRPr="003C6DBD">
        <w:rPr>
          <w:rFonts w:ascii="Times New Roman" w:hAnsi="Times New Roman" w:cs="Times New Roman"/>
          <w:color w:val="0D0D0D" w:themeColor="text1" w:themeTint="F2"/>
          <w:sz w:val="24"/>
          <w:szCs w:val="24"/>
        </w:rPr>
        <w:t xml:space="preserve">ublic </w:t>
      </w:r>
      <w:r w:rsidR="00C94E4E" w:rsidRPr="003C6DBD">
        <w:rPr>
          <w:rFonts w:ascii="Times New Roman" w:hAnsi="Times New Roman" w:cs="Times New Roman"/>
          <w:color w:val="0D0D0D" w:themeColor="text1" w:themeTint="F2"/>
          <w:sz w:val="24"/>
          <w:szCs w:val="24"/>
        </w:rPr>
        <w:t>P</w:t>
      </w:r>
      <w:r w:rsidRPr="003C6DBD">
        <w:rPr>
          <w:rFonts w:ascii="Times New Roman" w:hAnsi="Times New Roman" w:cs="Times New Roman"/>
          <w:color w:val="0D0D0D" w:themeColor="text1" w:themeTint="F2"/>
          <w:sz w:val="24"/>
          <w:szCs w:val="24"/>
        </w:rPr>
        <w:t xml:space="preserve">erception (PUP) and </w:t>
      </w:r>
      <w:r w:rsidR="00C94E4E" w:rsidRPr="003C6DBD">
        <w:rPr>
          <w:rFonts w:ascii="Times New Roman" w:hAnsi="Times New Roman" w:cs="Times New Roman"/>
          <w:color w:val="0D0D0D" w:themeColor="text1" w:themeTint="F2"/>
          <w:sz w:val="24"/>
          <w:szCs w:val="24"/>
        </w:rPr>
        <w:t>P</w:t>
      </w:r>
      <w:r w:rsidRPr="003C6DBD">
        <w:rPr>
          <w:rFonts w:ascii="Times New Roman" w:hAnsi="Times New Roman" w:cs="Times New Roman"/>
          <w:color w:val="0D0D0D" w:themeColor="text1" w:themeTint="F2"/>
          <w:sz w:val="24"/>
          <w:szCs w:val="24"/>
        </w:rPr>
        <w:t xml:space="preserve">ublic </w:t>
      </w:r>
      <w:r w:rsidR="00C94E4E" w:rsidRPr="003C6DBD">
        <w:rPr>
          <w:rFonts w:ascii="Times New Roman" w:hAnsi="Times New Roman" w:cs="Times New Roman"/>
          <w:color w:val="0D0D0D" w:themeColor="text1" w:themeTint="F2"/>
          <w:sz w:val="24"/>
          <w:szCs w:val="24"/>
        </w:rPr>
        <w:t>O</w:t>
      </w:r>
      <w:r w:rsidRPr="003C6DBD">
        <w:rPr>
          <w:rFonts w:ascii="Times New Roman" w:hAnsi="Times New Roman" w:cs="Times New Roman"/>
          <w:color w:val="0D0D0D" w:themeColor="text1" w:themeTint="F2"/>
          <w:sz w:val="24"/>
          <w:szCs w:val="24"/>
        </w:rPr>
        <w:t>pposition (PUO) are neither prevalent nor significant</w:t>
      </w:r>
      <w:r w:rsidR="00290F02" w:rsidRPr="003C6DBD">
        <w:rPr>
          <w:rFonts w:ascii="Times New Roman" w:hAnsi="Times New Roman" w:cs="Times New Roman"/>
          <w:color w:val="0D0D0D" w:themeColor="text1" w:themeTint="F2"/>
          <w:sz w:val="24"/>
          <w:szCs w:val="24"/>
        </w:rPr>
        <w:t xml:space="preserve"> for both portfolio of companies</w:t>
      </w:r>
      <w:r w:rsidRPr="003C6DBD">
        <w:rPr>
          <w:rFonts w:ascii="Times New Roman" w:hAnsi="Times New Roman" w:cs="Times New Roman"/>
          <w:color w:val="0D0D0D" w:themeColor="text1" w:themeTint="F2"/>
          <w:sz w:val="24"/>
          <w:szCs w:val="24"/>
        </w:rPr>
        <w:t xml:space="preserve">. </w:t>
      </w:r>
    </w:p>
    <w:p w14:paraId="719CEECA" w14:textId="05664EDA" w:rsidR="0013726E" w:rsidRPr="003C6DBD" w:rsidRDefault="008D4F49" w:rsidP="008D4F49">
      <w:pPr>
        <w:pStyle w:val="Heading4"/>
        <w:rPr>
          <w:rFonts w:eastAsiaTheme="minorHAnsi"/>
          <w:color w:val="0D0D0D" w:themeColor="text1" w:themeTint="F2"/>
        </w:rPr>
      </w:pPr>
      <w:r w:rsidRPr="003C6DBD">
        <w:rPr>
          <w:rFonts w:eastAsiaTheme="minorHAnsi"/>
          <w:color w:val="0D0D0D" w:themeColor="text1" w:themeTint="F2"/>
        </w:rPr>
        <w:t>5.2.4 Technological risks</w:t>
      </w:r>
    </w:p>
    <w:p w14:paraId="04C88A49" w14:textId="5F8C2109" w:rsidR="00A07BF7" w:rsidRPr="003C6DBD" w:rsidRDefault="00290F02" w:rsidP="00AE5159">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b/>
        <w:t xml:space="preserve">Figure </w:t>
      </w:r>
      <w:r w:rsidR="005E14E8" w:rsidRPr="003C6DBD">
        <w:rPr>
          <w:rFonts w:ascii="Times New Roman" w:hAnsi="Times New Roman" w:cs="Times New Roman"/>
          <w:color w:val="0D0D0D" w:themeColor="text1" w:themeTint="F2"/>
          <w:sz w:val="24"/>
          <w:szCs w:val="24"/>
        </w:rPr>
        <w:t>10</w:t>
      </w:r>
      <w:r w:rsidRPr="003C6DBD">
        <w:rPr>
          <w:rFonts w:ascii="Times New Roman" w:hAnsi="Times New Roman" w:cs="Times New Roman"/>
          <w:color w:val="0D0D0D" w:themeColor="text1" w:themeTint="F2"/>
          <w:sz w:val="24"/>
          <w:szCs w:val="24"/>
        </w:rPr>
        <w:t xml:space="preserve"> shows the </w:t>
      </w:r>
      <w:r w:rsidR="00704D00" w:rsidRPr="003C6DBD">
        <w:rPr>
          <w:rFonts w:ascii="Times New Roman" w:hAnsi="Times New Roman" w:cs="Times New Roman"/>
          <w:color w:val="0D0D0D" w:themeColor="text1" w:themeTint="F2"/>
          <w:sz w:val="24"/>
          <w:szCs w:val="24"/>
        </w:rPr>
        <w:t>comparison</w:t>
      </w:r>
      <w:r w:rsidRPr="003C6DBD">
        <w:rPr>
          <w:rFonts w:ascii="Times New Roman" w:hAnsi="Times New Roman" w:cs="Times New Roman"/>
          <w:color w:val="0D0D0D" w:themeColor="text1" w:themeTint="F2"/>
          <w:sz w:val="24"/>
          <w:szCs w:val="24"/>
        </w:rPr>
        <w:t xml:space="preserve"> for technological risks. </w:t>
      </w:r>
      <w:r w:rsidR="00D362EC" w:rsidRPr="003C6DBD">
        <w:rPr>
          <w:rFonts w:ascii="Times New Roman" w:hAnsi="Times New Roman" w:cs="Times New Roman"/>
          <w:color w:val="0D0D0D" w:themeColor="text1" w:themeTint="F2"/>
          <w:sz w:val="24"/>
          <w:szCs w:val="24"/>
        </w:rPr>
        <w:t xml:space="preserve">Cybersecurity (CYS) is found to be consistent with previous </w:t>
      </w:r>
      <w:r w:rsidR="00165643" w:rsidRPr="003C6DBD">
        <w:rPr>
          <w:rFonts w:ascii="Times New Roman" w:hAnsi="Times New Roman" w:cs="Times New Roman"/>
          <w:color w:val="0D0D0D" w:themeColor="text1" w:themeTint="F2"/>
          <w:sz w:val="24"/>
          <w:szCs w:val="24"/>
        </w:rPr>
        <w:t>analysis and</w:t>
      </w:r>
      <w:r w:rsidR="00D362EC" w:rsidRPr="003C6DBD">
        <w:rPr>
          <w:rFonts w:ascii="Times New Roman" w:hAnsi="Times New Roman" w:cs="Times New Roman"/>
          <w:color w:val="0D0D0D" w:themeColor="text1" w:themeTint="F2"/>
          <w:sz w:val="24"/>
          <w:szCs w:val="24"/>
        </w:rPr>
        <w:t xml:space="preserve"> is prevalent but not significant for both </w:t>
      </w:r>
      <w:r w:rsidR="00592EE7" w:rsidRPr="003C6DBD">
        <w:rPr>
          <w:rFonts w:ascii="Times New Roman" w:hAnsi="Times New Roman" w:cs="Times New Roman"/>
          <w:color w:val="0D0D0D" w:themeColor="text1" w:themeTint="F2"/>
          <w:sz w:val="24"/>
          <w:szCs w:val="24"/>
        </w:rPr>
        <w:t>portfolios</w:t>
      </w:r>
      <w:r w:rsidR="00D362EC" w:rsidRPr="003C6DBD">
        <w:rPr>
          <w:rFonts w:ascii="Times New Roman" w:hAnsi="Times New Roman" w:cs="Times New Roman"/>
          <w:color w:val="0D0D0D" w:themeColor="text1" w:themeTint="F2"/>
          <w:sz w:val="24"/>
          <w:szCs w:val="24"/>
        </w:rPr>
        <w:t xml:space="preserve">. </w:t>
      </w:r>
      <w:r w:rsidR="00165643" w:rsidRPr="003C6DBD">
        <w:rPr>
          <w:rFonts w:ascii="Times New Roman" w:hAnsi="Times New Roman" w:cs="Times New Roman"/>
          <w:color w:val="0D0D0D" w:themeColor="text1" w:themeTint="F2"/>
          <w:sz w:val="24"/>
          <w:szCs w:val="24"/>
        </w:rPr>
        <w:t xml:space="preserve">Conversion </w:t>
      </w:r>
      <w:r w:rsidR="00C94E4E" w:rsidRPr="003C6DBD">
        <w:rPr>
          <w:rFonts w:ascii="Times New Roman" w:hAnsi="Times New Roman" w:cs="Times New Roman"/>
          <w:color w:val="0D0D0D" w:themeColor="text1" w:themeTint="F2"/>
          <w:sz w:val="24"/>
          <w:szCs w:val="24"/>
        </w:rPr>
        <w:t>T</w:t>
      </w:r>
      <w:r w:rsidR="00165643" w:rsidRPr="003C6DBD">
        <w:rPr>
          <w:rFonts w:ascii="Times New Roman" w:hAnsi="Times New Roman" w:cs="Times New Roman"/>
          <w:color w:val="0D0D0D" w:themeColor="text1" w:themeTint="F2"/>
          <w:sz w:val="24"/>
          <w:szCs w:val="24"/>
        </w:rPr>
        <w:t>echnologies (CNT)</w:t>
      </w:r>
      <w:r w:rsidR="00412A9F" w:rsidRPr="003C6DBD">
        <w:rPr>
          <w:rFonts w:ascii="Times New Roman" w:hAnsi="Times New Roman" w:cs="Times New Roman"/>
          <w:color w:val="0D0D0D" w:themeColor="text1" w:themeTint="F2"/>
          <w:sz w:val="24"/>
          <w:szCs w:val="24"/>
        </w:rPr>
        <w:t xml:space="preserve">, </w:t>
      </w:r>
      <w:r w:rsidR="00165643" w:rsidRPr="003C6DBD">
        <w:rPr>
          <w:rFonts w:ascii="Times New Roman" w:hAnsi="Times New Roman" w:cs="Times New Roman"/>
          <w:color w:val="0D0D0D" w:themeColor="text1" w:themeTint="F2"/>
          <w:sz w:val="24"/>
          <w:szCs w:val="24"/>
        </w:rPr>
        <w:t>Intellectual Property (INP)</w:t>
      </w:r>
      <w:r w:rsidR="00412A9F" w:rsidRPr="003C6DBD">
        <w:rPr>
          <w:rFonts w:ascii="Times New Roman" w:hAnsi="Times New Roman" w:cs="Times New Roman"/>
          <w:color w:val="0D0D0D" w:themeColor="text1" w:themeTint="F2"/>
          <w:sz w:val="24"/>
          <w:szCs w:val="24"/>
        </w:rPr>
        <w:t xml:space="preserve">, and Fuel </w:t>
      </w:r>
      <w:r w:rsidR="00C05DBF" w:rsidRPr="003C6DBD">
        <w:rPr>
          <w:rFonts w:ascii="Times New Roman" w:hAnsi="Times New Roman" w:cs="Times New Roman"/>
          <w:color w:val="0D0D0D" w:themeColor="text1" w:themeTint="F2"/>
          <w:sz w:val="24"/>
          <w:szCs w:val="24"/>
        </w:rPr>
        <w:t xml:space="preserve">Compatibility </w:t>
      </w:r>
      <w:r w:rsidR="00412A9F" w:rsidRPr="003C6DBD">
        <w:rPr>
          <w:rFonts w:ascii="Times New Roman" w:hAnsi="Times New Roman" w:cs="Times New Roman"/>
          <w:color w:val="0D0D0D" w:themeColor="text1" w:themeTint="F2"/>
          <w:sz w:val="24"/>
          <w:szCs w:val="24"/>
        </w:rPr>
        <w:t>(FLC)</w:t>
      </w:r>
      <w:r w:rsidR="00165643" w:rsidRPr="003C6DBD">
        <w:rPr>
          <w:rFonts w:ascii="Times New Roman" w:hAnsi="Times New Roman" w:cs="Times New Roman"/>
          <w:color w:val="0D0D0D" w:themeColor="text1" w:themeTint="F2"/>
          <w:sz w:val="24"/>
          <w:szCs w:val="24"/>
        </w:rPr>
        <w:t xml:space="preserve"> are neither prevalent nor significant in previous analysis. Intellectual Property (INP) is found to be </w:t>
      </w:r>
      <w:r w:rsidR="00165643" w:rsidRPr="003C6DBD">
        <w:rPr>
          <w:rFonts w:ascii="Times New Roman" w:hAnsi="Times New Roman" w:cs="Times New Roman"/>
          <w:color w:val="0D0D0D" w:themeColor="text1" w:themeTint="F2"/>
          <w:sz w:val="24"/>
          <w:szCs w:val="24"/>
        </w:rPr>
        <w:lastRenderedPageBreak/>
        <w:t>consistent with the results of previous analysis for both portfolio</w:t>
      </w:r>
      <w:r w:rsidR="00C0666E" w:rsidRPr="003C6DBD">
        <w:rPr>
          <w:rFonts w:ascii="Times New Roman" w:hAnsi="Times New Roman" w:cs="Times New Roman"/>
          <w:color w:val="0D0D0D" w:themeColor="text1" w:themeTint="F2"/>
          <w:sz w:val="24"/>
          <w:szCs w:val="24"/>
        </w:rPr>
        <w:t>s</w:t>
      </w:r>
      <w:r w:rsidR="00165643" w:rsidRPr="003C6DBD">
        <w:rPr>
          <w:rFonts w:ascii="Times New Roman" w:hAnsi="Times New Roman" w:cs="Times New Roman"/>
          <w:color w:val="0D0D0D" w:themeColor="text1" w:themeTint="F2"/>
          <w:sz w:val="24"/>
          <w:szCs w:val="24"/>
        </w:rPr>
        <w:t xml:space="preserve"> of companies. But Conversion </w:t>
      </w:r>
      <w:r w:rsidR="00C94E4E" w:rsidRPr="003C6DBD">
        <w:rPr>
          <w:rFonts w:ascii="Times New Roman" w:hAnsi="Times New Roman" w:cs="Times New Roman"/>
          <w:color w:val="0D0D0D" w:themeColor="text1" w:themeTint="F2"/>
          <w:sz w:val="24"/>
          <w:szCs w:val="24"/>
        </w:rPr>
        <w:t>T</w:t>
      </w:r>
      <w:r w:rsidR="00165643" w:rsidRPr="003C6DBD">
        <w:rPr>
          <w:rFonts w:ascii="Times New Roman" w:hAnsi="Times New Roman" w:cs="Times New Roman"/>
          <w:color w:val="0D0D0D" w:themeColor="text1" w:themeTint="F2"/>
          <w:sz w:val="24"/>
          <w:szCs w:val="24"/>
        </w:rPr>
        <w:t xml:space="preserve">echnologies (CNT) is observed to be a prevalent risk for PB companies. </w:t>
      </w:r>
      <w:r w:rsidR="00412A9F" w:rsidRPr="003C6DBD">
        <w:rPr>
          <w:rFonts w:ascii="Times New Roman" w:hAnsi="Times New Roman" w:cs="Times New Roman"/>
          <w:color w:val="0D0D0D" w:themeColor="text1" w:themeTint="F2"/>
          <w:sz w:val="24"/>
          <w:szCs w:val="24"/>
        </w:rPr>
        <w:t xml:space="preserve">Although Fuel </w:t>
      </w:r>
      <w:r w:rsidR="001A7202" w:rsidRPr="003C6DBD">
        <w:rPr>
          <w:rFonts w:ascii="Times New Roman" w:hAnsi="Times New Roman" w:cs="Times New Roman"/>
          <w:color w:val="0D0D0D" w:themeColor="text1" w:themeTint="F2"/>
          <w:sz w:val="24"/>
          <w:szCs w:val="24"/>
        </w:rPr>
        <w:t>C</w:t>
      </w:r>
      <w:r w:rsidR="00412A9F" w:rsidRPr="003C6DBD">
        <w:rPr>
          <w:rFonts w:ascii="Times New Roman" w:hAnsi="Times New Roman" w:cs="Times New Roman"/>
          <w:color w:val="0D0D0D" w:themeColor="text1" w:themeTint="F2"/>
          <w:sz w:val="24"/>
          <w:szCs w:val="24"/>
        </w:rPr>
        <w:t xml:space="preserve">ompatibility (FLC) is found to be consistent with the results of previous analysis for PB portfolio, it is not reported at all by OT companies. </w:t>
      </w:r>
    </w:p>
    <w:p w14:paraId="032F5424" w14:textId="1417FC40" w:rsidR="00184450" w:rsidRPr="003C6DBD" w:rsidRDefault="00184450" w:rsidP="00184450">
      <w:pPr>
        <w:pStyle w:val="Heading4"/>
        <w:rPr>
          <w:rFonts w:eastAsiaTheme="minorHAnsi"/>
          <w:color w:val="0D0D0D" w:themeColor="text1" w:themeTint="F2"/>
        </w:rPr>
      </w:pPr>
      <w:r w:rsidRPr="003C6DBD">
        <w:rPr>
          <w:rFonts w:eastAsiaTheme="minorHAnsi"/>
          <w:color w:val="0D0D0D" w:themeColor="text1" w:themeTint="F2"/>
        </w:rPr>
        <w:t>5.2.5 Primary activities risk</w:t>
      </w:r>
    </w:p>
    <w:p w14:paraId="64CFEBF4" w14:textId="60EDAA8D" w:rsidR="00A07BF7" w:rsidRPr="003C6DBD" w:rsidRDefault="00184450" w:rsidP="00AE5159">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b/>
        <w:t xml:space="preserve">Figure </w:t>
      </w:r>
      <w:r w:rsidR="005E14E8" w:rsidRPr="003C6DBD">
        <w:rPr>
          <w:rFonts w:ascii="Times New Roman" w:hAnsi="Times New Roman" w:cs="Times New Roman"/>
          <w:color w:val="0D0D0D" w:themeColor="text1" w:themeTint="F2"/>
          <w:sz w:val="24"/>
          <w:szCs w:val="24"/>
        </w:rPr>
        <w:t>11</w:t>
      </w:r>
      <w:r w:rsidRPr="003C6DBD">
        <w:rPr>
          <w:rFonts w:ascii="Times New Roman" w:hAnsi="Times New Roman" w:cs="Times New Roman"/>
          <w:color w:val="0D0D0D" w:themeColor="text1" w:themeTint="F2"/>
          <w:sz w:val="24"/>
          <w:szCs w:val="24"/>
        </w:rPr>
        <w:t xml:space="preserve"> shows the</w:t>
      </w:r>
      <w:r w:rsidR="00704D00" w:rsidRPr="003C6DBD">
        <w:rPr>
          <w:rFonts w:ascii="Times New Roman" w:hAnsi="Times New Roman" w:cs="Times New Roman"/>
          <w:color w:val="0D0D0D" w:themeColor="text1" w:themeTint="F2"/>
          <w:sz w:val="24"/>
          <w:szCs w:val="24"/>
        </w:rPr>
        <w:t xml:space="preserve"> comparison </w:t>
      </w:r>
      <w:r w:rsidRPr="003C6DBD">
        <w:rPr>
          <w:rFonts w:ascii="Times New Roman" w:hAnsi="Times New Roman" w:cs="Times New Roman"/>
          <w:color w:val="0D0D0D" w:themeColor="text1" w:themeTint="F2"/>
          <w:sz w:val="24"/>
          <w:szCs w:val="24"/>
        </w:rPr>
        <w:t xml:space="preserve">for primary activities risk. Profitable </w:t>
      </w:r>
      <w:r w:rsidR="00C05DBF" w:rsidRPr="003C6DBD">
        <w:rPr>
          <w:rFonts w:ascii="Times New Roman" w:hAnsi="Times New Roman" w:cs="Times New Roman"/>
          <w:color w:val="0D0D0D" w:themeColor="text1" w:themeTint="F2"/>
          <w:sz w:val="24"/>
          <w:szCs w:val="24"/>
        </w:rPr>
        <w:t xml:space="preserve">Operations </w:t>
      </w:r>
      <w:r w:rsidRPr="003C6DBD">
        <w:rPr>
          <w:rFonts w:ascii="Times New Roman" w:hAnsi="Times New Roman" w:cs="Times New Roman"/>
          <w:color w:val="0D0D0D" w:themeColor="text1" w:themeTint="F2"/>
          <w:sz w:val="24"/>
          <w:szCs w:val="24"/>
        </w:rPr>
        <w:t xml:space="preserve">(PRO) risk is found to be prevalent and significant risk in previous analysis. The results from </w:t>
      </w:r>
      <w:r w:rsidR="008D706B" w:rsidRPr="003C6DBD">
        <w:rPr>
          <w:rFonts w:ascii="Times New Roman" w:hAnsi="Times New Roman" w:cs="Times New Roman"/>
          <w:color w:val="0D0D0D" w:themeColor="text1" w:themeTint="F2"/>
          <w:sz w:val="24"/>
          <w:szCs w:val="24"/>
        </w:rPr>
        <w:t>the comparison</w:t>
      </w:r>
      <w:r w:rsidRPr="003C6DBD">
        <w:rPr>
          <w:rFonts w:ascii="Times New Roman" w:hAnsi="Times New Roman" w:cs="Times New Roman"/>
          <w:color w:val="0D0D0D" w:themeColor="text1" w:themeTint="F2"/>
          <w:sz w:val="24"/>
          <w:szCs w:val="24"/>
        </w:rPr>
        <w:t xml:space="preserve"> test also </w:t>
      </w:r>
      <w:r w:rsidR="008D706B" w:rsidRPr="003C6DBD">
        <w:rPr>
          <w:rFonts w:ascii="Times New Roman" w:hAnsi="Times New Roman" w:cs="Times New Roman"/>
          <w:color w:val="0D0D0D" w:themeColor="text1" w:themeTint="F2"/>
          <w:sz w:val="24"/>
          <w:szCs w:val="24"/>
        </w:rPr>
        <w:t>reveal</w:t>
      </w:r>
      <w:r w:rsidRPr="003C6DBD">
        <w:rPr>
          <w:rFonts w:ascii="Times New Roman" w:hAnsi="Times New Roman" w:cs="Times New Roman"/>
          <w:color w:val="0D0D0D" w:themeColor="text1" w:themeTint="F2"/>
          <w:sz w:val="24"/>
          <w:szCs w:val="24"/>
        </w:rPr>
        <w:t xml:space="preserve"> that Profitable </w:t>
      </w:r>
      <w:r w:rsidR="00C05DBF" w:rsidRPr="003C6DBD">
        <w:rPr>
          <w:rFonts w:ascii="Times New Roman" w:hAnsi="Times New Roman" w:cs="Times New Roman"/>
          <w:color w:val="0D0D0D" w:themeColor="text1" w:themeTint="F2"/>
          <w:sz w:val="24"/>
          <w:szCs w:val="24"/>
        </w:rPr>
        <w:t xml:space="preserve">Operations </w:t>
      </w:r>
      <w:r w:rsidRPr="003C6DBD">
        <w:rPr>
          <w:rFonts w:ascii="Times New Roman" w:hAnsi="Times New Roman" w:cs="Times New Roman"/>
          <w:color w:val="0D0D0D" w:themeColor="text1" w:themeTint="F2"/>
          <w:sz w:val="24"/>
          <w:szCs w:val="24"/>
        </w:rPr>
        <w:t xml:space="preserve">(PRO) is prevalent and </w:t>
      </w:r>
      <w:r w:rsidR="00733780" w:rsidRPr="003C6DBD">
        <w:rPr>
          <w:rFonts w:ascii="Times New Roman" w:hAnsi="Times New Roman" w:cs="Times New Roman"/>
          <w:color w:val="0D0D0D" w:themeColor="text1" w:themeTint="F2"/>
          <w:sz w:val="24"/>
          <w:szCs w:val="24"/>
        </w:rPr>
        <w:t>a significant</w:t>
      </w:r>
      <w:r w:rsidRPr="003C6DBD">
        <w:rPr>
          <w:rFonts w:ascii="Times New Roman" w:hAnsi="Times New Roman" w:cs="Times New Roman"/>
          <w:color w:val="0D0D0D" w:themeColor="text1" w:themeTint="F2"/>
          <w:sz w:val="24"/>
          <w:szCs w:val="24"/>
        </w:rPr>
        <w:t xml:space="preserve"> risk for both </w:t>
      </w:r>
      <w:r w:rsidR="001A7202" w:rsidRPr="003C6DBD">
        <w:rPr>
          <w:rFonts w:ascii="Times New Roman" w:hAnsi="Times New Roman" w:cs="Times New Roman"/>
          <w:color w:val="0D0D0D" w:themeColor="text1" w:themeTint="F2"/>
          <w:sz w:val="24"/>
          <w:szCs w:val="24"/>
        </w:rPr>
        <w:t>portfolios</w:t>
      </w:r>
      <w:r w:rsidRPr="003C6DBD">
        <w:rPr>
          <w:rFonts w:ascii="Times New Roman" w:hAnsi="Times New Roman" w:cs="Times New Roman"/>
          <w:color w:val="0D0D0D" w:themeColor="text1" w:themeTint="F2"/>
          <w:sz w:val="24"/>
          <w:szCs w:val="24"/>
        </w:rPr>
        <w:t xml:space="preserve"> of companies. Facilities </w:t>
      </w:r>
      <w:r w:rsidR="00C05DBF" w:rsidRPr="003C6DBD">
        <w:rPr>
          <w:rFonts w:ascii="Times New Roman" w:hAnsi="Times New Roman" w:cs="Times New Roman"/>
          <w:color w:val="0D0D0D" w:themeColor="text1" w:themeTint="F2"/>
          <w:sz w:val="24"/>
          <w:szCs w:val="24"/>
        </w:rPr>
        <w:t xml:space="preserve">Development </w:t>
      </w:r>
      <w:r w:rsidRPr="003C6DBD">
        <w:rPr>
          <w:rFonts w:ascii="Times New Roman" w:hAnsi="Times New Roman" w:cs="Times New Roman"/>
          <w:color w:val="0D0D0D" w:themeColor="text1" w:themeTint="F2"/>
          <w:sz w:val="24"/>
          <w:szCs w:val="24"/>
        </w:rPr>
        <w:t xml:space="preserve">(FTD) is found to be significant but not prevalent in </w:t>
      </w:r>
      <w:r w:rsidR="008D706B" w:rsidRPr="003C6DBD">
        <w:rPr>
          <w:rFonts w:ascii="Times New Roman" w:hAnsi="Times New Roman" w:cs="Times New Roman"/>
          <w:color w:val="0D0D0D" w:themeColor="text1" w:themeTint="F2"/>
          <w:sz w:val="24"/>
          <w:szCs w:val="24"/>
        </w:rPr>
        <w:t>the years</w:t>
      </w:r>
      <w:r w:rsidRPr="003C6DBD">
        <w:rPr>
          <w:rFonts w:ascii="Times New Roman" w:hAnsi="Times New Roman" w:cs="Times New Roman"/>
          <w:color w:val="0D0D0D" w:themeColor="text1" w:themeTint="F2"/>
          <w:sz w:val="24"/>
          <w:szCs w:val="24"/>
        </w:rPr>
        <w:t xml:space="preserve"> 202</w:t>
      </w:r>
      <w:r w:rsidR="007941FE" w:rsidRPr="003C6DBD">
        <w:rPr>
          <w:rFonts w:ascii="Times New Roman" w:hAnsi="Times New Roman" w:cs="Times New Roman"/>
          <w:color w:val="0D0D0D" w:themeColor="text1" w:themeTint="F2"/>
          <w:sz w:val="24"/>
          <w:szCs w:val="24"/>
        </w:rPr>
        <w:t>1 and 2020</w:t>
      </w:r>
      <w:r w:rsidRPr="003C6DBD">
        <w:rPr>
          <w:rFonts w:ascii="Times New Roman" w:hAnsi="Times New Roman" w:cs="Times New Roman"/>
          <w:color w:val="0D0D0D" w:themeColor="text1" w:themeTint="F2"/>
          <w:sz w:val="24"/>
          <w:szCs w:val="24"/>
        </w:rPr>
        <w:t xml:space="preserve">, and neither prevalent nor significant in 2018 and 2019 in previous analysis. The </w:t>
      </w:r>
      <w:r w:rsidR="000A5C42" w:rsidRPr="003C6DBD">
        <w:rPr>
          <w:rFonts w:ascii="Times New Roman" w:hAnsi="Times New Roman" w:cs="Times New Roman"/>
          <w:color w:val="0D0D0D" w:themeColor="text1" w:themeTint="F2"/>
          <w:sz w:val="24"/>
          <w:szCs w:val="24"/>
        </w:rPr>
        <w:t>comparison</w:t>
      </w:r>
      <w:r w:rsidRPr="003C6DBD">
        <w:rPr>
          <w:rFonts w:ascii="Times New Roman" w:hAnsi="Times New Roman" w:cs="Times New Roman"/>
          <w:color w:val="0D0D0D" w:themeColor="text1" w:themeTint="F2"/>
          <w:sz w:val="24"/>
          <w:szCs w:val="24"/>
        </w:rPr>
        <w:t xml:space="preserve"> test result </w:t>
      </w:r>
      <w:r w:rsidR="00B76100" w:rsidRPr="003C6DBD">
        <w:rPr>
          <w:rFonts w:ascii="Times New Roman" w:hAnsi="Times New Roman" w:cs="Times New Roman"/>
          <w:color w:val="0D0D0D" w:themeColor="text1" w:themeTint="F2"/>
          <w:sz w:val="24"/>
          <w:szCs w:val="24"/>
        </w:rPr>
        <w:t xml:space="preserve">revealed that Facilities </w:t>
      </w:r>
      <w:r w:rsidR="00C05DBF" w:rsidRPr="003C6DBD">
        <w:rPr>
          <w:rFonts w:ascii="Times New Roman" w:hAnsi="Times New Roman" w:cs="Times New Roman"/>
          <w:color w:val="0D0D0D" w:themeColor="text1" w:themeTint="F2"/>
          <w:sz w:val="24"/>
          <w:szCs w:val="24"/>
        </w:rPr>
        <w:t xml:space="preserve">Development </w:t>
      </w:r>
      <w:r w:rsidR="00B76100" w:rsidRPr="003C6DBD">
        <w:rPr>
          <w:rFonts w:ascii="Times New Roman" w:hAnsi="Times New Roman" w:cs="Times New Roman"/>
          <w:color w:val="0D0D0D" w:themeColor="text1" w:themeTint="F2"/>
          <w:sz w:val="24"/>
          <w:szCs w:val="24"/>
        </w:rPr>
        <w:t xml:space="preserve">(FTD) </w:t>
      </w:r>
      <w:r w:rsidRPr="003C6DBD">
        <w:rPr>
          <w:rFonts w:ascii="Times New Roman" w:hAnsi="Times New Roman" w:cs="Times New Roman"/>
          <w:color w:val="0D0D0D" w:themeColor="text1" w:themeTint="F2"/>
          <w:sz w:val="24"/>
          <w:szCs w:val="24"/>
        </w:rPr>
        <w:t>for PB portfolio is consistent with the previous analysis.</w:t>
      </w:r>
      <w:r w:rsidR="00B76100" w:rsidRPr="003C6DBD">
        <w:rPr>
          <w:rFonts w:ascii="Times New Roman" w:hAnsi="Times New Roman" w:cs="Times New Roman"/>
          <w:color w:val="0D0D0D" w:themeColor="text1" w:themeTint="F2"/>
          <w:sz w:val="24"/>
          <w:szCs w:val="24"/>
        </w:rPr>
        <w:t xml:space="preserve"> For </w:t>
      </w:r>
      <w:r w:rsidR="007941FE" w:rsidRPr="003C6DBD">
        <w:rPr>
          <w:rFonts w:ascii="Times New Roman" w:hAnsi="Times New Roman" w:cs="Times New Roman"/>
          <w:color w:val="0D0D0D" w:themeColor="text1" w:themeTint="F2"/>
          <w:sz w:val="24"/>
          <w:szCs w:val="24"/>
        </w:rPr>
        <w:t>SB</w:t>
      </w:r>
      <w:r w:rsidR="00B76100" w:rsidRPr="003C6DBD">
        <w:rPr>
          <w:rFonts w:ascii="Times New Roman" w:hAnsi="Times New Roman" w:cs="Times New Roman"/>
          <w:color w:val="0D0D0D" w:themeColor="text1" w:themeTint="F2"/>
          <w:sz w:val="24"/>
          <w:szCs w:val="24"/>
        </w:rPr>
        <w:t xml:space="preserve"> companies, Facilities </w:t>
      </w:r>
      <w:r w:rsidR="00C05DBF" w:rsidRPr="003C6DBD">
        <w:rPr>
          <w:rFonts w:ascii="Times New Roman" w:hAnsi="Times New Roman" w:cs="Times New Roman"/>
          <w:color w:val="0D0D0D" w:themeColor="text1" w:themeTint="F2"/>
          <w:sz w:val="24"/>
          <w:szCs w:val="24"/>
        </w:rPr>
        <w:t xml:space="preserve">Development </w:t>
      </w:r>
      <w:r w:rsidR="00B76100" w:rsidRPr="003C6DBD">
        <w:rPr>
          <w:rFonts w:ascii="Times New Roman" w:hAnsi="Times New Roman" w:cs="Times New Roman"/>
          <w:color w:val="0D0D0D" w:themeColor="text1" w:themeTint="F2"/>
          <w:sz w:val="24"/>
          <w:szCs w:val="24"/>
        </w:rPr>
        <w:t>(FTD) is neither prevalent nor significant in all years</w:t>
      </w:r>
      <w:r w:rsidR="00B44B2A" w:rsidRPr="003C6DBD">
        <w:rPr>
          <w:rFonts w:ascii="Times New Roman" w:hAnsi="Times New Roman" w:cs="Times New Roman"/>
          <w:color w:val="0D0D0D" w:themeColor="text1" w:themeTint="F2"/>
          <w:sz w:val="24"/>
          <w:szCs w:val="24"/>
        </w:rPr>
        <w:t>.</w:t>
      </w:r>
    </w:p>
    <w:p w14:paraId="77350463" w14:textId="60A4A515" w:rsidR="0013726E" w:rsidRPr="003C6DBD" w:rsidRDefault="00B44B2A" w:rsidP="00B44B2A">
      <w:pPr>
        <w:pStyle w:val="Heading4"/>
        <w:rPr>
          <w:rFonts w:eastAsiaTheme="minorHAnsi"/>
          <w:color w:val="0D0D0D" w:themeColor="text1" w:themeTint="F2"/>
        </w:rPr>
      </w:pPr>
      <w:r w:rsidRPr="003C6DBD">
        <w:rPr>
          <w:rFonts w:eastAsiaTheme="minorHAnsi"/>
          <w:color w:val="0D0D0D" w:themeColor="text1" w:themeTint="F2"/>
        </w:rPr>
        <w:t>5.2.6 Support activities risk</w:t>
      </w:r>
    </w:p>
    <w:p w14:paraId="08746C8A" w14:textId="57D57F20" w:rsidR="00502720" w:rsidRPr="003C6DBD" w:rsidRDefault="00B44B2A" w:rsidP="00E12576">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b/>
      </w:r>
      <w:r w:rsidR="00B40C5B" w:rsidRPr="003C6DBD">
        <w:rPr>
          <w:rFonts w:ascii="Times New Roman" w:hAnsi="Times New Roman" w:cs="Times New Roman"/>
          <w:color w:val="0D0D0D" w:themeColor="text1" w:themeTint="F2"/>
          <w:sz w:val="24"/>
          <w:szCs w:val="24"/>
        </w:rPr>
        <w:t xml:space="preserve">Figure </w:t>
      </w:r>
      <w:r w:rsidR="005E14E8" w:rsidRPr="003C6DBD">
        <w:rPr>
          <w:rFonts w:ascii="Times New Roman" w:hAnsi="Times New Roman" w:cs="Times New Roman"/>
          <w:color w:val="0D0D0D" w:themeColor="text1" w:themeTint="F2"/>
          <w:sz w:val="24"/>
          <w:szCs w:val="24"/>
        </w:rPr>
        <w:t>12</w:t>
      </w:r>
      <w:r w:rsidR="00B40C5B" w:rsidRPr="003C6DBD">
        <w:rPr>
          <w:rFonts w:ascii="Times New Roman" w:hAnsi="Times New Roman" w:cs="Times New Roman"/>
          <w:color w:val="0D0D0D" w:themeColor="text1" w:themeTint="F2"/>
          <w:sz w:val="24"/>
          <w:szCs w:val="24"/>
        </w:rPr>
        <w:t xml:space="preserve"> shows the </w:t>
      </w:r>
      <w:r w:rsidR="00704D00" w:rsidRPr="003C6DBD">
        <w:rPr>
          <w:rFonts w:ascii="Times New Roman" w:hAnsi="Times New Roman" w:cs="Times New Roman"/>
          <w:color w:val="0D0D0D" w:themeColor="text1" w:themeTint="F2"/>
          <w:sz w:val="24"/>
          <w:szCs w:val="24"/>
        </w:rPr>
        <w:t>comparison</w:t>
      </w:r>
      <w:r w:rsidR="00716BEE" w:rsidRPr="003C6DBD">
        <w:rPr>
          <w:rFonts w:ascii="Times New Roman" w:hAnsi="Times New Roman" w:cs="Times New Roman"/>
          <w:color w:val="0D0D0D" w:themeColor="text1" w:themeTint="F2"/>
          <w:sz w:val="24"/>
          <w:szCs w:val="24"/>
        </w:rPr>
        <w:t xml:space="preserve"> </w:t>
      </w:r>
      <w:r w:rsidR="00B40C5B" w:rsidRPr="003C6DBD">
        <w:rPr>
          <w:rFonts w:ascii="Times New Roman" w:hAnsi="Times New Roman" w:cs="Times New Roman"/>
          <w:color w:val="0D0D0D" w:themeColor="text1" w:themeTint="F2"/>
          <w:sz w:val="24"/>
          <w:szCs w:val="24"/>
        </w:rPr>
        <w:t>for support activities risk.</w:t>
      </w:r>
      <w:r w:rsidR="007B1CAB" w:rsidRPr="003C6DBD">
        <w:rPr>
          <w:rFonts w:ascii="Times New Roman" w:hAnsi="Times New Roman" w:cs="Times New Roman"/>
          <w:color w:val="0D0D0D" w:themeColor="text1" w:themeTint="F2"/>
          <w:sz w:val="24"/>
          <w:szCs w:val="24"/>
        </w:rPr>
        <w:t xml:space="preserve"> </w:t>
      </w:r>
      <w:r w:rsidR="003113BA" w:rsidRPr="003C6DBD">
        <w:rPr>
          <w:rFonts w:ascii="Times New Roman" w:hAnsi="Times New Roman" w:cs="Times New Roman"/>
          <w:color w:val="0D0D0D" w:themeColor="text1" w:themeTint="F2"/>
          <w:sz w:val="24"/>
          <w:szCs w:val="24"/>
        </w:rPr>
        <w:t xml:space="preserve">Risk </w:t>
      </w:r>
      <w:r w:rsidR="00C05DBF" w:rsidRPr="003C6DBD">
        <w:rPr>
          <w:rFonts w:ascii="Times New Roman" w:hAnsi="Times New Roman" w:cs="Times New Roman"/>
          <w:color w:val="0D0D0D" w:themeColor="text1" w:themeTint="F2"/>
          <w:sz w:val="24"/>
          <w:szCs w:val="24"/>
        </w:rPr>
        <w:t xml:space="preserve">Management </w:t>
      </w:r>
      <w:r w:rsidR="003113BA" w:rsidRPr="003C6DBD">
        <w:rPr>
          <w:rFonts w:ascii="Times New Roman" w:hAnsi="Times New Roman" w:cs="Times New Roman"/>
          <w:color w:val="0D0D0D" w:themeColor="text1" w:themeTint="F2"/>
          <w:sz w:val="24"/>
          <w:szCs w:val="24"/>
        </w:rPr>
        <w:t xml:space="preserve">(RKM), </w:t>
      </w:r>
      <w:r w:rsidR="00C05DBF" w:rsidRPr="003C6DBD">
        <w:rPr>
          <w:rFonts w:ascii="Times New Roman" w:hAnsi="Times New Roman" w:cs="Times New Roman"/>
          <w:color w:val="0D0D0D" w:themeColor="text1" w:themeTint="F2"/>
          <w:sz w:val="24"/>
          <w:szCs w:val="24"/>
        </w:rPr>
        <w:t xml:space="preserve">Contracting </w:t>
      </w:r>
      <w:r w:rsidR="003113BA" w:rsidRPr="003C6DBD">
        <w:rPr>
          <w:rFonts w:ascii="Times New Roman" w:hAnsi="Times New Roman" w:cs="Times New Roman"/>
          <w:color w:val="0D0D0D" w:themeColor="text1" w:themeTint="F2"/>
          <w:sz w:val="24"/>
          <w:szCs w:val="24"/>
        </w:rPr>
        <w:t xml:space="preserve">(CON), and </w:t>
      </w:r>
      <w:r w:rsidR="00C05DBF" w:rsidRPr="003C6DBD">
        <w:rPr>
          <w:rFonts w:ascii="Times New Roman" w:hAnsi="Times New Roman" w:cs="Times New Roman"/>
          <w:color w:val="0D0D0D" w:themeColor="text1" w:themeTint="F2"/>
          <w:sz w:val="24"/>
          <w:szCs w:val="24"/>
        </w:rPr>
        <w:t xml:space="preserve">Financing </w:t>
      </w:r>
      <w:r w:rsidR="003113BA" w:rsidRPr="003C6DBD">
        <w:rPr>
          <w:rFonts w:ascii="Times New Roman" w:hAnsi="Times New Roman" w:cs="Times New Roman"/>
          <w:color w:val="0D0D0D" w:themeColor="text1" w:themeTint="F2"/>
          <w:sz w:val="24"/>
          <w:szCs w:val="24"/>
        </w:rPr>
        <w:t xml:space="preserve">(FIN) are found to be prevalent and significant risks in previous analysis. The </w:t>
      </w:r>
      <w:r w:rsidR="00FA46AE" w:rsidRPr="003C6DBD">
        <w:rPr>
          <w:rFonts w:ascii="Times New Roman" w:hAnsi="Times New Roman" w:cs="Times New Roman"/>
          <w:color w:val="0D0D0D" w:themeColor="text1" w:themeTint="F2"/>
          <w:sz w:val="24"/>
          <w:szCs w:val="24"/>
        </w:rPr>
        <w:t>comparison</w:t>
      </w:r>
      <w:r w:rsidR="003113BA" w:rsidRPr="003C6DBD">
        <w:rPr>
          <w:rFonts w:ascii="Times New Roman" w:hAnsi="Times New Roman" w:cs="Times New Roman"/>
          <w:color w:val="0D0D0D" w:themeColor="text1" w:themeTint="F2"/>
          <w:sz w:val="24"/>
          <w:szCs w:val="24"/>
        </w:rPr>
        <w:t xml:space="preserve"> test with both </w:t>
      </w:r>
      <w:r w:rsidR="008D706B" w:rsidRPr="003C6DBD">
        <w:rPr>
          <w:rFonts w:ascii="Times New Roman" w:hAnsi="Times New Roman" w:cs="Times New Roman"/>
          <w:color w:val="0D0D0D" w:themeColor="text1" w:themeTint="F2"/>
          <w:sz w:val="24"/>
          <w:szCs w:val="24"/>
        </w:rPr>
        <w:t>portfolios</w:t>
      </w:r>
      <w:r w:rsidR="003113BA" w:rsidRPr="003C6DBD">
        <w:rPr>
          <w:rFonts w:ascii="Times New Roman" w:hAnsi="Times New Roman" w:cs="Times New Roman"/>
          <w:color w:val="0D0D0D" w:themeColor="text1" w:themeTint="F2"/>
          <w:sz w:val="24"/>
          <w:szCs w:val="24"/>
        </w:rPr>
        <w:t xml:space="preserve"> of companies revealed consistent findings with previous analysis. </w:t>
      </w:r>
      <w:r w:rsidR="00D34008" w:rsidRPr="003C6DBD">
        <w:rPr>
          <w:rFonts w:ascii="Times New Roman" w:hAnsi="Times New Roman" w:cs="Times New Roman"/>
          <w:color w:val="0D0D0D" w:themeColor="text1" w:themeTint="F2"/>
          <w:sz w:val="24"/>
          <w:szCs w:val="24"/>
        </w:rPr>
        <w:t xml:space="preserve">The </w:t>
      </w:r>
      <w:r w:rsidR="00FA46AE" w:rsidRPr="003C6DBD">
        <w:rPr>
          <w:rFonts w:ascii="Times New Roman" w:hAnsi="Times New Roman" w:cs="Times New Roman"/>
          <w:color w:val="0D0D0D" w:themeColor="text1" w:themeTint="F2"/>
          <w:sz w:val="24"/>
          <w:szCs w:val="24"/>
        </w:rPr>
        <w:t>comparison</w:t>
      </w:r>
      <w:r w:rsidR="00D34008" w:rsidRPr="003C6DBD">
        <w:rPr>
          <w:rFonts w:ascii="Times New Roman" w:hAnsi="Times New Roman" w:cs="Times New Roman"/>
          <w:color w:val="0D0D0D" w:themeColor="text1" w:themeTint="F2"/>
          <w:sz w:val="24"/>
          <w:szCs w:val="24"/>
        </w:rPr>
        <w:t xml:space="preserve"> test for </w:t>
      </w:r>
      <w:r w:rsidR="00C05DBF" w:rsidRPr="003C6DBD">
        <w:rPr>
          <w:rFonts w:ascii="Times New Roman" w:hAnsi="Times New Roman" w:cs="Times New Roman"/>
          <w:color w:val="0D0D0D" w:themeColor="text1" w:themeTint="F2"/>
          <w:sz w:val="24"/>
          <w:szCs w:val="24"/>
        </w:rPr>
        <w:t xml:space="preserve">General Management </w:t>
      </w:r>
      <w:r w:rsidR="00D34008" w:rsidRPr="003C6DBD">
        <w:rPr>
          <w:rFonts w:ascii="Times New Roman" w:hAnsi="Times New Roman" w:cs="Times New Roman"/>
          <w:color w:val="0D0D0D" w:themeColor="text1" w:themeTint="F2"/>
          <w:sz w:val="24"/>
          <w:szCs w:val="24"/>
        </w:rPr>
        <w:t xml:space="preserve">(GNM) revealed consistent results with previous analysis and was found to be prevalent but not significant. Mergers and </w:t>
      </w:r>
      <w:r w:rsidR="00C05DBF" w:rsidRPr="003C6DBD">
        <w:rPr>
          <w:rFonts w:ascii="Times New Roman" w:hAnsi="Times New Roman" w:cs="Times New Roman"/>
          <w:color w:val="0D0D0D" w:themeColor="text1" w:themeTint="F2"/>
          <w:sz w:val="24"/>
          <w:szCs w:val="24"/>
        </w:rPr>
        <w:t xml:space="preserve">Acquisitions </w:t>
      </w:r>
      <w:r w:rsidR="00D34008" w:rsidRPr="003C6DBD">
        <w:rPr>
          <w:rFonts w:ascii="Times New Roman" w:hAnsi="Times New Roman" w:cs="Times New Roman"/>
          <w:color w:val="0D0D0D" w:themeColor="text1" w:themeTint="F2"/>
          <w:sz w:val="24"/>
          <w:szCs w:val="24"/>
        </w:rPr>
        <w:t xml:space="preserve">(MNA) </w:t>
      </w:r>
      <w:r w:rsidR="00CE4493" w:rsidRPr="003C6DBD">
        <w:rPr>
          <w:rFonts w:ascii="Times New Roman" w:hAnsi="Times New Roman" w:cs="Times New Roman"/>
          <w:color w:val="0D0D0D" w:themeColor="text1" w:themeTint="F2"/>
          <w:sz w:val="24"/>
          <w:szCs w:val="24"/>
        </w:rPr>
        <w:t>are</w:t>
      </w:r>
      <w:r w:rsidR="00D34008" w:rsidRPr="003C6DBD">
        <w:rPr>
          <w:rFonts w:ascii="Times New Roman" w:hAnsi="Times New Roman" w:cs="Times New Roman"/>
          <w:color w:val="0D0D0D" w:themeColor="text1" w:themeTint="F2"/>
          <w:sz w:val="24"/>
          <w:szCs w:val="24"/>
        </w:rPr>
        <w:t xml:space="preserve"> neither prevalent nor significant in previous analysis. The </w:t>
      </w:r>
      <w:r w:rsidR="00FA46AE" w:rsidRPr="003C6DBD">
        <w:rPr>
          <w:rFonts w:ascii="Times New Roman" w:hAnsi="Times New Roman" w:cs="Times New Roman"/>
          <w:color w:val="0D0D0D" w:themeColor="text1" w:themeTint="F2"/>
          <w:sz w:val="24"/>
          <w:szCs w:val="24"/>
        </w:rPr>
        <w:t>comparison</w:t>
      </w:r>
      <w:r w:rsidR="00D34008" w:rsidRPr="003C6DBD">
        <w:rPr>
          <w:rFonts w:ascii="Times New Roman" w:hAnsi="Times New Roman" w:cs="Times New Roman"/>
          <w:color w:val="0D0D0D" w:themeColor="text1" w:themeTint="F2"/>
          <w:sz w:val="24"/>
          <w:szCs w:val="24"/>
        </w:rPr>
        <w:t xml:space="preserve"> test revealed </w:t>
      </w:r>
      <w:r w:rsidR="00C05DBF" w:rsidRPr="003C6DBD">
        <w:rPr>
          <w:rFonts w:ascii="Times New Roman" w:hAnsi="Times New Roman" w:cs="Times New Roman"/>
          <w:color w:val="0D0D0D" w:themeColor="text1" w:themeTint="F2"/>
          <w:sz w:val="24"/>
          <w:szCs w:val="24"/>
        </w:rPr>
        <w:t xml:space="preserve">Mergers </w:t>
      </w:r>
      <w:r w:rsidR="00D34008" w:rsidRPr="003C6DBD">
        <w:rPr>
          <w:rFonts w:ascii="Times New Roman" w:hAnsi="Times New Roman" w:cs="Times New Roman"/>
          <w:color w:val="0D0D0D" w:themeColor="text1" w:themeTint="F2"/>
          <w:sz w:val="24"/>
          <w:szCs w:val="24"/>
        </w:rPr>
        <w:t xml:space="preserve">and </w:t>
      </w:r>
      <w:r w:rsidR="00C05DBF" w:rsidRPr="003C6DBD">
        <w:rPr>
          <w:rFonts w:ascii="Times New Roman" w:hAnsi="Times New Roman" w:cs="Times New Roman"/>
          <w:color w:val="0D0D0D" w:themeColor="text1" w:themeTint="F2"/>
          <w:sz w:val="24"/>
          <w:szCs w:val="24"/>
        </w:rPr>
        <w:t xml:space="preserve">Acquisitions </w:t>
      </w:r>
      <w:r w:rsidR="00D34008" w:rsidRPr="003C6DBD">
        <w:rPr>
          <w:rFonts w:ascii="Times New Roman" w:hAnsi="Times New Roman" w:cs="Times New Roman"/>
          <w:color w:val="0D0D0D" w:themeColor="text1" w:themeTint="F2"/>
          <w:sz w:val="24"/>
          <w:szCs w:val="24"/>
        </w:rPr>
        <w:t xml:space="preserve">(MNA) to be </w:t>
      </w:r>
      <w:r w:rsidR="00E12576" w:rsidRPr="003C6DBD">
        <w:rPr>
          <w:rFonts w:ascii="Times New Roman" w:hAnsi="Times New Roman" w:cs="Times New Roman"/>
          <w:color w:val="0D0D0D" w:themeColor="text1" w:themeTint="F2"/>
          <w:sz w:val="24"/>
          <w:szCs w:val="24"/>
        </w:rPr>
        <w:t xml:space="preserve">prevalent for </w:t>
      </w:r>
      <w:r w:rsidR="00602197" w:rsidRPr="003C6DBD">
        <w:rPr>
          <w:rFonts w:ascii="Times New Roman" w:hAnsi="Times New Roman" w:cs="Times New Roman"/>
          <w:color w:val="0D0D0D" w:themeColor="text1" w:themeTint="F2"/>
          <w:sz w:val="24"/>
          <w:szCs w:val="24"/>
        </w:rPr>
        <w:t>SB</w:t>
      </w:r>
      <w:r w:rsidR="00E12576" w:rsidRPr="003C6DBD">
        <w:rPr>
          <w:rFonts w:ascii="Times New Roman" w:hAnsi="Times New Roman" w:cs="Times New Roman"/>
          <w:color w:val="0D0D0D" w:themeColor="text1" w:themeTint="F2"/>
          <w:sz w:val="24"/>
          <w:szCs w:val="24"/>
        </w:rPr>
        <w:t xml:space="preserve"> companies but not for PB companies</w:t>
      </w:r>
      <w:r w:rsidR="003F007B" w:rsidRPr="003C6DBD">
        <w:rPr>
          <w:rFonts w:ascii="Times New Roman" w:hAnsi="Times New Roman" w:cs="Times New Roman"/>
          <w:color w:val="0D0D0D" w:themeColor="text1" w:themeTint="F2"/>
          <w:sz w:val="24"/>
          <w:szCs w:val="24"/>
        </w:rPr>
        <w:t>.</w:t>
      </w:r>
    </w:p>
    <w:p w14:paraId="325FF32B" w14:textId="5D129E67" w:rsidR="00EB5286" w:rsidRPr="003C6DBD" w:rsidRDefault="006619DD" w:rsidP="006619DD">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lastRenderedPageBreak/>
        <w:tab/>
        <w:t xml:space="preserve">Table 14 shows the prevalent and significant risks for primary biofuel companies. Table 15 shows the prevalent and significant risks for secondary biofuel companies. </w:t>
      </w:r>
      <w:r w:rsidR="008E4289" w:rsidRPr="003C6DBD">
        <w:rPr>
          <w:rFonts w:ascii="Times New Roman" w:hAnsi="Times New Roman" w:cs="Times New Roman"/>
          <w:color w:val="0D0D0D" w:themeColor="text1" w:themeTint="F2"/>
          <w:sz w:val="24"/>
          <w:szCs w:val="24"/>
        </w:rPr>
        <w:t xml:space="preserve">In summary, the risk assessment of biofuel companies has provided valuable insights by categorizing them into primary biofuel (PB) and secondary biofuel (SB) companies. This categorization has revealed differences in the prevalence and significance of risks between the two categories. Specifically, PB companies are more susceptible to risks directly related to </w:t>
      </w:r>
      <w:r w:rsidR="001A7202" w:rsidRPr="003C6DBD">
        <w:rPr>
          <w:rFonts w:ascii="Times New Roman" w:hAnsi="Times New Roman" w:cs="Times New Roman"/>
          <w:color w:val="0D0D0D" w:themeColor="text1" w:themeTint="F2"/>
          <w:sz w:val="24"/>
          <w:szCs w:val="24"/>
        </w:rPr>
        <w:t>biofuel</w:t>
      </w:r>
      <w:r w:rsidR="008E4289" w:rsidRPr="003C6DBD">
        <w:rPr>
          <w:rFonts w:ascii="Times New Roman" w:hAnsi="Times New Roman" w:cs="Times New Roman"/>
          <w:color w:val="0D0D0D" w:themeColor="text1" w:themeTint="F2"/>
          <w:sz w:val="24"/>
          <w:szCs w:val="24"/>
        </w:rPr>
        <w:t xml:space="preserve">, such as </w:t>
      </w:r>
      <w:r w:rsidR="001A7202" w:rsidRPr="003C6DBD">
        <w:rPr>
          <w:rFonts w:ascii="Times New Roman" w:hAnsi="Times New Roman" w:cs="Times New Roman"/>
          <w:color w:val="0D0D0D" w:themeColor="text1" w:themeTint="F2"/>
          <w:sz w:val="24"/>
          <w:szCs w:val="24"/>
        </w:rPr>
        <w:t>B</w:t>
      </w:r>
      <w:r w:rsidR="008E4289" w:rsidRPr="003C6DBD">
        <w:rPr>
          <w:rFonts w:ascii="Times New Roman" w:hAnsi="Times New Roman" w:cs="Times New Roman"/>
          <w:color w:val="0D0D0D" w:themeColor="text1" w:themeTint="F2"/>
          <w:sz w:val="24"/>
          <w:szCs w:val="24"/>
        </w:rPr>
        <w:t xml:space="preserve">iofuel </w:t>
      </w:r>
      <w:r w:rsidR="001A7202" w:rsidRPr="003C6DBD">
        <w:rPr>
          <w:rFonts w:ascii="Times New Roman" w:hAnsi="Times New Roman" w:cs="Times New Roman"/>
          <w:color w:val="0D0D0D" w:themeColor="text1" w:themeTint="F2"/>
          <w:sz w:val="24"/>
          <w:szCs w:val="24"/>
        </w:rPr>
        <w:t>R</w:t>
      </w:r>
      <w:r w:rsidR="008E4289" w:rsidRPr="003C6DBD">
        <w:rPr>
          <w:rFonts w:ascii="Times New Roman" w:hAnsi="Times New Roman" w:cs="Times New Roman"/>
          <w:color w:val="0D0D0D" w:themeColor="text1" w:themeTint="F2"/>
          <w:sz w:val="24"/>
          <w:szCs w:val="24"/>
        </w:rPr>
        <w:t xml:space="preserve">egulation (BFR), </w:t>
      </w:r>
      <w:r w:rsidR="001A7202" w:rsidRPr="003C6DBD">
        <w:rPr>
          <w:rFonts w:ascii="Times New Roman" w:hAnsi="Times New Roman" w:cs="Times New Roman"/>
          <w:color w:val="0D0D0D" w:themeColor="text1" w:themeTint="F2"/>
          <w:sz w:val="24"/>
          <w:szCs w:val="24"/>
        </w:rPr>
        <w:t>M</w:t>
      </w:r>
      <w:r w:rsidR="008E4289" w:rsidRPr="003C6DBD">
        <w:rPr>
          <w:rFonts w:ascii="Times New Roman" w:hAnsi="Times New Roman" w:cs="Times New Roman"/>
          <w:color w:val="0D0D0D" w:themeColor="text1" w:themeTint="F2"/>
          <w:sz w:val="24"/>
          <w:szCs w:val="24"/>
        </w:rPr>
        <w:t>arket</w:t>
      </w:r>
      <w:r w:rsidR="001A7202" w:rsidRPr="003C6DBD">
        <w:rPr>
          <w:rFonts w:ascii="Times New Roman" w:hAnsi="Times New Roman" w:cs="Times New Roman"/>
          <w:color w:val="0D0D0D" w:themeColor="text1" w:themeTint="F2"/>
          <w:sz w:val="24"/>
          <w:szCs w:val="24"/>
        </w:rPr>
        <w:t>-</w:t>
      </w:r>
      <w:r w:rsidR="008E4289" w:rsidRPr="003C6DBD">
        <w:rPr>
          <w:rFonts w:ascii="Times New Roman" w:hAnsi="Times New Roman" w:cs="Times New Roman"/>
          <w:color w:val="0D0D0D" w:themeColor="text1" w:themeTint="F2"/>
          <w:sz w:val="24"/>
          <w:szCs w:val="24"/>
        </w:rPr>
        <w:t xml:space="preserve">biofuels (MRB), and </w:t>
      </w:r>
      <w:r w:rsidR="001A7202" w:rsidRPr="003C6DBD">
        <w:rPr>
          <w:rFonts w:ascii="Times New Roman" w:hAnsi="Times New Roman" w:cs="Times New Roman"/>
          <w:color w:val="0D0D0D" w:themeColor="text1" w:themeTint="F2"/>
          <w:sz w:val="24"/>
          <w:szCs w:val="24"/>
        </w:rPr>
        <w:t>C</w:t>
      </w:r>
      <w:r w:rsidR="008E4289" w:rsidRPr="003C6DBD">
        <w:rPr>
          <w:rFonts w:ascii="Times New Roman" w:hAnsi="Times New Roman" w:cs="Times New Roman"/>
          <w:color w:val="0D0D0D" w:themeColor="text1" w:themeTint="F2"/>
          <w:sz w:val="24"/>
          <w:szCs w:val="24"/>
        </w:rPr>
        <w:t xml:space="preserve">onversion </w:t>
      </w:r>
      <w:r w:rsidR="001A7202" w:rsidRPr="003C6DBD">
        <w:rPr>
          <w:rFonts w:ascii="Times New Roman" w:hAnsi="Times New Roman" w:cs="Times New Roman"/>
          <w:color w:val="0D0D0D" w:themeColor="text1" w:themeTint="F2"/>
          <w:sz w:val="24"/>
          <w:szCs w:val="24"/>
        </w:rPr>
        <w:t>T</w:t>
      </w:r>
      <w:r w:rsidR="008E4289" w:rsidRPr="003C6DBD">
        <w:rPr>
          <w:rFonts w:ascii="Times New Roman" w:hAnsi="Times New Roman" w:cs="Times New Roman"/>
          <w:color w:val="0D0D0D" w:themeColor="text1" w:themeTint="F2"/>
          <w:sz w:val="24"/>
          <w:szCs w:val="24"/>
        </w:rPr>
        <w:t xml:space="preserve">echnologies (CNT). In contrast, SB companies are more vulnerable to general risks, such as </w:t>
      </w:r>
      <w:r w:rsidR="001A7202" w:rsidRPr="003C6DBD">
        <w:rPr>
          <w:rFonts w:ascii="Times New Roman" w:hAnsi="Times New Roman" w:cs="Times New Roman"/>
          <w:color w:val="0D0D0D" w:themeColor="text1" w:themeTint="F2"/>
          <w:sz w:val="24"/>
          <w:szCs w:val="24"/>
        </w:rPr>
        <w:t>G</w:t>
      </w:r>
      <w:r w:rsidR="008E4289" w:rsidRPr="003C6DBD">
        <w:rPr>
          <w:rFonts w:ascii="Times New Roman" w:hAnsi="Times New Roman" w:cs="Times New Roman"/>
          <w:color w:val="0D0D0D" w:themeColor="text1" w:themeTint="F2"/>
          <w:sz w:val="24"/>
          <w:szCs w:val="24"/>
        </w:rPr>
        <w:t xml:space="preserve">eneral </w:t>
      </w:r>
      <w:r w:rsidR="001A7202" w:rsidRPr="003C6DBD">
        <w:rPr>
          <w:rFonts w:ascii="Times New Roman" w:hAnsi="Times New Roman" w:cs="Times New Roman"/>
          <w:color w:val="0D0D0D" w:themeColor="text1" w:themeTint="F2"/>
          <w:sz w:val="24"/>
          <w:szCs w:val="24"/>
        </w:rPr>
        <w:t>R</w:t>
      </w:r>
      <w:r w:rsidR="008E4289" w:rsidRPr="003C6DBD">
        <w:rPr>
          <w:rFonts w:ascii="Times New Roman" w:hAnsi="Times New Roman" w:cs="Times New Roman"/>
          <w:color w:val="0D0D0D" w:themeColor="text1" w:themeTint="F2"/>
          <w:sz w:val="24"/>
          <w:szCs w:val="24"/>
        </w:rPr>
        <w:t xml:space="preserve">egulation (GNR), </w:t>
      </w:r>
      <w:r w:rsidR="001A7202" w:rsidRPr="003C6DBD">
        <w:rPr>
          <w:rFonts w:ascii="Times New Roman" w:hAnsi="Times New Roman" w:cs="Times New Roman"/>
          <w:color w:val="0D0D0D" w:themeColor="text1" w:themeTint="F2"/>
          <w:sz w:val="24"/>
          <w:szCs w:val="24"/>
        </w:rPr>
        <w:t>G</w:t>
      </w:r>
      <w:r w:rsidR="008E4289" w:rsidRPr="003C6DBD">
        <w:rPr>
          <w:rFonts w:ascii="Times New Roman" w:hAnsi="Times New Roman" w:cs="Times New Roman"/>
          <w:color w:val="0D0D0D" w:themeColor="text1" w:themeTint="F2"/>
          <w:sz w:val="24"/>
          <w:szCs w:val="24"/>
        </w:rPr>
        <w:t xml:space="preserve">eneral </w:t>
      </w:r>
      <w:r w:rsidR="001A7202" w:rsidRPr="003C6DBD">
        <w:rPr>
          <w:rFonts w:ascii="Times New Roman" w:hAnsi="Times New Roman" w:cs="Times New Roman"/>
          <w:color w:val="0D0D0D" w:themeColor="text1" w:themeTint="F2"/>
          <w:sz w:val="24"/>
          <w:szCs w:val="24"/>
        </w:rPr>
        <w:t>E</w:t>
      </w:r>
      <w:r w:rsidR="008E4289" w:rsidRPr="003C6DBD">
        <w:rPr>
          <w:rFonts w:ascii="Times New Roman" w:hAnsi="Times New Roman" w:cs="Times New Roman"/>
          <w:color w:val="0D0D0D" w:themeColor="text1" w:themeTint="F2"/>
          <w:sz w:val="24"/>
          <w:szCs w:val="24"/>
        </w:rPr>
        <w:t xml:space="preserve">conomic </w:t>
      </w:r>
      <w:r w:rsidR="001A7202" w:rsidRPr="003C6DBD">
        <w:rPr>
          <w:rFonts w:ascii="Times New Roman" w:hAnsi="Times New Roman" w:cs="Times New Roman"/>
          <w:color w:val="0D0D0D" w:themeColor="text1" w:themeTint="F2"/>
          <w:sz w:val="24"/>
          <w:szCs w:val="24"/>
        </w:rPr>
        <w:t>C</w:t>
      </w:r>
      <w:r w:rsidR="008E4289" w:rsidRPr="003C6DBD">
        <w:rPr>
          <w:rFonts w:ascii="Times New Roman" w:hAnsi="Times New Roman" w:cs="Times New Roman"/>
          <w:color w:val="0D0D0D" w:themeColor="text1" w:themeTint="F2"/>
          <w:sz w:val="24"/>
          <w:szCs w:val="24"/>
        </w:rPr>
        <w:t xml:space="preserve">onditions (GEC), and </w:t>
      </w:r>
      <w:r w:rsidR="001A7202" w:rsidRPr="003C6DBD">
        <w:rPr>
          <w:rFonts w:ascii="Times New Roman" w:hAnsi="Times New Roman" w:cs="Times New Roman"/>
          <w:color w:val="0D0D0D" w:themeColor="text1" w:themeTint="F2"/>
          <w:sz w:val="24"/>
          <w:szCs w:val="24"/>
        </w:rPr>
        <w:t>C</w:t>
      </w:r>
      <w:r w:rsidR="008E4289" w:rsidRPr="003C6DBD">
        <w:rPr>
          <w:rFonts w:ascii="Times New Roman" w:hAnsi="Times New Roman" w:cs="Times New Roman"/>
          <w:color w:val="0D0D0D" w:themeColor="text1" w:themeTint="F2"/>
          <w:sz w:val="24"/>
          <w:szCs w:val="24"/>
        </w:rPr>
        <w:t>ybersecurity (CYS). These findings suggest that companies with a higher percentage of biofuel revenues (PB companies) are more severely affected by risks directly related to biofuels than those with lower percentages of biofuel revenues. Overall, this study provides a strong basis for understanding the risk factors that affect biofuel companies and the differences between primary and secondary biofuel companies.</w:t>
      </w:r>
    </w:p>
    <w:p w14:paraId="3321D119" w14:textId="53469439" w:rsidR="00B43A4A" w:rsidRPr="003C6DBD" w:rsidRDefault="00B43A4A" w:rsidP="008D7AF6">
      <w:pPr>
        <w:pStyle w:val="Heading3"/>
        <w:spacing w:line="480" w:lineRule="auto"/>
        <w:rPr>
          <w:rFonts w:cs="Times New Roman"/>
          <w:color w:val="0D0D0D" w:themeColor="text1" w:themeTint="F2"/>
          <w:szCs w:val="24"/>
        </w:rPr>
      </w:pPr>
      <w:bookmarkStart w:id="39" w:name="_Toc132761847"/>
      <w:r w:rsidRPr="003C6DBD">
        <w:rPr>
          <w:rFonts w:cs="Times New Roman"/>
          <w:color w:val="0D0D0D" w:themeColor="text1" w:themeTint="F2"/>
          <w:szCs w:val="24"/>
        </w:rPr>
        <w:t>5.</w:t>
      </w:r>
      <w:r w:rsidR="00AE5159" w:rsidRPr="003C6DBD">
        <w:rPr>
          <w:rFonts w:cs="Times New Roman"/>
          <w:color w:val="0D0D0D" w:themeColor="text1" w:themeTint="F2"/>
          <w:szCs w:val="24"/>
        </w:rPr>
        <w:t>3</w:t>
      </w:r>
      <w:r w:rsidRPr="003C6DBD">
        <w:rPr>
          <w:rFonts w:cs="Times New Roman"/>
          <w:color w:val="0D0D0D" w:themeColor="text1" w:themeTint="F2"/>
          <w:szCs w:val="24"/>
        </w:rPr>
        <w:t xml:space="preserve"> Financial Analysis</w:t>
      </w:r>
      <w:bookmarkEnd w:id="39"/>
    </w:p>
    <w:p w14:paraId="52A52820" w14:textId="18E671F5" w:rsidR="00AB1A08" w:rsidRPr="003C6DBD" w:rsidRDefault="00C40333" w:rsidP="00876B47">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The histograms revealed that the data </w:t>
      </w:r>
      <w:r w:rsidR="00EC06C3" w:rsidRPr="003C6DBD">
        <w:rPr>
          <w:rFonts w:ascii="Times New Roman" w:hAnsi="Times New Roman" w:cs="Times New Roman"/>
          <w:color w:val="0D0D0D" w:themeColor="text1" w:themeTint="F2"/>
          <w:sz w:val="24"/>
          <w:szCs w:val="24"/>
        </w:rPr>
        <w:t xml:space="preserve">are </w:t>
      </w:r>
      <w:r w:rsidRPr="003C6DBD">
        <w:rPr>
          <w:rFonts w:ascii="Times New Roman" w:hAnsi="Times New Roman" w:cs="Times New Roman"/>
          <w:color w:val="0D0D0D" w:themeColor="text1" w:themeTint="F2"/>
          <w:sz w:val="24"/>
          <w:szCs w:val="24"/>
        </w:rPr>
        <w:t xml:space="preserve">not normally distributed and </w:t>
      </w:r>
      <w:r w:rsidR="00EC06C3" w:rsidRPr="003C6DBD">
        <w:rPr>
          <w:rFonts w:ascii="Times New Roman" w:hAnsi="Times New Roman" w:cs="Times New Roman"/>
          <w:color w:val="0D0D0D" w:themeColor="text1" w:themeTint="F2"/>
          <w:sz w:val="24"/>
          <w:szCs w:val="24"/>
        </w:rPr>
        <w:t xml:space="preserve">are </w:t>
      </w:r>
      <w:r w:rsidRPr="003C6DBD">
        <w:rPr>
          <w:rFonts w:ascii="Times New Roman" w:hAnsi="Times New Roman" w:cs="Times New Roman"/>
          <w:color w:val="0D0D0D" w:themeColor="text1" w:themeTint="F2"/>
          <w:sz w:val="24"/>
          <w:szCs w:val="24"/>
        </w:rPr>
        <w:t xml:space="preserve">rather skewed. </w:t>
      </w:r>
      <w:r w:rsidR="00196775" w:rsidRPr="003C6DBD">
        <w:rPr>
          <w:rFonts w:ascii="Times New Roman" w:hAnsi="Times New Roman" w:cs="Times New Roman"/>
          <w:color w:val="0D0D0D" w:themeColor="text1" w:themeTint="F2"/>
          <w:sz w:val="24"/>
          <w:szCs w:val="24"/>
        </w:rPr>
        <w:t>Figure 13 shows the histograms of selected financial ratios</w:t>
      </w:r>
      <w:r w:rsidRPr="003C6DBD">
        <w:rPr>
          <w:rFonts w:ascii="Times New Roman" w:hAnsi="Times New Roman" w:cs="Times New Roman"/>
          <w:color w:val="0D0D0D" w:themeColor="text1" w:themeTint="F2"/>
          <w:sz w:val="24"/>
          <w:szCs w:val="24"/>
        </w:rPr>
        <w:t xml:space="preserve">. </w:t>
      </w:r>
      <w:r w:rsidR="00B43A4A" w:rsidRPr="003C6DBD">
        <w:rPr>
          <w:rFonts w:ascii="Times New Roman" w:hAnsi="Times New Roman" w:cs="Times New Roman"/>
          <w:color w:val="0D0D0D" w:themeColor="text1" w:themeTint="F2"/>
          <w:sz w:val="24"/>
          <w:szCs w:val="24"/>
        </w:rPr>
        <w:t>The distribution of financial ratios is skewed rather than normal even though we treated the data to remove outlier</w:t>
      </w:r>
      <w:r w:rsidR="00A04272" w:rsidRPr="003C6DBD">
        <w:rPr>
          <w:rFonts w:ascii="Times New Roman" w:hAnsi="Times New Roman" w:cs="Times New Roman"/>
          <w:color w:val="0D0D0D" w:themeColor="text1" w:themeTint="F2"/>
          <w:sz w:val="24"/>
          <w:szCs w:val="24"/>
        </w:rPr>
        <w:t>s</w:t>
      </w:r>
      <w:r w:rsidR="00B43A4A"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t xml:space="preserve">The KS test confirms that the data does not follow a normal distribution pattern. </w:t>
      </w:r>
      <w:r w:rsidR="00B43A4A" w:rsidRPr="003C6DBD">
        <w:rPr>
          <w:rFonts w:ascii="Times New Roman" w:hAnsi="Times New Roman" w:cs="Times New Roman"/>
          <w:color w:val="0D0D0D" w:themeColor="text1" w:themeTint="F2"/>
          <w:sz w:val="24"/>
          <w:szCs w:val="24"/>
        </w:rPr>
        <w:t xml:space="preserve">Thus, we use median values </w:t>
      </w:r>
      <w:r w:rsidR="008C08D4" w:rsidRPr="003C6DBD">
        <w:rPr>
          <w:rFonts w:ascii="Times New Roman" w:hAnsi="Times New Roman" w:cs="Times New Roman"/>
          <w:color w:val="0D0D0D" w:themeColor="text1" w:themeTint="F2"/>
          <w:sz w:val="24"/>
          <w:szCs w:val="24"/>
        </w:rPr>
        <w:t xml:space="preserve">of financial ratios </w:t>
      </w:r>
      <w:r w:rsidR="00B43A4A" w:rsidRPr="003C6DBD">
        <w:rPr>
          <w:rFonts w:ascii="Times New Roman" w:hAnsi="Times New Roman" w:cs="Times New Roman"/>
          <w:color w:val="0D0D0D" w:themeColor="text1" w:themeTint="F2"/>
          <w:sz w:val="24"/>
          <w:szCs w:val="24"/>
        </w:rPr>
        <w:t xml:space="preserve">to compare across the firm categories instead of other measures of central tendency because financial ratios generally contain outliers that skew the mean values for the financial ratios </w:t>
      </w:r>
      <w:r w:rsidR="00B43A4A" w:rsidRPr="003C6DBD">
        <w:rPr>
          <w:rFonts w:ascii="Times New Roman" w:hAnsi="Times New Roman" w:cs="Times New Roman"/>
          <w:color w:val="0D0D0D" w:themeColor="text1" w:themeTint="F2"/>
          <w:sz w:val="24"/>
          <w:szCs w:val="24"/>
        </w:rPr>
        <w:fldChar w:fldCharType="begin"/>
      </w:r>
      <w:r w:rsidR="00E179DB" w:rsidRPr="003C6DBD">
        <w:rPr>
          <w:rFonts w:ascii="Times New Roman" w:hAnsi="Times New Roman" w:cs="Times New Roman"/>
          <w:color w:val="0D0D0D" w:themeColor="text1" w:themeTint="F2"/>
          <w:sz w:val="24"/>
          <w:szCs w:val="24"/>
        </w:rPr>
        <w:instrText xml:space="preserve"> ADDIN ZOTERO_ITEM CSL_CITATION {"citationID":"3rScw6m8","properties":{"formattedCitation":"(Katchova &amp; Enlow, 2013; Trejo-Pech et al., 2023)","plainCitation":"(Katchova &amp; Enlow, 2013; Trejo-Pech et al., 2023)","noteIndex":0},"citationItems":[{"id":219,"uris":["http://zotero.org/users/8949154/items/SUB5H9EB"],"itemData":{"id":219,"type":"article-journal","container-title":"Agricultural Finance Review","note":"publisher: Emerald Group Publishing Limited","source":"Google Scholar","title":"Financial performance of publicly-traded agribusinesses","author":[{"family":"Katchova","given":"Ani L."},{"family":"Enlow","given":"Sierra J."}],"issued":{"date-parts":[["2013"]]}}},{"id":183,"uris":["http://zotero.org/users/8949154/items/GSWF26NN"],"itemData":{"id":183,"type":"article-journal","container-title":"Agricultural Finance Review","title":"How does the financial performance of sugar-using firms compare to other agribusinesses? An accounting and economic profit rates analysis. (Forthcoming).","author":[{"family":"Trejo-Pech","given":"C."},{"family":"DeLong","given":"K."},{"family":"Johansson","given":"R."}],"issued":{"date-parts":[["2023"]]}}}],"schema":"https://github.com/citation-style-language/schema/raw/master/csl-citation.json"} </w:instrText>
      </w:r>
      <w:r w:rsidR="00B43A4A" w:rsidRPr="003C6DBD">
        <w:rPr>
          <w:rFonts w:ascii="Times New Roman" w:hAnsi="Times New Roman" w:cs="Times New Roman"/>
          <w:color w:val="0D0D0D" w:themeColor="text1" w:themeTint="F2"/>
          <w:sz w:val="24"/>
          <w:szCs w:val="24"/>
        </w:rPr>
        <w:fldChar w:fldCharType="separate"/>
      </w:r>
      <w:r w:rsidR="00E179DB" w:rsidRPr="003C6DBD">
        <w:rPr>
          <w:rFonts w:ascii="Times New Roman" w:hAnsi="Times New Roman" w:cs="Times New Roman"/>
          <w:color w:val="0D0D0D" w:themeColor="text1" w:themeTint="F2"/>
          <w:sz w:val="24"/>
          <w:szCs w:val="24"/>
        </w:rPr>
        <w:t>(Katchova &amp; Enlow, 2013; Trejo-Pech et al., 2023)</w:t>
      </w:r>
      <w:r w:rsidR="00B43A4A" w:rsidRPr="003C6DBD">
        <w:rPr>
          <w:rFonts w:ascii="Times New Roman" w:hAnsi="Times New Roman" w:cs="Times New Roman"/>
          <w:color w:val="0D0D0D" w:themeColor="text1" w:themeTint="F2"/>
          <w:sz w:val="24"/>
          <w:szCs w:val="24"/>
        </w:rPr>
        <w:fldChar w:fldCharType="end"/>
      </w:r>
      <w:r w:rsidR="00B43A4A" w:rsidRPr="003C6DBD">
        <w:rPr>
          <w:rFonts w:ascii="Times New Roman" w:hAnsi="Times New Roman" w:cs="Times New Roman"/>
          <w:color w:val="0D0D0D" w:themeColor="text1" w:themeTint="F2"/>
          <w:sz w:val="24"/>
          <w:szCs w:val="24"/>
        </w:rPr>
        <w:t xml:space="preserve">. The mode value, on the other hand, is not commonly used to compare financial ratios. </w:t>
      </w:r>
    </w:p>
    <w:p w14:paraId="1E6FC495" w14:textId="0842367A" w:rsidR="003E7FE9" w:rsidRPr="003C6DBD" w:rsidRDefault="003E7FE9" w:rsidP="00CC0793">
      <w:pPr>
        <w:pStyle w:val="Heading4"/>
        <w:rPr>
          <w:color w:val="0D0D0D" w:themeColor="text1" w:themeTint="F2"/>
        </w:rPr>
      </w:pPr>
      <w:r w:rsidRPr="003C6DBD">
        <w:rPr>
          <w:color w:val="0D0D0D" w:themeColor="text1" w:themeTint="F2"/>
        </w:rPr>
        <w:lastRenderedPageBreak/>
        <w:t>5.</w:t>
      </w:r>
      <w:r w:rsidR="00AE5159" w:rsidRPr="003C6DBD">
        <w:rPr>
          <w:color w:val="0D0D0D" w:themeColor="text1" w:themeTint="F2"/>
        </w:rPr>
        <w:t>3</w:t>
      </w:r>
      <w:r w:rsidRPr="003C6DBD">
        <w:rPr>
          <w:color w:val="0D0D0D" w:themeColor="text1" w:themeTint="F2"/>
        </w:rPr>
        <w:t xml:space="preserve">.1 </w:t>
      </w:r>
      <w:r w:rsidR="00A623D1" w:rsidRPr="003C6DBD">
        <w:rPr>
          <w:color w:val="0D0D0D" w:themeColor="text1" w:themeTint="F2"/>
        </w:rPr>
        <w:t>Median values</w:t>
      </w:r>
      <w:r w:rsidRPr="003C6DBD">
        <w:rPr>
          <w:color w:val="0D0D0D" w:themeColor="text1" w:themeTint="F2"/>
        </w:rPr>
        <w:t xml:space="preserve"> of</w:t>
      </w:r>
      <w:r w:rsidR="00A623D1" w:rsidRPr="003C6DBD">
        <w:rPr>
          <w:color w:val="0D0D0D" w:themeColor="text1" w:themeTint="F2"/>
        </w:rPr>
        <w:t xml:space="preserve"> the</w:t>
      </w:r>
      <w:r w:rsidRPr="003C6DBD">
        <w:rPr>
          <w:color w:val="0D0D0D" w:themeColor="text1" w:themeTint="F2"/>
        </w:rPr>
        <w:t xml:space="preserve"> financial ratios</w:t>
      </w:r>
    </w:p>
    <w:p w14:paraId="2857FDBF" w14:textId="08074545" w:rsidR="00CD1173" w:rsidRPr="003C6DBD" w:rsidRDefault="00CD1173" w:rsidP="00CC0793">
      <w:pPr>
        <w:autoSpaceDE w:val="0"/>
        <w:autoSpaceDN w:val="0"/>
        <w:adjustRightInd w:val="0"/>
        <w:spacing w:after="0"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Table 1</w:t>
      </w:r>
      <w:r w:rsidR="00C44821" w:rsidRPr="003C6DBD">
        <w:rPr>
          <w:rFonts w:ascii="Times New Roman" w:hAnsi="Times New Roman" w:cs="Times New Roman"/>
          <w:color w:val="0D0D0D" w:themeColor="text1" w:themeTint="F2"/>
          <w:sz w:val="24"/>
          <w:szCs w:val="24"/>
        </w:rPr>
        <w:t>6</w:t>
      </w:r>
      <w:r w:rsidRPr="003C6DBD">
        <w:rPr>
          <w:rFonts w:ascii="Times New Roman" w:hAnsi="Times New Roman" w:cs="Times New Roman"/>
          <w:color w:val="0D0D0D" w:themeColor="text1" w:themeTint="F2"/>
          <w:sz w:val="24"/>
          <w:szCs w:val="24"/>
        </w:rPr>
        <w:t xml:space="preserve"> </w:t>
      </w:r>
      <w:r w:rsidR="008D706B" w:rsidRPr="003C6DBD">
        <w:rPr>
          <w:rFonts w:ascii="Times New Roman" w:hAnsi="Times New Roman" w:cs="Times New Roman"/>
          <w:color w:val="0D0D0D" w:themeColor="text1" w:themeTint="F2"/>
          <w:sz w:val="24"/>
          <w:szCs w:val="24"/>
        </w:rPr>
        <w:t>shows</w:t>
      </w:r>
      <w:r w:rsidRPr="003C6DBD">
        <w:rPr>
          <w:rFonts w:ascii="Times New Roman" w:hAnsi="Times New Roman" w:cs="Times New Roman"/>
          <w:color w:val="0D0D0D" w:themeColor="text1" w:themeTint="F2"/>
          <w:sz w:val="24"/>
          <w:szCs w:val="24"/>
        </w:rPr>
        <w:t xml:space="preserve"> the </w:t>
      </w:r>
      <w:r w:rsidR="009E1863" w:rsidRPr="003C6DBD">
        <w:rPr>
          <w:rFonts w:ascii="Times New Roman" w:hAnsi="Times New Roman" w:cs="Times New Roman"/>
          <w:color w:val="0D0D0D" w:themeColor="text1" w:themeTint="F2"/>
          <w:sz w:val="24"/>
          <w:szCs w:val="24"/>
        </w:rPr>
        <w:t>median values of the financial ratios</w:t>
      </w:r>
      <w:r w:rsidRPr="003C6DBD">
        <w:rPr>
          <w:rFonts w:ascii="Times New Roman" w:hAnsi="Times New Roman" w:cs="Times New Roman"/>
          <w:color w:val="0D0D0D" w:themeColor="text1" w:themeTint="F2"/>
          <w:sz w:val="24"/>
          <w:szCs w:val="24"/>
        </w:rPr>
        <w:t xml:space="preserve"> of PB companies</w:t>
      </w:r>
      <w:r w:rsidR="009E1863" w:rsidRPr="003C6DBD">
        <w:rPr>
          <w:rFonts w:ascii="Times New Roman" w:hAnsi="Times New Roman" w:cs="Times New Roman"/>
          <w:color w:val="0D0D0D" w:themeColor="text1" w:themeTint="F2"/>
          <w:sz w:val="24"/>
          <w:szCs w:val="24"/>
        </w:rPr>
        <w:t xml:space="preserve">, </w:t>
      </w:r>
      <w:r w:rsidR="00953DB2" w:rsidRPr="003C6DBD">
        <w:rPr>
          <w:rFonts w:ascii="Times New Roman" w:hAnsi="Times New Roman" w:cs="Times New Roman"/>
          <w:color w:val="0D0D0D" w:themeColor="text1" w:themeTint="F2"/>
          <w:sz w:val="24"/>
          <w:szCs w:val="24"/>
        </w:rPr>
        <w:t>SB</w:t>
      </w:r>
      <w:r w:rsidRPr="003C6DBD">
        <w:rPr>
          <w:rFonts w:ascii="Times New Roman" w:hAnsi="Times New Roman" w:cs="Times New Roman"/>
          <w:color w:val="0D0D0D" w:themeColor="text1" w:themeTint="F2"/>
          <w:sz w:val="24"/>
          <w:szCs w:val="24"/>
        </w:rPr>
        <w:t xml:space="preserve"> companies</w:t>
      </w:r>
      <w:r w:rsidR="009E1863" w:rsidRPr="003C6DBD">
        <w:rPr>
          <w:rFonts w:ascii="Times New Roman" w:hAnsi="Times New Roman" w:cs="Times New Roman"/>
          <w:color w:val="0D0D0D" w:themeColor="text1" w:themeTint="F2"/>
          <w:sz w:val="24"/>
          <w:szCs w:val="24"/>
        </w:rPr>
        <w:t>, and ALL companies</w:t>
      </w:r>
      <w:r w:rsidR="008548E5" w:rsidRPr="003C6DBD">
        <w:rPr>
          <w:rFonts w:ascii="Times New Roman" w:hAnsi="Times New Roman" w:cs="Times New Roman"/>
          <w:color w:val="0D0D0D" w:themeColor="text1" w:themeTint="F2"/>
          <w:sz w:val="24"/>
          <w:szCs w:val="24"/>
        </w:rPr>
        <w:t xml:space="preserve"> from 2018 to 2021</w:t>
      </w:r>
      <w:r w:rsidRPr="003C6DBD">
        <w:rPr>
          <w:rFonts w:ascii="Times New Roman" w:hAnsi="Times New Roman" w:cs="Times New Roman"/>
          <w:color w:val="0D0D0D" w:themeColor="text1" w:themeTint="F2"/>
          <w:sz w:val="24"/>
          <w:szCs w:val="24"/>
        </w:rPr>
        <w:t xml:space="preserve">. In terms of profitability, PB companies outperformed </w:t>
      </w:r>
      <w:r w:rsidR="00953DB2" w:rsidRPr="003C6DBD">
        <w:rPr>
          <w:rFonts w:ascii="Times New Roman" w:hAnsi="Times New Roman" w:cs="Times New Roman"/>
          <w:color w:val="0D0D0D" w:themeColor="text1" w:themeTint="F2"/>
          <w:sz w:val="24"/>
          <w:szCs w:val="24"/>
        </w:rPr>
        <w:t>SB</w:t>
      </w:r>
      <w:r w:rsidRPr="003C6DBD">
        <w:rPr>
          <w:rFonts w:ascii="Times New Roman" w:hAnsi="Times New Roman" w:cs="Times New Roman"/>
          <w:color w:val="0D0D0D" w:themeColor="text1" w:themeTint="F2"/>
          <w:sz w:val="24"/>
          <w:szCs w:val="24"/>
        </w:rPr>
        <w:t xml:space="preserve"> companies except </w:t>
      </w:r>
      <w:r w:rsidR="00EC6C74" w:rsidRPr="003C6DBD">
        <w:rPr>
          <w:rFonts w:ascii="Times New Roman" w:hAnsi="Times New Roman" w:cs="Times New Roman"/>
          <w:color w:val="0D0D0D" w:themeColor="text1" w:themeTint="F2"/>
          <w:sz w:val="24"/>
          <w:szCs w:val="24"/>
        </w:rPr>
        <w:t>for</w:t>
      </w:r>
      <w:r w:rsidR="00592EE7" w:rsidRPr="003C6DBD">
        <w:rPr>
          <w:rFonts w:ascii="Times New Roman" w:hAnsi="Times New Roman" w:cs="Times New Roman"/>
          <w:color w:val="0D0D0D" w:themeColor="text1" w:themeTint="F2"/>
          <w:sz w:val="24"/>
          <w:szCs w:val="24"/>
        </w:rPr>
        <w:t xml:space="preserve"> the </w:t>
      </w:r>
      <w:r w:rsidRPr="003C6DBD">
        <w:rPr>
          <w:rFonts w:ascii="Times New Roman" w:hAnsi="Times New Roman" w:cs="Times New Roman"/>
          <w:color w:val="0D0D0D" w:themeColor="text1" w:themeTint="F2"/>
          <w:sz w:val="24"/>
          <w:szCs w:val="24"/>
        </w:rPr>
        <w:t xml:space="preserve">EBITDA margin. The median ROA was </w:t>
      </w:r>
      <w:r w:rsidR="002614BE" w:rsidRPr="003C6DBD">
        <w:rPr>
          <w:rFonts w:ascii="Times New Roman" w:hAnsi="Times New Roman" w:cs="Times New Roman"/>
          <w:color w:val="0D0D0D" w:themeColor="text1" w:themeTint="F2"/>
          <w:sz w:val="24"/>
          <w:szCs w:val="24"/>
        </w:rPr>
        <w:t>6</w:t>
      </w:r>
      <w:r w:rsidR="00592EE7" w:rsidRPr="003C6DBD">
        <w:rPr>
          <w:rFonts w:ascii="Times New Roman" w:hAnsi="Times New Roman" w:cs="Times New Roman"/>
          <w:color w:val="0D0D0D" w:themeColor="text1" w:themeTint="F2"/>
          <w:sz w:val="24"/>
          <w:szCs w:val="24"/>
        </w:rPr>
        <w:t>.0</w:t>
      </w:r>
      <w:r w:rsidRPr="003C6DBD">
        <w:rPr>
          <w:rFonts w:ascii="Times New Roman" w:hAnsi="Times New Roman" w:cs="Times New Roman"/>
          <w:color w:val="0D0D0D" w:themeColor="text1" w:themeTint="F2"/>
          <w:sz w:val="24"/>
          <w:szCs w:val="24"/>
        </w:rPr>
        <w:t xml:space="preserve"> percent for PB companies, </w:t>
      </w:r>
      <w:r w:rsidR="00EC06C3" w:rsidRPr="003C6DBD">
        <w:rPr>
          <w:rFonts w:ascii="Times New Roman" w:hAnsi="Times New Roman" w:cs="Times New Roman"/>
          <w:color w:val="0D0D0D" w:themeColor="text1" w:themeTint="F2"/>
          <w:sz w:val="24"/>
          <w:szCs w:val="24"/>
        </w:rPr>
        <w:t xml:space="preserve">and </w:t>
      </w:r>
      <w:r w:rsidRPr="003C6DBD">
        <w:rPr>
          <w:rFonts w:ascii="Times New Roman" w:hAnsi="Times New Roman" w:cs="Times New Roman"/>
          <w:color w:val="0D0D0D" w:themeColor="text1" w:themeTint="F2"/>
          <w:sz w:val="24"/>
          <w:szCs w:val="24"/>
        </w:rPr>
        <w:t>4</w:t>
      </w:r>
      <w:r w:rsidR="00592EE7" w:rsidRPr="003C6DBD">
        <w:rPr>
          <w:rFonts w:ascii="Times New Roman" w:hAnsi="Times New Roman" w:cs="Times New Roman"/>
          <w:color w:val="0D0D0D" w:themeColor="text1" w:themeTint="F2"/>
          <w:sz w:val="24"/>
          <w:szCs w:val="24"/>
        </w:rPr>
        <w:t>.0</w:t>
      </w:r>
      <w:r w:rsidRPr="003C6DBD">
        <w:rPr>
          <w:rFonts w:ascii="Times New Roman" w:hAnsi="Times New Roman" w:cs="Times New Roman"/>
          <w:color w:val="0D0D0D" w:themeColor="text1" w:themeTint="F2"/>
          <w:sz w:val="24"/>
          <w:szCs w:val="24"/>
        </w:rPr>
        <w:t xml:space="preserve"> percent for </w:t>
      </w:r>
      <w:r w:rsidR="009E1863" w:rsidRPr="003C6DBD">
        <w:rPr>
          <w:rFonts w:ascii="Times New Roman" w:hAnsi="Times New Roman" w:cs="Times New Roman"/>
          <w:color w:val="0D0D0D" w:themeColor="text1" w:themeTint="F2"/>
          <w:sz w:val="24"/>
          <w:szCs w:val="24"/>
        </w:rPr>
        <w:t xml:space="preserve">both </w:t>
      </w:r>
      <w:r w:rsidR="00953DB2" w:rsidRPr="003C6DBD">
        <w:rPr>
          <w:rFonts w:ascii="Times New Roman" w:hAnsi="Times New Roman" w:cs="Times New Roman"/>
          <w:color w:val="0D0D0D" w:themeColor="text1" w:themeTint="F2"/>
          <w:sz w:val="24"/>
          <w:szCs w:val="24"/>
        </w:rPr>
        <w:t>SB</w:t>
      </w:r>
      <w:r w:rsidR="009E1863" w:rsidRPr="003C6DBD">
        <w:rPr>
          <w:rFonts w:ascii="Times New Roman" w:hAnsi="Times New Roman" w:cs="Times New Roman"/>
          <w:color w:val="0D0D0D" w:themeColor="text1" w:themeTint="F2"/>
          <w:sz w:val="24"/>
          <w:szCs w:val="24"/>
        </w:rPr>
        <w:t xml:space="preserve"> and ALL companies</w:t>
      </w:r>
      <w:r w:rsidRPr="003C6DBD">
        <w:rPr>
          <w:rFonts w:ascii="Times New Roman" w:hAnsi="Times New Roman" w:cs="Times New Roman"/>
          <w:color w:val="0D0D0D" w:themeColor="text1" w:themeTint="F2"/>
          <w:sz w:val="24"/>
          <w:szCs w:val="24"/>
        </w:rPr>
        <w:t>. The median ROE was 1</w:t>
      </w:r>
      <w:r w:rsidR="002614BE" w:rsidRPr="003C6DBD">
        <w:rPr>
          <w:rFonts w:ascii="Times New Roman" w:hAnsi="Times New Roman" w:cs="Times New Roman"/>
          <w:color w:val="0D0D0D" w:themeColor="text1" w:themeTint="F2"/>
          <w:sz w:val="24"/>
          <w:szCs w:val="24"/>
        </w:rPr>
        <w:t>2</w:t>
      </w:r>
      <w:r w:rsidR="00592EE7" w:rsidRPr="003C6DBD">
        <w:rPr>
          <w:rFonts w:ascii="Times New Roman" w:hAnsi="Times New Roman" w:cs="Times New Roman"/>
          <w:color w:val="0D0D0D" w:themeColor="text1" w:themeTint="F2"/>
          <w:sz w:val="24"/>
          <w:szCs w:val="24"/>
        </w:rPr>
        <w:t>.0</w:t>
      </w:r>
      <w:r w:rsidRPr="003C6DBD">
        <w:rPr>
          <w:rFonts w:ascii="Times New Roman" w:hAnsi="Times New Roman" w:cs="Times New Roman"/>
          <w:color w:val="0D0D0D" w:themeColor="text1" w:themeTint="F2"/>
          <w:sz w:val="24"/>
          <w:szCs w:val="24"/>
        </w:rPr>
        <w:t xml:space="preserve"> percent for PB companies and 11</w:t>
      </w:r>
      <w:r w:rsidR="00592EE7" w:rsidRPr="003C6DBD">
        <w:rPr>
          <w:rFonts w:ascii="Times New Roman" w:hAnsi="Times New Roman" w:cs="Times New Roman"/>
          <w:color w:val="0D0D0D" w:themeColor="text1" w:themeTint="F2"/>
          <w:sz w:val="24"/>
          <w:szCs w:val="24"/>
        </w:rPr>
        <w:t>.0</w:t>
      </w:r>
      <w:r w:rsidRPr="003C6DBD">
        <w:rPr>
          <w:rFonts w:ascii="Times New Roman" w:hAnsi="Times New Roman" w:cs="Times New Roman"/>
          <w:color w:val="0D0D0D" w:themeColor="text1" w:themeTint="F2"/>
          <w:sz w:val="24"/>
          <w:szCs w:val="24"/>
        </w:rPr>
        <w:t xml:space="preserve"> percent for </w:t>
      </w:r>
      <w:r w:rsidR="009E1863" w:rsidRPr="003C6DBD">
        <w:rPr>
          <w:rFonts w:ascii="Times New Roman" w:hAnsi="Times New Roman" w:cs="Times New Roman"/>
          <w:color w:val="0D0D0D" w:themeColor="text1" w:themeTint="F2"/>
          <w:sz w:val="24"/>
          <w:szCs w:val="24"/>
        </w:rPr>
        <w:t xml:space="preserve">both </w:t>
      </w:r>
      <w:r w:rsidR="00953DB2" w:rsidRPr="003C6DBD">
        <w:rPr>
          <w:rFonts w:ascii="Times New Roman" w:hAnsi="Times New Roman" w:cs="Times New Roman"/>
          <w:color w:val="0D0D0D" w:themeColor="text1" w:themeTint="F2"/>
          <w:sz w:val="24"/>
          <w:szCs w:val="24"/>
        </w:rPr>
        <w:t>SB</w:t>
      </w:r>
      <w:r w:rsidRPr="003C6DBD">
        <w:rPr>
          <w:rFonts w:ascii="Times New Roman" w:hAnsi="Times New Roman" w:cs="Times New Roman"/>
          <w:color w:val="0D0D0D" w:themeColor="text1" w:themeTint="F2"/>
          <w:sz w:val="24"/>
          <w:szCs w:val="24"/>
        </w:rPr>
        <w:t xml:space="preserve"> </w:t>
      </w:r>
      <w:r w:rsidR="009E1863" w:rsidRPr="003C6DBD">
        <w:rPr>
          <w:rFonts w:ascii="Times New Roman" w:hAnsi="Times New Roman" w:cs="Times New Roman"/>
          <w:color w:val="0D0D0D" w:themeColor="text1" w:themeTint="F2"/>
          <w:sz w:val="24"/>
          <w:szCs w:val="24"/>
        </w:rPr>
        <w:t xml:space="preserve">and ALL </w:t>
      </w:r>
      <w:r w:rsidRPr="003C6DBD">
        <w:rPr>
          <w:rFonts w:ascii="Times New Roman" w:hAnsi="Times New Roman" w:cs="Times New Roman"/>
          <w:color w:val="0D0D0D" w:themeColor="text1" w:themeTint="F2"/>
          <w:sz w:val="24"/>
          <w:szCs w:val="24"/>
        </w:rPr>
        <w:t xml:space="preserve">companies. The median ROI was </w:t>
      </w:r>
      <w:r w:rsidR="002614BE" w:rsidRPr="003C6DBD">
        <w:rPr>
          <w:rFonts w:ascii="Times New Roman" w:hAnsi="Times New Roman" w:cs="Times New Roman"/>
          <w:color w:val="0D0D0D" w:themeColor="text1" w:themeTint="F2"/>
          <w:sz w:val="24"/>
          <w:szCs w:val="24"/>
        </w:rPr>
        <w:t>29</w:t>
      </w:r>
      <w:r w:rsidRPr="003C6DBD">
        <w:rPr>
          <w:rFonts w:ascii="Times New Roman" w:hAnsi="Times New Roman" w:cs="Times New Roman"/>
          <w:color w:val="0D0D0D" w:themeColor="text1" w:themeTint="F2"/>
          <w:sz w:val="24"/>
          <w:szCs w:val="24"/>
        </w:rPr>
        <w:t>.5 percent for PB companies</w:t>
      </w:r>
      <w:r w:rsidR="009E1863" w:rsidRPr="003C6DBD">
        <w:rPr>
          <w:rFonts w:ascii="Times New Roman" w:hAnsi="Times New Roman" w:cs="Times New Roman"/>
          <w:color w:val="0D0D0D" w:themeColor="text1" w:themeTint="F2"/>
          <w:sz w:val="24"/>
          <w:szCs w:val="24"/>
        </w:rPr>
        <w:t>,</w:t>
      </w:r>
      <w:r w:rsidRPr="003C6DBD">
        <w:rPr>
          <w:rFonts w:ascii="Times New Roman" w:hAnsi="Times New Roman" w:cs="Times New Roman"/>
          <w:color w:val="0D0D0D" w:themeColor="text1" w:themeTint="F2"/>
          <w:sz w:val="24"/>
          <w:szCs w:val="24"/>
        </w:rPr>
        <w:t xml:space="preserve"> 27.</w:t>
      </w:r>
      <w:r w:rsidR="002614BE" w:rsidRPr="003C6DBD">
        <w:rPr>
          <w:rFonts w:ascii="Times New Roman" w:hAnsi="Times New Roman" w:cs="Times New Roman"/>
          <w:color w:val="0D0D0D" w:themeColor="text1" w:themeTint="F2"/>
          <w:sz w:val="24"/>
          <w:szCs w:val="24"/>
        </w:rPr>
        <w:t>0</w:t>
      </w:r>
      <w:r w:rsidRPr="003C6DBD">
        <w:rPr>
          <w:rFonts w:ascii="Times New Roman" w:hAnsi="Times New Roman" w:cs="Times New Roman"/>
          <w:color w:val="0D0D0D" w:themeColor="text1" w:themeTint="F2"/>
          <w:sz w:val="24"/>
          <w:szCs w:val="24"/>
        </w:rPr>
        <w:t xml:space="preserve"> percent for </w:t>
      </w:r>
      <w:r w:rsidR="00953DB2" w:rsidRPr="003C6DBD">
        <w:rPr>
          <w:rFonts w:ascii="Times New Roman" w:hAnsi="Times New Roman" w:cs="Times New Roman"/>
          <w:color w:val="0D0D0D" w:themeColor="text1" w:themeTint="F2"/>
          <w:sz w:val="24"/>
          <w:szCs w:val="24"/>
        </w:rPr>
        <w:t>SB</w:t>
      </w:r>
      <w:r w:rsidRPr="003C6DBD">
        <w:rPr>
          <w:rFonts w:ascii="Times New Roman" w:hAnsi="Times New Roman" w:cs="Times New Roman"/>
          <w:color w:val="0D0D0D" w:themeColor="text1" w:themeTint="F2"/>
          <w:sz w:val="24"/>
          <w:szCs w:val="24"/>
        </w:rPr>
        <w:t xml:space="preserve"> companies</w:t>
      </w:r>
      <w:r w:rsidR="009E1863" w:rsidRPr="003C6DBD">
        <w:rPr>
          <w:rFonts w:ascii="Times New Roman" w:hAnsi="Times New Roman" w:cs="Times New Roman"/>
          <w:color w:val="0D0D0D" w:themeColor="text1" w:themeTint="F2"/>
          <w:sz w:val="24"/>
          <w:szCs w:val="24"/>
        </w:rPr>
        <w:t>, and 28.0 percent for ALL companies</w:t>
      </w:r>
      <w:r w:rsidRPr="003C6DBD">
        <w:rPr>
          <w:rFonts w:ascii="Times New Roman" w:hAnsi="Times New Roman" w:cs="Times New Roman"/>
          <w:color w:val="0D0D0D" w:themeColor="text1" w:themeTint="F2"/>
          <w:sz w:val="24"/>
          <w:szCs w:val="24"/>
        </w:rPr>
        <w:t xml:space="preserve">. The median net income margin was </w:t>
      </w:r>
      <w:r w:rsidR="002614BE" w:rsidRPr="003C6DBD">
        <w:rPr>
          <w:rFonts w:ascii="Times New Roman" w:hAnsi="Times New Roman" w:cs="Times New Roman"/>
          <w:color w:val="0D0D0D" w:themeColor="text1" w:themeTint="F2"/>
          <w:sz w:val="24"/>
          <w:szCs w:val="24"/>
        </w:rPr>
        <w:t>7</w:t>
      </w:r>
      <w:r w:rsidR="00592EE7" w:rsidRPr="003C6DBD">
        <w:rPr>
          <w:rFonts w:ascii="Times New Roman" w:hAnsi="Times New Roman" w:cs="Times New Roman"/>
          <w:color w:val="0D0D0D" w:themeColor="text1" w:themeTint="F2"/>
          <w:sz w:val="24"/>
          <w:szCs w:val="24"/>
        </w:rPr>
        <w:t>.</w:t>
      </w:r>
      <w:r w:rsidR="002614BE" w:rsidRPr="003C6DBD">
        <w:rPr>
          <w:rFonts w:ascii="Times New Roman" w:hAnsi="Times New Roman" w:cs="Times New Roman"/>
          <w:color w:val="0D0D0D" w:themeColor="text1" w:themeTint="F2"/>
          <w:sz w:val="24"/>
          <w:szCs w:val="24"/>
        </w:rPr>
        <w:t>5</w:t>
      </w:r>
      <w:r w:rsidRPr="003C6DBD">
        <w:rPr>
          <w:rFonts w:ascii="Times New Roman" w:hAnsi="Times New Roman" w:cs="Times New Roman"/>
          <w:color w:val="0D0D0D" w:themeColor="text1" w:themeTint="F2"/>
          <w:sz w:val="24"/>
          <w:szCs w:val="24"/>
        </w:rPr>
        <w:t xml:space="preserve"> percent for PB companies</w:t>
      </w:r>
      <w:r w:rsidR="009E1863"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t>4</w:t>
      </w:r>
      <w:r w:rsidR="00592EE7" w:rsidRPr="003C6DBD">
        <w:rPr>
          <w:rFonts w:ascii="Times New Roman" w:hAnsi="Times New Roman" w:cs="Times New Roman"/>
          <w:color w:val="0D0D0D" w:themeColor="text1" w:themeTint="F2"/>
          <w:sz w:val="24"/>
          <w:szCs w:val="24"/>
        </w:rPr>
        <w:t>.0</w:t>
      </w:r>
      <w:r w:rsidRPr="003C6DBD">
        <w:rPr>
          <w:rFonts w:ascii="Times New Roman" w:hAnsi="Times New Roman" w:cs="Times New Roman"/>
          <w:color w:val="0D0D0D" w:themeColor="text1" w:themeTint="F2"/>
          <w:sz w:val="24"/>
          <w:szCs w:val="24"/>
        </w:rPr>
        <w:t xml:space="preserve"> percent for </w:t>
      </w:r>
      <w:r w:rsidR="002614BE" w:rsidRPr="003C6DBD">
        <w:rPr>
          <w:rFonts w:ascii="Times New Roman" w:hAnsi="Times New Roman" w:cs="Times New Roman"/>
          <w:color w:val="0D0D0D" w:themeColor="text1" w:themeTint="F2"/>
          <w:sz w:val="24"/>
          <w:szCs w:val="24"/>
        </w:rPr>
        <w:t>SB</w:t>
      </w:r>
      <w:r w:rsidRPr="003C6DBD">
        <w:rPr>
          <w:rFonts w:ascii="Times New Roman" w:hAnsi="Times New Roman" w:cs="Times New Roman"/>
          <w:color w:val="0D0D0D" w:themeColor="text1" w:themeTint="F2"/>
          <w:sz w:val="24"/>
          <w:szCs w:val="24"/>
        </w:rPr>
        <w:t xml:space="preserve"> companies</w:t>
      </w:r>
      <w:r w:rsidR="009E1863" w:rsidRPr="003C6DBD">
        <w:rPr>
          <w:rFonts w:ascii="Times New Roman" w:hAnsi="Times New Roman" w:cs="Times New Roman"/>
          <w:color w:val="0D0D0D" w:themeColor="text1" w:themeTint="F2"/>
          <w:sz w:val="24"/>
          <w:szCs w:val="24"/>
        </w:rPr>
        <w:t>, and 5.0 percent for ALL companies</w:t>
      </w:r>
      <w:r w:rsidRPr="003C6DBD">
        <w:rPr>
          <w:rFonts w:ascii="Times New Roman" w:hAnsi="Times New Roman" w:cs="Times New Roman"/>
          <w:color w:val="0D0D0D" w:themeColor="text1" w:themeTint="F2"/>
          <w:sz w:val="24"/>
          <w:szCs w:val="24"/>
        </w:rPr>
        <w:t>. The median EBITDA margin was 1</w:t>
      </w:r>
      <w:r w:rsidR="002614BE" w:rsidRPr="003C6DBD">
        <w:rPr>
          <w:rFonts w:ascii="Times New Roman" w:hAnsi="Times New Roman" w:cs="Times New Roman"/>
          <w:color w:val="0D0D0D" w:themeColor="text1" w:themeTint="F2"/>
          <w:sz w:val="24"/>
          <w:szCs w:val="24"/>
        </w:rPr>
        <w:t>0</w:t>
      </w:r>
      <w:r w:rsidR="00972D92" w:rsidRPr="003C6DBD">
        <w:rPr>
          <w:rFonts w:ascii="Times New Roman" w:hAnsi="Times New Roman" w:cs="Times New Roman"/>
          <w:color w:val="0D0D0D" w:themeColor="text1" w:themeTint="F2"/>
          <w:sz w:val="24"/>
          <w:szCs w:val="24"/>
        </w:rPr>
        <w:t>.</w:t>
      </w:r>
      <w:r w:rsidR="002614BE" w:rsidRPr="003C6DBD">
        <w:rPr>
          <w:rFonts w:ascii="Times New Roman" w:hAnsi="Times New Roman" w:cs="Times New Roman"/>
          <w:color w:val="0D0D0D" w:themeColor="text1" w:themeTint="F2"/>
          <w:sz w:val="24"/>
          <w:szCs w:val="24"/>
        </w:rPr>
        <w:t>5</w:t>
      </w:r>
      <w:r w:rsidRPr="003C6DBD">
        <w:rPr>
          <w:rFonts w:ascii="Times New Roman" w:hAnsi="Times New Roman" w:cs="Times New Roman"/>
          <w:color w:val="0D0D0D" w:themeColor="text1" w:themeTint="F2"/>
          <w:sz w:val="24"/>
          <w:szCs w:val="24"/>
        </w:rPr>
        <w:t xml:space="preserve"> percent for PB companies, 12</w:t>
      </w:r>
      <w:r w:rsidR="00972D92" w:rsidRPr="003C6DBD">
        <w:rPr>
          <w:rFonts w:ascii="Times New Roman" w:hAnsi="Times New Roman" w:cs="Times New Roman"/>
          <w:color w:val="0D0D0D" w:themeColor="text1" w:themeTint="F2"/>
          <w:sz w:val="24"/>
          <w:szCs w:val="24"/>
        </w:rPr>
        <w:t>.0</w:t>
      </w:r>
      <w:r w:rsidRPr="003C6DBD">
        <w:rPr>
          <w:rFonts w:ascii="Times New Roman" w:hAnsi="Times New Roman" w:cs="Times New Roman"/>
          <w:color w:val="0D0D0D" w:themeColor="text1" w:themeTint="F2"/>
          <w:sz w:val="24"/>
          <w:szCs w:val="24"/>
        </w:rPr>
        <w:t xml:space="preserve"> percent for </w:t>
      </w:r>
      <w:r w:rsidR="002614BE" w:rsidRPr="003C6DBD">
        <w:rPr>
          <w:rFonts w:ascii="Times New Roman" w:hAnsi="Times New Roman" w:cs="Times New Roman"/>
          <w:color w:val="0D0D0D" w:themeColor="text1" w:themeTint="F2"/>
          <w:sz w:val="24"/>
          <w:szCs w:val="24"/>
        </w:rPr>
        <w:t>SB</w:t>
      </w:r>
      <w:r w:rsidR="009E1863" w:rsidRPr="003C6DBD">
        <w:rPr>
          <w:rFonts w:ascii="Times New Roman" w:hAnsi="Times New Roman" w:cs="Times New Roman"/>
          <w:color w:val="0D0D0D" w:themeColor="text1" w:themeTint="F2"/>
          <w:sz w:val="24"/>
          <w:szCs w:val="24"/>
        </w:rPr>
        <w:t xml:space="preserve"> and ALL</w:t>
      </w:r>
      <w:r w:rsidRPr="003C6DBD">
        <w:rPr>
          <w:rFonts w:ascii="Times New Roman" w:hAnsi="Times New Roman" w:cs="Times New Roman"/>
          <w:color w:val="0D0D0D" w:themeColor="text1" w:themeTint="F2"/>
          <w:sz w:val="24"/>
          <w:szCs w:val="24"/>
        </w:rPr>
        <w:t xml:space="preserve"> companies.</w:t>
      </w:r>
    </w:p>
    <w:p w14:paraId="52AE5B08" w14:textId="148703D8" w:rsidR="00CD1173" w:rsidRPr="003C6DBD" w:rsidRDefault="00CD1173" w:rsidP="00CC0793">
      <w:pPr>
        <w:autoSpaceDE w:val="0"/>
        <w:autoSpaceDN w:val="0"/>
        <w:adjustRightInd w:val="0"/>
        <w:spacing w:after="0"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PB companies outperform </w:t>
      </w:r>
      <w:r w:rsidR="00953DB2" w:rsidRPr="003C6DBD">
        <w:rPr>
          <w:rFonts w:ascii="Times New Roman" w:hAnsi="Times New Roman" w:cs="Times New Roman"/>
          <w:color w:val="0D0D0D" w:themeColor="text1" w:themeTint="F2"/>
          <w:sz w:val="24"/>
          <w:szCs w:val="24"/>
        </w:rPr>
        <w:t>SB</w:t>
      </w:r>
      <w:r w:rsidRPr="003C6DBD">
        <w:rPr>
          <w:rFonts w:ascii="Times New Roman" w:hAnsi="Times New Roman" w:cs="Times New Roman"/>
          <w:color w:val="0D0D0D" w:themeColor="text1" w:themeTint="F2"/>
          <w:sz w:val="24"/>
          <w:szCs w:val="24"/>
        </w:rPr>
        <w:t xml:space="preserve"> companies in terms of liquidity and efficiency ratio. The median current ratio is 3.</w:t>
      </w:r>
      <w:r w:rsidR="00C01A50" w:rsidRPr="003C6DBD">
        <w:rPr>
          <w:rFonts w:ascii="Times New Roman" w:hAnsi="Times New Roman" w:cs="Times New Roman"/>
          <w:color w:val="0D0D0D" w:themeColor="text1" w:themeTint="F2"/>
          <w:sz w:val="24"/>
          <w:szCs w:val="24"/>
        </w:rPr>
        <w:t>220</w:t>
      </w:r>
      <w:r w:rsidRPr="003C6DBD">
        <w:rPr>
          <w:rFonts w:ascii="Times New Roman" w:hAnsi="Times New Roman" w:cs="Times New Roman"/>
          <w:color w:val="0D0D0D" w:themeColor="text1" w:themeTint="F2"/>
          <w:sz w:val="24"/>
          <w:szCs w:val="24"/>
        </w:rPr>
        <w:t xml:space="preserve"> for PB companies</w:t>
      </w:r>
      <w:r w:rsidR="00AD1157" w:rsidRPr="003C6DBD">
        <w:rPr>
          <w:rFonts w:ascii="Times New Roman" w:hAnsi="Times New Roman" w:cs="Times New Roman"/>
          <w:color w:val="0D0D0D" w:themeColor="text1" w:themeTint="F2"/>
          <w:sz w:val="24"/>
          <w:szCs w:val="24"/>
        </w:rPr>
        <w:t>,</w:t>
      </w:r>
      <w:r w:rsidRPr="003C6DBD">
        <w:rPr>
          <w:rFonts w:ascii="Times New Roman" w:hAnsi="Times New Roman" w:cs="Times New Roman"/>
          <w:color w:val="0D0D0D" w:themeColor="text1" w:themeTint="F2"/>
          <w:sz w:val="24"/>
          <w:szCs w:val="24"/>
        </w:rPr>
        <w:t xml:space="preserve"> 1.4</w:t>
      </w:r>
      <w:r w:rsidR="00C01A50" w:rsidRPr="003C6DBD">
        <w:rPr>
          <w:rFonts w:ascii="Times New Roman" w:hAnsi="Times New Roman" w:cs="Times New Roman"/>
          <w:color w:val="0D0D0D" w:themeColor="text1" w:themeTint="F2"/>
          <w:sz w:val="24"/>
          <w:szCs w:val="24"/>
        </w:rPr>
        <w:t>60</w:t>
      </w:r>
      <w:r w:rsidRPr="003C6DBD">
        <w:rPr>
          <w:rFonts w:ascii="Times New Roman" w:hAnsi="Times New Roman" w:cs="Times New Roman"/>
          <w:color w:val="0D0D0D" w:themeColor="text1" w:themeTint="F2"/>
          <w:sz w:val="24"/>
          <w:szCs w:val="24"/>
        </w:rPr>
        <w:t xml:space="preserve"> for </w:t>
      </w:r>
      <w:r w:rsidR="00953DB2" w:rsidRPr="003C6DBD">
        <w:rPr>
          <w:rFonts w:ascii="Times New Roman" w:hAnsi="Times New Roman" w:cs="Times New Roman"/>
          <w:color w:val="0D0D0D" w:themeColor="text1" w:themeTint="F2"/>
          <w:sz w:val="24"/>
          <w:szCs w:val="24"/>
        </w:rPr>
        <w:t>SB</w:t>
      </w:r>
      <w:r w:rsidRPr="003C6DBD">
        <w:rPr>
          <w:rFonts w:ascii="Times New Roman" w:hAnsi="Times New Roman" w:cs="Times New Roman"/>
          <w:color w:val="0D0D0D" w:themeColor="text1" w:themeTint="F2"/>
          <w:sz w:val="24"/>
          <w:szCs w:val="24"/>
        </w:rPr>
        <w:t xml:space="preserve"> companies</w:t>
      </w:r>
      <w:r w:rsidR="00972D92" w:rsidRPr="003C6DBD">
        <w:rPr>
          <w:rFonts w:ascii="Times New Roman" w:hAnsi="Times New Roman" w:cs="Times New Roman"/>
          <w:color w:val="0D0D0D" w:themeColor="text1" w:themeTint="F2"/>
          <w:sz w:val="24"/>
          <w:szCs w:val="24"/>
        </w:rPr>
        <w:t>,</w:t>
      </w:r>
      <w:r w:rsidR="00AD1157" w:rsidRPr="003C6DBD">
        <w:rPr>
          <w:rFonts w:ascii="Times New Roman" w:hAnsi="Times New Roman" w:cs="Times New Roman"/>
          <w:color w:val="0D0D0D" w:themeColor="text1" w:themeTint="F2"/>
          <w:sz w:val="24"/>
          <w:szCs w:val="24"/>
        </w:rPr>
        <w:t xml:space="preserve"> and 1.580 for ALL companies,</w:t>
      </w:r>
      <w:r w:rsidRPr="003C6DBD">
        <w:rPr>
          <w:rFonts w:ascii="Times New Roman" w:hAnsi="Times New Roman" w:cs="Times New Roman"/>
          <w:color w:val="0D0D0D" w:themeColor="text1" w:themeTint="F2"/>
          <w:sz w:val="24"/>
          <w:szCs w:val="24"/>
        </w:rPr>
        <w:t xml:space="preserve"> suggesting </w:t>
      </w:r>
      <w:r w:rsidR="00AD1157" w:rsidRPr="003C6DBD">
        <w:rPr>
          <w:rFonts w:ascii="Times New Roman" w:hAnsi="Times New Roman" w:cs="Times New Roman"/>
          <w:color w:val="0D0D0D" w:themeColor="text1" w:themeTint="F2"/>
          <w:sz w:val="24"/>
          <w:szCs w:val="24"/>
        </w:rPr>
        <w:t xml:space="preserve">that </w:t>
      </w:r>
      <w:r w:rsidRPr="003C6DBD">
        <w:rPr>
          <w:rFonts w:ascii="Times New Roman" w:hAnsi="Times New Roman" w:cs="Times New Roman"/>
          <w:color w:val="0D0D0D" w:themeColor="text1" w:themeTint="F2"/>
          <w:sz w:val="24"/>
          <w:szCs w:val="24"/>
        </w:rPr>
        <w:t xml:space="preserve">PB companies are in better position to pay off their short-term obligations than </w:t>
      </w:r>
      <w:r w:rsidR="00953DB2" w:rsidRPr="003C6DBD">
        <w:rPr>
          <w:rFonts w:ascii="Times New Roman" w:hAnsi="Times New Roman" w:cs="Times New Roman"/>
          <w:color w:val="0D0D0D" w:themeColor="text1" w:themeTint="F2"/>
          <w:sz w:val="24"/>
          <w:szCs w:val="24"/>
        </w:rPr>
        <w:t>SB</w:t>
      </w:r>
      <w:r w:rsidRPr="003C6DBD">
        <w:rPr>
          <w:rFonts w:ascii="Times New Roman" w:hAnsi="Times New Roman" w:cs="Times New Roman"/>
          <w:color w:val="0D0D0D" w:themeColor="text1" w:themeTint="F2"/>
          <w:sz w:val="24"/>
          <w:szCs w:val="24"/>
        </w:rPr>
        <w:t xml:space="preserve"> companies. The median asset turnover is 1.</w:t>
      </w:r>
      <w:r w:rsidR="00C01A50" w:rsidRPr="003C6DBD">
        <w:rPr>
          <w:rFonts w:ascii="Times New Roman" w:hAnsi="Times New Roman" w:cs="Times New Roman"/>
          <w:color w:val="0D0D0D" w:themeColor="text1" w:themeTint="F2"/>
          <w:sz w:val="24"/>
          <w:szCs w:val="24"/>
        </w:rPr>
        <w:t>355</w:t>
      </w:r>
      <w:r w:rsidRPr="003C6DBD">
        <w:rPr>
          <w:rFonts w:ascii="Times New Roman" w:hAnsi="Times New Roman" w:cs="Times New Roman"/>
          <w:color w:val="0D0D0D" w:themeColor="text1" w:themeTint="F2"/>
          <w:sz w:val="24"/>
          <w:szCs w:val="24"/>
        </w:rPr>
        <w:t xml:space="preserve"> for PB companies</w:t>
      </w:r>
      <w:r w:rsidR="00CE669C"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t>0.8</w:t>
      </w:r>
      <w:r w:rsidR="00C01A50" w:rsidRPr="003C6DBD">
        <w:rPr>
          <w:rFonts w:ascii="Times New Roman" w:hAnsi="Times New Roman" w:cs="Times New Roman"/>
          <w:color w:val="0D0D0D" w:themeColor="text1" w:themeTint="F2"/>
          <w:sz w:val="24"/>
          <w:szCs w:val="24"/>
        </w:rPr>
        <w:t>50</w:t>
      </w:r>
      <w:r w:rsidRPr="003C6DBD">
        <w:rPr>
          <w:rFonts w:ascii="Times New Roman" w:hAnsi="Times New Roman" w:cs="Times New Roman"/>
          <w:color w:val="0D0D0D" w:themeColor="text1" w:themeTint="F2"/>
          <w:sz w:val="24"/>
          <w:szCs w:val="24"/>
        </w:rPr>
        <w:t xml:space="preserve"> for </w:t>
      </w:r>
      <w:r w:rsidR="00953DB2" w:rsidRPr="003C6DBD">
        <w:rPr>
          <w:rFonts w:ascii="Times New Roman" w:hAnsi="Times New Roman" w:cs="Times New Roman"/>
          <w:color w:val="0D0D0D" w:themeColor="text1" w:themeTint="F2"/>
          <w:sz w:val="24"/>
          <w:szCs w:val="24"/>
        </w:rPr>
        <w:t>SB</w:t>
      </w:r>
      <w:r w:rsidRPr="003C6DBD">
        <w:rPr>
          <w:rFonts w:ascii="Times New Roman" w:hAnsi="Times New Roman" w:cs="Times New Roman"/>
          <w:color w:val="0D0D0D" w:themeColor="text1" w:themeTint="F2"/>
          <w:sz w:val="24"/>
          <w:szCs w:val="24"/>
        </w:rPr>
        <w:t xml:space="preserve"> companies</w:t>
      </w:r>
      <w:r w:rsidR="00CE669C" w:rsidRPr="003C6DBD">
        <w:rPr>
          <w:rFonts w:ascii="Times New Roman" w:hAnsi="Times New Roman" w:cs="Times New Roman"/>
          <w:color w:val="0D0D0D" w:themeColor="text1" w:themeTint="F2"/>
          <w:sz w:val="24"/>
          <w:szCs w:val="24"/>
        </w:rPr>
        <w:t>, and 1.040 for ALL companies</w:t>
      </w:r>
      <w:r w:rsidRPr="003C6DBD">
        <w:rPr>
          <w:rFonts w:ascii="Times New Roman" w:hAnsi="Times New Roman" w:cs="Times New Roman"/>
          <w:color w:val="0D0D0D" w:themeColor="text1" w:themeTint="F2"/>
          <w:sz w:val="24"/>
          <w:szCs w:val="24"/>
        </w:rPr>
        <w:t>. Similarly, the median inventory turnover is 8.8</w:t>
      </w:r>
      <w:r w:rsidR="00C01A50" w:rsidRPr="003C6DBD">
        <w:rPr>
          <w:rFonts w:ascii="Times New Roman" w:hAnsi="Times New Roman" w:cs="Times New Roman"/>
          <w:color w:val="0D0D0D" w:themeColor="text1" w:themeTint="F2"/>
          <w:sz w:val="24"/>
          <w:szCs w:val="24"/>
        </w:rPr>
        <w:t>50</w:t>
      </w:r>
      <w:r w:rsidRPr="003C6DBD">
        <w:rPr>
          <w:rFonts w:ascii="Times New Roman" w:hAnsi="Times New Roman" w:cs="Times New Roman"/>
          <w:color w:val="0D0D0D" w:themeColor="text1" w:themeTint="F2"/>
          <w:sz w:val="24"/>
          <w:szCs w:val="24"/>
        </w:rPr>
        <w:t xml:space="preserve"> for PB companies</w:t>
      </w:r>
      <w:r w:rsidR="00947604" w:rsidRPr="003C6DBD">
        <w:rPr>
          <w:rFonts w:ascii="Times New Roman" w:hAnsi="Times New Roman" w:cs="Times New Roman"/>
          <w:color w:val="0D0D0D" w:themeColor="text1" w:themeTint="F2"/>
          <w:sz w:val="24"/>
          <w:szCs w:val="24"/>
        </w:rPr>
        <w:t>,</w:t>
      </w:r>
      <w:r w:rsidRPr="003C6DBD">
        <w:rPr>
          <w:rFonts w:ascii="Times New Roman" w:hAnsi="Times New Roman" w:cs="Times New Roman"/>
          <w:color w:val="0D0D0D" w:themeColor="text1" w:themeTint="F2"/>
          <w:sz w:val="24"/>
          <w:szCs w:val="24"/>
        </w:rPr>
        <w:t xml:space="preserve"> </w:t>
      </w:r>
      <w:r w:rsidR="00C01A50" w:rsidRPr="003C6DBD">
        <w:rPr>
          <w:rFonts w:ascii="Times New Roman" w:hAnsi="Times New Roman" w:cs="Times New Roman"/>
          <w:color w:val="0D0D0D" w:themeColor="text1" w:themeTint="F2"/>
          <w:sz w:val="24"/>
          <w:szCs w:val="24"/>
        </w:rPr>
        <w:t>6</w:t>
      </w:r>
      <w:r w:rsidRPr="003C6DBD">
        <w:rPr>
          <w:rFonts w:ascii="Times New Roman" w:hAnsi="Times New Roman" w:cs="Times New Roman"/>
          <w:color w:val="0D0D0D" w:themeColor="text1" w:themeTint="F2"/>
          <w:sz w:val="24"/>
          <w:szCs w:val="24"/>
        </w:rPr>
        <w:t>.</w:t>
      </w:r>
      <w:r w:rsidR="00C01A50" w:rsidRPr="003C6DBD">
        <w:rPr>
          <w:rFonts w:ascii="Times New Roman" w:hAnsi="Times New Roman" w:cs="Times New Roman"/>
          <w:color w:val="0D0D0D" w:themeColor="text1" w:themeTint="F2"/>
          <w:sz w:val="24"/>
          <w:szCs w:val="24"/>
        </w:rPr>
        <w:t>960</w:t>
      </w:r>
      <w:r w:rsidRPr="003C6DBD">
        <w:rPr>
          <w:rFonts w:ascii="Times New Roman" w:hAnsi="Times New Roman" w:cs="Times New Roman"/>
          <w:color w:val="0D0D0D" w:themeColor="text1" w:themeTint="F2"/>
          <w:sz w:val="24"/>
          <w:szCs w:val="24"/>
        </w:rPr>
        <w:t xml:space="preserve"> for </w:t>
      </w:r>
      <w:r w:rsidR="00953DB2" w:rsidRPr="003C6DBD">
        <w:rPr>
          <w:rFonts w:ascii="Times New Roman" w:hAnsi="Times New Roman" w:cs="Times New Roman"/>
          <w:color w:val="0D0D0D" w:themeColor="text1" w:themeTint="F2"/>
          <w:sz w:val="24"/>
          <w:szCs w:val="24"/>
        </w:rPr>
        <w:t>SB</w:t>
      </w:r>
      <w:r w:rsidRPr="003C6DBD">
        <w:rPr>
          <w:rFonts w:ascii="Times New Roman" w:hAnsi="Times New Roman" w:cs="Times New Roman"/>
          <w:color w:val="0D0D0D" w:themeColor="text1" w:themeTint="F2"/>
          <w:sz w:val="24"/>
          <w:szCs w:val="24"/>
        </w:rPr>
        <w:t xml:space="preserve"> companies</w:t>
      </w:r>
      <w:r w:rsidR="00947604" w:rsidRPr="003C6DBD">
        <w:rPr>
          <w:rFonts w:ascii="Times New Roman" w:hAnsi="Times New Roman" w:cs="Times New Roman"/>
          <w:color w:val="0D0D0D" w:themeColor="text1" w:themeTint="F2"/>
          <w:sz w:val="24"/>
          <w:szCs w:val="24"/>
        </w:rPr>
        <w:t>, 7.185 for ALL companies</w:t>
      </w:r>
      <w:r w:rsidRPr="003C6DBD">
        <w:rPr>
          <w:rFonts w:ascii="Times New Roman" w:hAnsi="Times New Roman" w:cs="Times New Roman"/>
          <w:color w:val="0D0D0D" w:themeColor="text1" w:themeTint="F2"/>
          <w:sz w:val="24"/>
          <w:szCs w:val="24"/>
        </w:rPr>
        <w:t xml:space="preserve">. </w:t>
      </w:r>
      <w:r w:rsidR="00953DB2" w:rsidRPr="003C6DBD">
        <w:rPr>
          <w:rFonts w:ascii="Times New Roman" w:hAnsi="Times New Roman" w:cs="Times New Roman"/>
          <w:color w:val="0D0D0D" w:themeColor="text1" w:themeTint="F2"/>
          <w:sz w:val="24"/>
          <w:szCs w:val="24"/>
        </w:rPr>
        <w:t>SB</w:t>
      </w:r>
      <w:r w:rsidRPr="003C6DBD">
        <w:rPr>
          <w:rFonts w:ascii="Times New Roman" w:hAnsi="Times New Roman" w:cs="Times New Roman"/>
          <w:color w:val="0D0D0D" w:themeColor="text1" w:themeTint="F2"/>
          <w:sz w:val="24"/>
          <w:szCs w:val="24"/>
        </w:rPr>
        <w:t xml:space="preserve"> companies outperform PB companies in terms of solvency. The median total debt to equity ratio is 0.080 for PB companies,</w:t>
      </w:r>
      <w:r w:rsidR="00053617"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t>0.7</w:t>
      </w:r>
      <w:r w:rsidR="00C01A50" w:rsidRPr="003C6DBD">
        <w:rPr>
          <w:rFonts w:ascii="Times New Roman" w:hAnsi="Times New Roman" w:cs="Times New Roman"/>
          <w:color w:val="0D0D0D" w:themeColor="text1" w:themeTint="F2"/>
          <w:sz w:val="24"/>
          <w:szCs w:val="24"/>
        </w:rPr>
        <w:t>3</w:t>
      </w:r>
      <w:r w:rsidRPr="003C6DBD">
        <w:rPr>
          <w:rFonts w:ascii="Times New Roman" w:hAnsi="Times New Roman" w:cs="Times New Roman"/>
          <w:color w:val="0D0D0D" w:themeColor="text1" w:themeTint="F2"/>
          <w:sz w:val="24"/>
          <w:szCs w:val="24"/>
        </w:rPr>
        <w:t xml:space="preserve">0 for </w:t>
      </w:r>
      <w:r w:rsidR="00953DB2" w:rsidRPr="003C6DBD">
        <w:rPr>
          <w:rFonts w:ascii="Times New Roman" w:hAnsi="Times New Roman" w:cs="Times New Roman"/>
          <w:color w:val="0D0D0D" w:themeColor="text1" w:themeTint="F2"/>
          <w:sz w:val="24"/>
          <w:szCs w:val="24"/>
        </w:rPr>
        <w:t>SB</w:t>
      </w:r>
      <w:r w:rsidRPr="003C6DBD">
        <w:rPr>
          <w:rFonts w:ascii="Times New Roman" w:hAnsi="Times New Roman" w:cs="Times New Roman"/>
          <w:color w:val="0D0D0D" w:themeColor="text1" w:themeTint="F2"/>
          <w:sz w:val="24"/>
          <w:szCs w:val="24"/>
        </w:rPr>
        <w:t xml:space="preserve"> companies</w:t>
      </w:r>
      <w:r w:rsidR="00053617" w:rsidRPr="003C6DBD">
        <w:rPr>
          <w:rFonts w:ascii="Times New Roman" w:hAnsi="Times New Roman" w:cs="Times New Roman"/>
          <w:color w:val="0D0D0D" w:themeColor="text1" w:themeTint="F2"/>
          <w:sz w:val="24"/>
          <w:szCs w:val="24"/>
        </w:rPr>
        <w:t>, and 0.520 for ALL companies</w:t>
      </w:r>
      <w:r w:rsidRPr="003C6DBD">
        <w:rPr>
          <w:rFonts w:ascii="Times New Roman" w:hAnsi="Times New Roman" w:cs="Times New Roman"/>
          <w:color w:val="0D0D0D" w:themeColor="text1" w:themeTint="F2"/>
          <w:sz w:val="24"/>
          <w:szCs w:val="24"/>
        </w:rPr>
        <w:t>. The lower total debt to equity ratio for PB companies could be attributed to the relatively immature stage of the biofuel venture, making banks or similar institutions skeptical to provide loans to PB companies. The median assets to equity ratio are 1.2</w:t>
      </w:r>
      <w:r w:rsidR="00C01A50" w:rsidRPr="003C6DBD">
        <w:rPr>
          <w:rFonts w:ascii="Times New Roman" w:hAnsi="Times New Roman" w:cs="Times New Roman"/>
          <w:color w:val="0D0D0D" w:themeColor="text1" w:themeTint="F2"/>
          <w:sz w:val="24"/>
          <w:szCs w:val="24"/>
        </w:rPr>
        <w:t>3</w:t>
      </w:r>
      <w:r w:rsidRPr="003C6DBD">
        <w:rPr>
          <w:rFonts w:ascii="Times New Roman" w:hAnsi="Times New Roman" w:cs="Times New Roman"/>
          <w:color w:val="0D0D0D" w:themeColor="text1" w:themeTint="F2"/>
          <w:sz w:val="24"/>
          <w:szCs w:val="24"/>
        </w:rPr>
        <w:t>0 for PB companies, 2.</w:t>
      </w:r>
      <w:r w:rsidR="00C01A50" w:rsidRPr="003C6DBD">
        <w:rPr>
          <w:rFonts w:ascii="Times New Roman" w:hAnsi="Times New Roman" w:cs="Times New Roman"/>
          <w:color w:val="0D0D0D" w:themeColor="text1" w:themeTint="F2"/>
          <w:sz w:val="24"/>
          <w:szCs w:val="24"/>
        </w:rPr>
        <w:t>460</w:t>
      </w:r>
      <w:r w:rsidRPr="003C6DBD">
        <w:rPr>
          <w:rFonts w:ascii="Times New Roman" w:hAnsi="Times New Roman" w:cs="Times New Roman"/>
          <w:color w:val="0D0D0D" w:themeColor="text1" w:themeTint="F2"/>
          <w:sz w:val="24"/>
          <w:szCs w:val="24"/>
        </w:rPr>
        <w:t xml:space="preserve"> for </w:t>
      </w:r>
      <w:r w:rsidR="00953DB2" w:rsidRPr="003C6DBD">
        <w:rPr>
          <w:rFonts w:ascii="Times New Roman" w:hAnsi="Times New Roman" w:cs="Times New Roman"/>
          <w:color w:val="0D0D0D" w:themeColor="text1" w:themeTint="F2"/>
          <w:sz w:val="24"/>
          <w:szCs w:val="24"/>
        </w:rPr>
        <w:t>SB</w:t>
      </w:r>
      <w:r w:rsidRPr="003C6DBD">
        <w:rPr>
          <w:rFonts w:ascii="Times New Roman" w:hAnsi="Times New Roman" w:cs="Times New Roman"/>
          <w:color w:val="0D0D0D" w:themeColor="text1" w:themeTint="F2"/>
          <w:sz w:val="24"/>
          <w:szCs w:val="24"/>
        </w:rPr>
        <w:t xml:space="preserve"> companies</w:t>
      </w:r>
      <w:r w:rsidR="00053617" w:rsidRPr="003C6DBD">
        <w:rPr>
          <w:rFonts w:ascii="Times New Roman" w:hAnsi="Times New Roman" w:cs="Times New Roman"/>
          <w:color w:val="0D0D0D" w:themeColor="text1" w:themeTint="F2"/>
          <w:sz w:val="24"/>
          <w:szCs w:val="24"/>
        </w:rPr>
        <w:t>, 2.130 for ALL companies</w:t>
      </w:r>
      <w:r w:rsidRPr="003C6DBD">
        <w:rPr>
          <w:rFonts w:ascii="Times New Roman" w:hAnsi="Times New Roman" w:cs="Times New Roman"/>
          <w:color w:val="0D0D0D" w:themeColor="text1" w:themeTint="F2"/>
          <w:sz w:val="24"/>
          <w:szCs w:val="24"/>
        </w:rPr>
        <w:t>.</w:t>
      </w:r>
    </w:p>
    <w:p w14:paraId="05E72929" w14:textId="10DA08DE" w:rsidR="00CD1173" w:rsidRPr="003C6DBD" w:rsidRDefault="00953DB2" w:rsidP="00CC0793">
      <w:pPr>
        <w:autoSpaceDE w:val="0"/>
        <w:autoSpaceDN w:val="0"/>
        <w:adjustRightInd w:val="0"/>
        <w:spacing w:after="0"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lastRenderedPageBreak/>
        <w:t>SB</w:t>
      </w:r>
      <w:r w:rsidR="00CD1173" w:rsidRPr="003C6DBD">
        <w:rPr>
          <w:rFonts w:ascii="Times New Roman" w:hAnsi="Times New Roman" w:cs="Times New Roman"/>
          <w:color w:val="0D0D0D" w:themeColor="text1" w:themeTint="F2"/>
          <w:sz w:val="24"/>
          <w:szCs w:val="24"/>
        </w:rPr>
        <w:t xml:space="preserve"> companies outperform PB companies in terms of market ratios. The median value of price to earnings ratio is 1</w:t>
      </w:r>
      <w:r w:rsidR="009F39A6" w:rsidRPr="003C6DBD">
        <w:rPr>
          <w:rFonts w:ascii="Times New Roman" w:hAnsi="Times New Roman" w:cs="Times New Roman"/>
          <w:color w:val="0D0D0D" w:themeColor="text1" w:themeTint="F2"/>
          <w:sz w:val="24"/>
          <w:szCs w:val="24"/>
        </w:rPr>
        <w:t>2</w:t>
      </w:r>
      <w:r w:rsidR="00CD1173" w:rsidRPr="003C6DBD">
        <w:rPr>
          <w:rFonts w:ascii="Times New Roman" w:hAnsi="Times New Roman" w:cs="Times New Roman"/>
          <w:color w:val="0D0D0D" w:themeColor="text1" w:themeTint="F2"/>
          <w:sz w:val="24"/>
          <w:szCs w:val="24"/>
        </w:rPr>
        <w:t>.</w:t>
      </w:r>
      <w:r w:rsidR="009F39A6" w:rsidRPr="003C6DBD">
        <w:rPr>
          <w:rFonts w:ascii="Times New Roman" w:hAnsi="Times New Roman" w:cs="Times New Roman"/>
          <w:color w:val="0D0D0D" w:themeColor="text1" w:themeTint="F2"/>
          <w:sz w:val="24"/>
          <w:szCs w:val="24"/>
        </w:rPr>
        <w:t>039</w:t>
      </w:r>
      <w:r w:rsidR="00CD1173" w:rsidRPr="003C6DBD">
        <w:rPr>
          <w:rFonts w:ascii="Times New Roman" w:hAnsi="Times New Roman" w:cs="Times New Roman"/>
          <w:color w:val="0D0D0D" w:themeColor="text1" w:themeTint="F2"/>
          <w:sz w:val="24"/>
          <w:szCs w:val="24"/>
        </w:rPr>
        <w:t xml:space="preserve"> for PB companies</w:t>
      </w:r>
      <w:r w:rsidR="007054EC" w:rsidRPr="003C6DBD">
        <w:rPr>
          <w:rFonts w:ascii="Times New Roman" w:hAnsi="Times New Roman" w:cs="Times New Roman"/>
          <w:color w:val="0D0D0D" w:themeColor="text1" w:themeTint="F2"/>
          <w:sz w:val="24"/>
          <w:szCs w:val="24"/>
        </w:rPr>
        <w:t>,</w:t>
      </w:r>
      <w:r w:rsidR="00CD1173" w:rsidRPr="003C6DBD">
        <w:rPr>
          <w:rFonts w:ascii="Times New Roman" w:hAnsi="Times New Roman" w:cs="Times New Roman"/>
          <w:color w:val="0D0D0D" w:themeColor="text1" w:themeTint="F2"/>
          <w:sz w:val="24"/>
          <w:szCs w:val="24"/>
        </w:rPr>
        <w:t xml:space="preserve"> 17.279 for </w:t>
      </w:r>
      <w:r w:rsidRPr="003C6DBD">
        <w:rPr>
          <w:rFonts w:ascii="Times New Roman" w:hAnsi="Times New Roman" w:cs="Times New Roman"/>
          <w:color w:val="0D0D0D" w:themeColor="text1" w:themeTint="F2"/>
          <w:sz w:val="24"/>
          <w:szCs w:val="24"/>
        </w:rPr>
        <w:t>SB</w:t>
      </w:r>
      <w:r w:rsidR="00CD1173" w:rsidRPr="003C6DBD">
        <w:rPr>
          <w:rFonts w:ascii="Times New Roman" w:hAnsi="Times New Roman" w:cs="Times New Roman"/>
          <w:color w:val="0D0D0D" w:themeColor="text1" w:themeTint="F2"/>
          <w:sz w:val="24"/>
          <w:szCs w:val="24"/>
        </w:rPr>
        <w:t xml:space="preserve"> companies</w:t>
      </w:r>
      <w:r w:rsidR="007054EC" w:rsidRPr="003C6DBD">
        <w:rPr>
          <w:rFonts w:ascii="Times New Roman" w:hAnsi="Times New Roman" w:cs="Times New Roman"/>
          <w:color w:val="0D0D0D" w:themeColor="text1" w:themeTint="F2"/>
          <w:sz w:val="24"/>
          <w:szCs w:val="24"/>
        </w:rPr>
        <w:t>, and 15.808 for ALL companies</w:t>
      </w:r>
      <w:r w:rsidR="00CD1173" w:rsidRPr="003C6DBD">
        <w:rPr>
          <w:rFonts w:ascii="Times New Roman" w:hAnsi="Times New Roman" w:cs="Times New Roman"/>
          <w:color w:val="0D0D0D" w:themeColor="text1" w:themeTint="F2"/>
          <w:sz w:val="24"/>
          <w:szCs w:val="24"/>
        </w:rPr>
        <w:t xml:space="preserve">. This result suggests that PB companies have the potential to generate </w:t>
      </w:r>
      <w:r w:rsidR="008D706B" w:rsidRPr="003C6DBD">
        <w:rPr>
          <w:rFonts w:ascii="Times New Roman" w:hAnsi="Times New Roman" w:cs="Times New Roman"/>
          <w:color w:val="0D0D0D" w:themeColor="text1" w:themeTint="F2"/>
          <w:sz w:val="24"/>
          <w:szCs w:val="24"/>
        </w:rPr>
        <w:t>the same</w:t>
      </w:r>
      <w:r w:rsidR="00CD1173" w:rsidRPr="003C6DBD">
        <w:rPr>
          <w:rFonts w:ascii="Times New Roman" w:hAnsi="Times New Roman" w:cs="Times New Roman"/>
          <w:color w:val="0D0D0D" w:themeColor="text1" w:themeTint="F2"/>
          <w:sz w:val="24"/>
          <w:szCs w:val="24"/>
        </w:rPr>
        <w:t xml:space="preserve"> amount of earnings by lower investment in PB companies as compared to </w:t>
      </w:r>
      <w:r w:rsidRPr="003C6DBD">
        <w:rPr>
          <w:rFonts w:ascii="Times New Roman" w:hAnsi="Times New Roman" w:cs="Times New Roman"/>
          <w:color w:val="0D0D0D" w:themeColor="text1" w:themeTint="F2"/>
          <w:sz w:val="24"/>
          <w:szCs w:val="24"/>
        </w:rPr>
        <w:t>SB</w:t>
      </w:r>
      <w:r w:rsidR="00CD1173" w:rsidRPr="003C6DBD">
        <w:rPr>
          <w:rFonts w:ascii="Times New Roman" w:hAnsi="Times New Roman" w:cs="Times New Roman"/>
          <w:color w:val="0D0D0D" w:themeColor="text1" w:themeTint="F2"/>
          <w:sz w:val="24"/>
          <w:szCs w:val="24"/>
        </w:rPr>
        <w:t xml:space="preserve"> companies. However, the lower P/E ratio also means that PB companies could be riskier than </w:t>
      </w:r>
      <w:r w:rsidRPr="003C6DBD">
        <w:rPr>
          <w:rFonts w:ascii="Times New Roman" w:hAnsi="Times New Roman" w:cs="Times New Roman"/>
          <w:color w:val="0D0D0D" w:themeColor="text1" w:themeTint="F2"/>
          <w:sz w:val="24"/>
          <w:szCs w:val="24"/>
        </w:rPr>
        <w:t>SB</w:t>
      </w:r>
      <w:r w:rsidR="00CD1173" w:rsidRPr="003C6DBD">
        <w:rPr>
          <w:rFonts w:ascii="Times New Roman" w:hAnsi="Times New Roman" w:cs="Times New Roman"/>
          <w:color w:val="0D0D0D" w:themeColor="text1" w:themeTint="F2"/>
          <w:sz w:val="24"/>
          <w:szCs w:val="24"/>
        </w:rPr>
        <w:t xml:space="preserve"> companies. The median value for EPS is </w:t>
      </w:r>
      <w:r w:rsidR="009F39A6" w:rsidRPr="003C6DBD">
        <w:rPr>
          <w:rFonts w:ascii="Times New Roman" w:hAnsi="Times New Roman" w:cs="Times New Roman"/>
          <w:color w:val="0D0D0D" w:themeColor="text1" w:themeTint="F2"/>
          <w:sz w:val="24"/>
          <w:szCs w:val="24"/>
        </w:rPr>
        <w:t>2</w:t>
      </w:r>
      <w:r w:rsidR="00CD1173" w:rsidRPr="003C6DBD">
        <w:rPr>
          <w:rFonts w:ascii="Times New Roman" w:hAnsi="Times New Roman" w:cs="Times New Roman"/>
          <w:color w:val="0D0D0D" w:themeColor="text1" w:themeTint="F2"/>
          <w:sz w:val="24"/>
          <w:szCs w:val="24"/>
        </w:rPr>
        <w:t>.</w:t>
      </w:r>
      <w:r w:rsidR="009F39A6" w:rsidRPr="003C6DBD">
        <w:rPr>
          <w:rFonts w:ascii="Times New Roman" w:hAnsi="Times New Roman" w:cs="Times New Roman"/>
          <w:color w:val="0D0D0D" w:themeColor="text1" w:themeTint="F2"/>
          <w:sz w:val="24"/>
          <w:szCs w:val="24"/>
        </w:rPr>
        <w:t>457</w:t>
      </w:r>
      <w:r w:rsidR="00CD1173" w:rsidRPr="003C6DBD">
        <w:rPr>
          <w:rFonts w:ascii="Times New Roman" w:hAnsi="Times New Roman" w:cs="Times New Roman"/>
          <w:color w:val="0D0D0D" w:themeColor="text1" w:themeTint="F2"/>
          <w:sz w:val="24"/>
          <w:szCs w:val="24"/>
        </w:rPr>
        <w:t xml:space="preserve"> for PB companies, 2.</w:t>
      </w:r>
      <w:r w:rsidR="009F39A6" w:rsidRPr="003C6DBD">
        <w:rPr>
          <w:rFonts w:ascii="Times New Roman" w:hAnsi="Times New Roman" w:cs="Times New Roman"/>
          <w:color w:val="0D0D0D" w:themeColor="text1" w:themeTint="F2"/>
          <w:sz w:val="24"/>
          <w:szCs w:val="24"/>
        </w:rPr>
        <w:t>138</w:t>
      </w:r>
      <w:r w:rsidR="00CD1173" w:rsidRPr="003C6DBD">
        <w:rPr>
          <w:rFonts w:ascii="Times New Roman" w:hAnsi="Times New Roman" w:cs="Times New Roman"/>
          <w:color w:val="0D0D0D" w:themeColor="text1" w:themeTint="F2"/>
          <w:sz w:val="24"/>
          <w:szCs w:val="24"/>
        </w:rPr>
        <w:t xml:space="preserve"> for </w:t>
      </w:r>
      <w:r w:rsidRPr="003C6DBD">
        <w:rPr>
          <w:rFonts w:ascii="Times New Roman" w:hAnsi="Times New Roman" w:cs="Times New Roman"/>
          <w:color w:val="0D0D0D" w:themeColor="text1" w:themeTint="F2"/>
          <w:sz w:val="24"/>
          <w:szCs w:val="24"/>
        </w:rPr>
        <w:t>SB</w:t>
      </w:r>
      <w:r w:rsidR="00CD1173" w:rsidRPr="003C6DBD">
        <w:rPr>
          <w:rFonts w:ascii="Times New Roman" w:hAnsi="Times New Roman" w:cs="Times New Roman"/>
          <w:color w:val="0D0D0D" w:themeColor="text1" w:themeTint="F2"/>
          <w:sz w:val="24"/>
          <w:szCs w:val="24"/>
        </w:rPr>
        <w:t xml:space="preserve"> companies</w:t>
      </w:r>
      <w:r w:rsidR="007054EC" w:rsidRPr="003C6DBD">
        <w:rPr>
          <w:rFonts w:ascii="Times New Roman" w:hAnsi="Times New Roman" w:cs="Times New Roman"/>
          <w:color w:val="0D0D0D" w:themeColor="text1" w:themeTint="F2"/>
          <w:sz w:val="24"/>
          <w:szCs w:val="24"/>
        </w:rPr>
        <w:t>, and 2.225 for ALL companies</w:t>
      </w:r>
      <w:r w:rsidR="00CD1173" w:rsidRPr="003C6DBD">
        <w:rPr>
          <w:rFonts w:ascii="Times New Roman" w:hAnsi="Times New Roman" w:cs="Times New Roman"/>
          <w:color w:val="0D0D0D" w:themeColor="text1" w:themeTint="F2"/>
          <w:sz w:val="24"/>
          <w:szCs w:val="24"/>
        </w:rPr>
        <w:t>.</w:t>
      </w:r>
    </w:p>
    <w:p w14:paraId="374D51E3" w14:textId="6225225E" w:rsidR="00962FE9" w:rsidRPr="003C6DBD" w:rsidRDefault="009F39A6" w:rsidP="00AE5159">
      <w:pPr>
        <w:autoSpaceDE w:val="0"/>
        <w:autoSpaceDN w:val="0"/>
        <w:adjustRightInd w:val="0"/>
        <w:spacing w:after="0"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PB companies outperform SB companies in</w:t>
      </w:r>
      <w:r w:rsidR="00EA2ECC" w:rsidRPr="003C6DBD">
        <w:rPr>
          <w:rFonts w:ascii="Times New Roman" w:hAnsi="Times New Roman" w:cs="Times New Roman"/>
          <w:color w:val="0D0D0D" w:themeColor="text1" w:themeTint="F2"/>
          <w:sz w:val="24"/>
          <w:szCs w:val="24"/>
        </w:rPr>
        <w:t xml:space="preserve"> terms of</w:t>
      </w:r>
      <w:r w:rsidRPr="003C6DBD">
        <w:rPr>
          <w:rFonts w:ascii="Times New Roman" w:hAnsi="Times New Roman" w:cs="Times New Roman"/>
          <w:color w:val="0D0D0D" w:themeColor="text1" w:themeTint="F2"/>
          <w:sz w:val="24"/>
          <w:szCs w:val="24"/>
        </w:rPr>
        <w:t xml:space="preserve"> CFO to CAPEX and </w:t>
      </w:r>
      <w:r w:rsidR="00953DB2" w:rsidRPr="003C6DBD">
        <w:rPr>
          <w:rFonts w:ascii="Times New Roman" w:hAnsi="Times New Roman" w:cs="Times New Roman"/>
          <w:color w:val="0D0D0D" w:themeColor="text1" w:themeTint="F2"/>
          <w:sz w:val="24"/>
          <w:szCs w:val="24"/>
        </w:rPr>
        <w:t xml:space="preserve">SB </w:t>
      </w:r>
      <w:r w:rsidR="00CD1173" w:rsidRPr="003C6DBD">
        <w:rPr>
          <w:rFonts w:ascii="Times New Roman" w:hAnsi="Times New Roman" w:cs="Times New Roman"/>
          <w:color w:val="0D0D0D" w:themeColor="text1" w:themeTint="F2"/>
          <w:sz w:val="24"/>
          <w:szCs w:val="24"/>
        </w:rPr>
        <w:t>companies outperform PB companies in</w:t>
      </w:r>
      <w:r w:rsidR="00EA2ECC" w:rsidRPr="003C6DBD">
        <w:rPr>
          <w:rFonts w:ascii="Times New Roman" w:hAnsi="Times New Roman" w:cs="Times New Roman"/>
          <w:color w:val="0D0D0D" w:themeColor="text1" w:themeTint="F2"/>
          <w:sz w:val="24"/>
          <w:szCs w:val="24"/>
        </w:rPr>
        <w:t xml:space="preserve"> terms of</w:t>
      </w:r>
      <w:r w:rsidRPr="003C6DBD">
        <w:rPr>
          <w:rFonts w:ascii="Times New Roman" w:hAnsi="Times New Roman" w:cs="Times New Roman"/>
          <w:color w:val="0D0D0D" w:themeColor="text1" w:themeTint="F2"/>
          <w:sz w:val="24"/>
          <w:szCs w:val="24"/>
        </w:rPr>
        <w:t xml:space="preserve"> CAPEX to D&amp;A</w:t>
      </w:r>
      <w:r w:rsidR="00CD1173" w:rsidRPr="003C6DBD">
        <w:rPr>
          <w:rFonts w:ascii="Times New Roman" w:hAnsi="Times New Roman" w:cs="Times New Roman"/>
          <w:color w:val="0D0D0D" w:themeColor="text1" w:themeTint="F2"/>
          <w:sz w:val="24"/>
          <w:szCs w:val="24"/>
        </w:rPr>
        <w:t>. The median value of CFO to CAPEX is 1.6</w:t>
      </w:r>
      <w:r w:rsidR="00DA45E3" w:rsidRPr="003C6DBD">
        <w:rPr>
          <w:rFonts w:ascii="Times New Roman" w:hAnsi="Times New Roman" w:cs="Times New Roman"/>
          <w:color w:val="0D0D0D" w:themeColor="text1" w:themeTint="F2"/>
          <w:sz w:val="24"/>
          <w:szCs w:val="24"/>
        </w:rPr>
        <w:t>2</w:t>
      </w:r>
      <w:r w:rsidR="00CD1173" w:rsidRPr="003C6DBD">
        <w:rPr>
          <w:rFonts w:ascii="Times New Roman" w:hAnsi="Times New Roman" w:cs="Times New Roman"/>
          <w:color w:val="0D0D0D" w:themeColor="text1" w:themeTint="F2"/>
          <w:sz w:val="24"/>
          <w:szCs w:val="24"/>
        </w:rPr>
        <w:t xml:space="preserve">0 for </w:t>
      </w:r>
      <w:r w:rsidR="00953DB2" w:rsidRPr="003C6DBD">
        <w:rPr>
          <w:rFonts w:ascii="Times New Roman" w:hAnsi="Times New Roman" w:cs="Times New Roman"/>
          <w:color w:val="0D0D0D" w:themeColor="text1" w:themeTint="F2"/>
          <w:sz w:val="24"/>
          <w:szCs w:val="24"/>
        </w:rPr>
        <w:t>SB</w:t>
      </w:r>
      <w:r w:rsidR="00CD1173" w:rsidRPr="003C6DBD">
        <w:rPr>
          <w:rFonts w:ascii="Times New Roman" w:hAnsi="Times New Roman" w:cs="Times New Roman"/>
          <w:color w:val="0D0D0D" w:themeColor="text1" w:themeTint="F2"/>
          <w:sz w:val="24"/>
          <w:szCs w:val="24"/>
        </w:rPr>
        <w:t xml:space="preserve"> companies, and </w:t>
      </w:r>
      <w:r w:rsidR="00DA45E3" w:rsidRPr="003C6DBD">
        <w:rPr>
          <w:rFonts w:ascii="Times New Roman" w:hAnsi="Times New Roman" w:cs="Times New Roman"/>
          <w:color w:val="0D0D0D" w:themeColor="text1" w:themeTint="F2"/>
          <w:sz w:val="24"/>
          <w:szCs w:val="24"/>
        </w:rPr>
        <w:t>5</w:t>
      </w:r>
      <w:r w:rsidR="00CD1173" w:rsidRPr="003C6DBD">
        <w:rPr>
          <w:rFonts w:ascii="Times New Roman" w:hAnsi="Times New Roman" w:cs="Times New Roman"/>
          <w:color w:val="0D0D0D" w:themeColor="text1" w:themeTint="F2"/>
          <w:sz w:val="24"/>
          <w:szCs w:val="24"/>
        </w:rPr>
        <w:t>.</w:t>
      </w:r>
      <w:r w:rsidR="00DA45E3" w:rsidRPr="003C6DBD">
        <w:rPr>
          <w:rFonts w:ascii="Times New Roman" w:hAnsi="Times New Roman" w:cs="Times New Roman"/>
          <w:color w:val="0D0D0D" w:themeColor="text1" w:themeTint="F2"/>
          <w:sz w:val="24"/>
          <w:szCs w:val="24"/>
        </w:rPr>
        <w:t>215</w:t>
      </w:r>
      <w:r w:rsidR="00CD1173" w:rsidRPr="003C6DBD">
        <w:rPr>
          <w:rFonts w:ascii="Times New Roman" w:hAnsi="Times New Roman" w:cs="Times New Roman"/>
          <w:color w:val="0D0D0D" w:themeColor="text1" w:themeTint="F2"/>
          <w:sz w:val="24"/>
          <w:szCs w:val="24"/>
        </w:rPr>
        <w:t xml:space="preserve"> for PB companies meaning PB companies can easily cover the CAPEX by cash generated from operations. CFO is</w:t>
      </w:r>
      <w:r w:rsidR="00DA45E3" w:rsidRPr="003C6DBD">
        <w:rPr>
          <w:rFonts w:ascii="Times New Roman" w:hAnsi="Times New Roman" w:cs="Times New Roman"/>
          <w:color w:val="0D0D0D" w:themeColor="text1" w:themeTint="F2"/>
          <w:sz w:val="24"/>
          <w:szCs w:val="24"/>
        </w:rPr>
        <w:t xml:space="preserve"> nearly three</w:t>
      </w:r>
      <w:r w:rsidR="00CD1173" w:rsidRPr="003C6DBD">
        <w:rPr>
          <w:rFonts w:ascii="Times New Roman" w:hAnsi="Times New Roman" w:cs="Times New Roman"/>
          <w:color w:val="0D0D0D" w:themeColor="text1" w:themeTint="F2"/>
          <w:sz w:val="24"/>
          <w:szCs w:val="24"/>
        </w:rPr>
        <w:t xml:space="preserve"> times higher than CAPEX in terms of PB companies. </w:t>
      </w:r>
      <w:r w:rsidR="00707D9A" w:rsidRPr="003C6DBD">
        <w:rPr>
          <w:rFonts w:ascii="Times New Roman" w:hAnsi="Times New Roman" w:cs="Times New Roman"/>
          <w:color w:val="0D0D0D" w:themeColor="text1" w:themeTint="F2"/>
          <w:sz w:val="24"/>
          <w:szCs w:val="24"/>
        </w:rPr>
        <w:t>T</w:t>
      </w:r>
      <w:r w:rsidR="00CD1173" w:rsidRPr="003C6DBD">
        <w:rPr>
          <w:rFonts w:ascii="Times New Roman" w:hAnsi="Times New Roman" w:cs="Times New Roman"/>
          <w:color w:val="0D0D0D" w:themeColor="text1" w:themeTint="F2"/>
          <w:sz w:val="24"/>
          <w:szCs w:val="24"/>
        </w:rPr>
        <w:t xml:space="preserve">he median value of CAPEX to D&amp;A is 0.900 for </w:t>
      </w:r>
      <w:r w:rsidR="00953DB2" w:rsidRPr="003C6DBD">
        <w:rPr>
          <w:rFonts w:ascii="Times New Roman" w:hAnsi="Times New Roman" w:cs="Times New Roman"/>
          <w:color w:val="0D0D0D" w:themeColor="text1" w:themeTint="F2"/>
          <w:sz w:val="24"/>
          <w:szCs w:val="24"/>
        </w:rPr>
        <w:t>SB</w:t>
      </w:r>
      <w:r w:rsidR="00CD1173" w:rsidRPr="003C6DBD">
        <w:rPr>
          <w:rFonts w:ascii="Times New Roman" w:hAnsi="Times New Roman" w:cs="Times New Roman"/>
          <w:color w:val="0D0D0D" w:themeColor="text1" w:themeTint="F2"/>
          <w:sz w:val="24"/>
          <w:szCs w:val="24"/>
        </w:rPr>
        <w:t xml:space="preserve"> companies, and 0.</w:t>
      </w:r>
      <w:r w:rsidR="00707D9A" w:rsidRPr="003C6DBD">
        <w:rPr>
          <w:rFonts w:ascii="Times New Roman" w:hAnsi="Times New Roman" w:cs="Times New Roman"/>
          <w:color w:val="0D0D0D" w:themeColor="text1" w:themeTint="F2"/>
          <w:sz w:val="24"/>
          <w:szCs w:val="24"/>
        </w:rPr>
        <w:t>550</w:t>
      </w:r>
      <w:r w:rsidR="00CD1173" w:rsidRPr="003C6DBD">
        <w:rPr>
          <w:rFonts w:ascii="Times New Roman" w:hAnsi="Times New Roman" w:cs="Times New Roman"/>
          <w:color w:val="0D0D0D" w:themeColor="text1" w:themeTint="F2"/>
          <w:sz w:val="24"/>
          <w:szCs w:val="24"/>
        </w:rPr>
        <w:t xml:space="preserve"> for PB companies. This result suggests </w:t>
      </w:r>
      <w:r w:rsidR="00953DB2" w:rsidRPr="003C6DBD">
        <w:rPr>
          <w:rFonts w:ascii="Times New Roman" w:hAnsi="Times New Roman" w:cs="Times New Roman"/>
          <w:color w:val="0D0D0D" w:themeColor="text1" w:themeTint="F2"/>
          <w:sz w:val="24"/>
          <w:szCs w:val="24"/>
        </w:rPr>
        <w:t>SB</w:t>
      </w:r>
      <w:r w:rsidR="00CD1173" w:rsidRPr="003C6DBD">
        <w:rPr>
          <w:rFonts w:ascii="Times New Roman" w:hAnsi="Times New Roman" w:cs="Times New Roman"/>
          <w:color w:val="0D0D0D" w:themeColor="text1" w:themeTint="F2"/>
          <w:sz w:val="24"/>
          <w:szCs w:val="24"/>
        </w:rPr>
        <w:t xml:space="preserve"> companies invest more than PB companies in relative terms of </w:t>
      </w:r>
      <w:r w:rsidR="00B05286" w:rsidRPr="003C6DBD">
        <w:rPr>
          <w:rFonts w:ascii="Times New Roman" w:hAnsi="Times New Roman" w:cs="Times New Roman"/>
          <w:color w:val="0D0D0D" w:themeColor="text1" w:themeTint="F2"/>
          <w:sz w:val="24"/>
          <w:szCs w:val="24"/>
        </w:rPr>
        <w:t>property, plant, and equipment (PP&amp;E)</w:t>
      </w:r>
      <w:r w:rsidR="00CD1173" w:rsidRPr="003C6DBD">
        <w:rPr>
          <w:rFonts w:ascii="Times New Roman" w:hAnsi="Times New Roman" w:cs="Times New Roman"/>
          <w:color w:val="0D0D0D" w:themeColor="text1" w:themeTint="F2"/>
          <w:sz w:val="24"/>
          <w:szCs w:val="24"/>
        </w:rPr>
        <w:t xml:space="preserve"> and D&amp;A. However, the CAPEX to D&amp;A ratio is less than 1.0, which suggests those companies fail to replace their PP&amp;E as much as the depreciated value of the PP&amp;E.</w:t>
      </w:r>
    </w:p>
    <w:p w14:paraId="765A1653" w14:textId="343BB34B" w:rsidR="003E7FE9" w:rsidRPr="003C6DBD" w:rsidRDefault="00F730FC" w:rsidP="00CC0793">
      <w:pPr>
        <w:pStyle w:val="Heading4"/>
        <w:rPr>
          <w:color w:val="0D0D0D" w:themeColor="text1" w:themeTint="F2"/>
        </w:rPr>
      </w:pPr>
      <w:r w:rsidRPr="003C6DBD">
        <w:rPr>
          <w:color w:val="0D0D0D" w:themeColor="text1" w:themeTint="F2"/>
        </w:rPr>
        <w:t>5.</w:t>
      </w:r>
      <w:r w:rsidR="00AE5159" w:rsidRPr="003C6DBD">
        <w:rPr>
          <w:color w:val="0D0D0D" w:themeColor="text1" w:themeTint="F2"/>
        </w:rPr>
        <w:t>3</w:t>
      </w:r>
      <w:r w:rsidRPr="003C6DBD">
        <w:rPr>
          <w:color w:val="0D0D0D" w:themeColor="text1" w:themeTint="F2"/>
        </w:rPr>
        <w:t xml:space="preserve">.2 Median test </w:t>
      </w:r>
    </w:p>
    <w:p w14:paraId="2B938FF9" w14:textId="2D4AD6E0" w:rsidR="00A97293" w:rsidRPr="003C6DBD" w:rsidRDefault="00B978AA" w:rsidP="00A97293">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b/>
        <w:t xml:space="preserve">Table </w:t>
      </w:r>
      <w:r w:rsidR="00EC6C74" w:rsidRPr="003C6DBD">
        <w:rPr>
          <w:rFonts w:ascii="Times New Roman" w:hAnsi="Times New Roman" w:cs="Times New Roman"/>
          <w:color w:val="0D0D0D" w:themeColor="text1" w:themeTint="F2"/>
          <w:sz w:val="24"/>
          <w:szCs w:val="24"/>
        </w:rPr>
        <w:t>1</w:t>
      </w:r>
      <w:r w:rsidR="00C44821" w:rsidRPr="003C6DBD">
        <w:rPr>
          <w:rFonts w:ascii="Times New Roman" w:hAnsi="Times New Roman" w:cs="Times New Roman"/>
          <w:color w:val="0D0D0D" w:themeColor="text1" w:themeTint="F2"/>
          <w:sz w:val="24"/>
          <w:szCs w:val="24"/>
        </w:rPr>
        <w:t>7</w:t>
      </w:r>
      <w:r w:rsidR="00EC6C74"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t xml:space="preserve">shows the results of </w:t>
      </w:r>
      <w:r w:rsidR="008D706B" w:rsidRPr="003C6DBD">
        <w:rPr>
          <w:rFonts w:ascii="Times New Roman" w:hAnsi="Times New Roman" w:cs="Times New Roman"/>
          <w:color w:val="0D0D0D" w:themeColor="text1" w:themeTint="F2"/>
          <w:sz w:val="24"/>
          <w:szCs w:val="24"/>
        </w:rPr>
        <w:t>the Median</w:t>
      </w:r>
      <w:r w:rsidRPr="003C6DBD">
        <w:rPr>
          <w:rFonts w:ascii="Times New Roman" w:hAnsi="Times New Roman" w:cs="Times New Roman"/>
          <w:color w:val="0D0D0D" w:themeColor="text1" w:themeTint="F2"/>
          <w:sz w:val="24"/>
          <w:szCs w:val="24"/>
        </w:rPr>
        <w:t xml:space="preserve"> test comparing two groups of companies</w:t>
      </w:r>
      <w:r w:rsidR="00A6365A" w:rsidRPr="003C6DBD">
        <w:rPr>
          <w:rFonts w:ascii="Times New Roman" w:hAnsi="Times New Roman" w:cs="Times New Roman"/>
          <w:color w:val="0D0D0D" w:themeColor="text1" w:themeTint="F2"/>
          <w:sz w:val="24"/>
          <w:szCs w:val="24"/>
        </w:rPr>
        <w:t xml:space="preserve"> from 2018 to 2021</w:t>
      </w:r>
      <w:r w:rsidRPr="003C6DBD">
        <w:rPr>
          <w:rFonts w:ascii="Times New Roman" w:hAnsi="Times New Roman" w:cs="Times New Roman"/>
          <w:color w:val="0D0D0D" w:themeColor="text1" w:themeTint="F2"/>
          <w:sz w:val="24"/>
          <w:szCs w:val="24"/>
        </w:rPr>
        <w:t xml:space="preserve">. </w:t>
      </w:r>
      <w:r w:rsidR="00A97293" w:rsidRPr="003C6DBD">
        <w:rPr>
          <w:rFonts w:ascii="Times New Roman" w:hAnsi="Times New Roman" w:cs="Times New Roman"/>
          <w:color w:val="0D0D0D" w:themeColor="text1" w:themeTint="F2"/>
          <w:sz w:val="24"/>
          <w:szCs w:val="24"/>
        </w:rPr>
        <w:t>The median test is a non-parametric statistical test utilized to examine if two or more groups of observations have similar medians. This test serves as an alternative to the one-way ANOVA test, which presumes normal distribution and equivalent variances across groups. The objective of the median test is to compare the medians of the groups and investigate whether they are statistically</w:t>
      </w:r>
      <w:r w:rsidR="003860E8" w:rsidRPr="003C6DBD">
        <w:rPr>
          <w:rFonts w:ascii="Times New Roman" w:hAnsi="Times New Roman" w:cs="Times New Roman"/>
          <w:color w:val="0D0D0D" w:themeColor="text1" w:themeTint="F2"/>
          <w:sz w:val="24"/>
          <w:szCs w:val="24"/>
        </w:rPr>
        <w:t xml:space="preserve"> different</w:t>
      </w:r>
      <w:r w:rsidR="00A97293" w:rsidRPr="003C6DBD">
        <w:rPr>
          <w:rFonts w:ascii="Times New Roman" w:hAnsi="Times New Roman" w:cs="Times New Roman"/>
          <w:color w:val="0D0D0D" w:themeColor="text1" w:themeTint="F2"/>
          <w:sz w:val="24"/>
          <w:szCs w:val="24"/>
        </w:rPr>
        <w:t xml:space="preserve">. The null hypothesis posits that the medians are equivalent across </w:t>
      </w:r>
      <w:r w:rsidR="00A97293" w:rsidRPr="003C6DBD">
        <w:rPr>
          <w:rFonts w:ascii="Times New Roman" w:hAnsi="Times New Roman" w:cs="Times New Roman"/>
          <w:color w:val="0D0D0D" w:themeColor="text1" w:themeTint="F2"/>
          <w:sz w:val="24"/>
          <w:szCs w:val="24"/>
        </w:rPr>
        <w:lastRenderedPageBreak/>
        <w:t>all groups, while the alternative hypothesis proposes that at least one group has a different median.</w:t>
      </w:r>
    </w:p>
    <w:p w14:paraId="37097F8F" w14:textId="6E3F4840" w:rsidR="00A97293" w:rsidRPr="003C6DBD" w:rsidRDefault="00E2063F" w:rsidP="00A97293">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T</w:t>
      </w:r>
      <w:r w:rsidR="00A97293" w:rsidRPr="003C6DBD">
        <w:rPr>
          <w:rFonts w:ascii="Times New Roman" w:hAnsi="Times New Roman" w:cs="Times New Roman"/>
          <w:color w:val="0D0D0D" w:themeColor="text1" w:themeTint="F2"/>
          <w:sz w:val="24"/>
          <w:szCs w:val="24"/>
        </w:rPr>
        <w:t>he results obtained from the median test demonstrated that the median ROA, net income margin, current ratio, asset turnover, inventory turnover, total debt to equity, assets to equity, Altman Z, CFO to CAPEX, and CAPEX to D&amp;A exhibit statistically significant differences. Hence, the PB companies and SB companies show considerable variations in the median values. Overall, the use of the median test has enabled a comprehensive evaluation of the data, leading to valuable insights into the performance of PB and SB companies.</w:t>
      </w:r>
    </w:p>
    <w:p w14:paraId="35F50A91" w14:textId="295242E4" w:rsidR="00CF07F9" w:rsidRPr="003C6DBD" w:rsidRDefault="00CF07F9" w:rsidP="00CF07F9">
      <w:pPr>
        <w:pStyle w:val="Heading4"/>
        <w:rPr>
          <w:color w:val="0D0D0D" w:themeColor="text1" w:themeTint="F2"/>
        </w:rPr>
      </w:pPr>
      <w:r w:rsidRPr="003C6DBD">
        <w:rPr>
          <w:color w:val="0D0D0D" w:themeColor="text1" w:themeTint="F2"/>
        </w:rPr>
        <w:t>5.</w:t>
      </w:r>
      <w:r w:rsidR="00AE5159" w:rsidRPr="003C6DBD">
        <w:rPr>
          <w:color w:val="0D0D0D" w:themeColor="text1" w:themeTint="F2"/>
        </w:rPr>
        <w:t>3</w:t>
      </w:r>
      <w:r w:rsidRPr="003C6DBD">
        <w:rPr>
          <w:color w:val="0D0D0D" w:themeColor="text1" w:themeTint="F2"/>
        </w:rPr>
        <w:t>.3 Correlation Analysis of Profitability and Risk Estimates</w:t>
      </w:r>
    </w:p>
    <w:p w14:paraId="48CA233D" w14:textId="6718206F" w:rsidR="00104DFD" w:rsidRPr="003C6DBD" w:rsidRDefault="00CF07F9" w:rsidP="00104DFD">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b/>
      </w:r>
      <w:r w:rsidR="007E23DD" w:rsidRPr="003C6DBD">
        <w:rPr>
          <w:rFonts w:ascii="Times New Roman" w:hAnsi="Times New Roman" w:cs="Times New Roman"/>
          <w:color w:val="0D0D0D" w:themeColor="text1" w:themeTint="F2"/>
          <w:sz w:val="24"/>
          <w:szCs w:val="24"/>
        </w:rPr>
        <w:t>Table 1</w:t>
      </w:r>
      <w:r w:rsidR="008C30B7" w:rsidRPr="003C6DBD">
        <w:rPr>
          <w:rFonts w:ascii="Times New Roman" w:hAnsi="Times New Roman" w:cs="Times New Roman"/>
          <w:color w:val="0D0D0D" w:themeColor="text1" w:themeTint="F2"/>
          <w:sz w:val="24"/>
          <w:szCs w:val="24"/>
        </w:rPr>
        <w:t>8</w:t>
      </w:r>
      <w:r w:rsidR="0051597B" w:rsidRPr="003C6DBD">
        <w:rPr>
          <w:rFonts w:ascii="Times New Roman" w:hAnsi="Times New Roman" w:cs="Times New Roman"/>
          <w:color w:val="0D0D0D" w:themeColor="text1" w:themeTint="F2"/>
          <w:sz w:val="24"/>
          <w:szCs w:val="24"/>
        </w:rPr>
        <w:t xml:space="preserve"> and 19</w:t>
      </w:r>
      <w:r w:rsidR="007E23DD" w:rsidRPr="003C6DBD">
        <w:rPr>
          <w:rFonts w:ascii="Times New Roman" w:hAnsi="Times New Roman" w:cs="Times New Roman"/>
          <w:color w:val="0D0D0D" w:themeColor="text1" w:themeTint="F2"/>
          <w:sz w:val="24"/>
          <w:szCs w:val="24"/>
        </w:rPr>
        <w:t xml:space="preserve"> </w:t>
      </w:r>
      <w:r w:rsidR="007C2B8F" w:rsidRPr="003C6DBD">
        <w:rPr>
          <w:rFonts w:ascii="Times New Roman" w:hAnsi="Times New Roman" w:cs="Times New Roman"/>
          <w:color w:val="0D0D0D" w:themeColor="text1" w:themeTint="F2"/>
          <w:sz w:val="24"/>
          <w:szCs w:val="24"/>
        </w:rPr>
        <w:t>show</w:t>
      </w:r>
      <w:r w:rsidR="007E23DD" w:rsidRPr="003C6DBD">
        <w:rPr>
          <w:rFonts w:ascii="Times New Roman" w:hAnsi="Times New Roman" w:cs="Times New Roman"/>
          <w:color w:val="0D0D0D" w:themeColor="text1" w:themeTint="F2"/>
          <w:sz w:val="24"/>
          <w:szCs w:val="24"/>
        </w:rPr>
        <w:t xml:space="preserve"> the correlation analysis of profitability and risk estimates </w:t>
      </w:r>
      <w:r w:rsidR="005513EB" w:rsidRPr="003C6DBD">
        <w:rPr>
          <w:rFonts w:ascii="Times New Roman" w:hAnsi="Times New Roman" w:cs="Times New Roman"/>
          <w:color w:val="0D0D0D" w:themeColor="text1" w:themeTint="F2"/>
          <w:sz w:val="24"/>
          <w:szCs w:val="24"/>
        </w:rPr>
        <w:t>for the</w:t>
      </w:r>
      <w:r w:rsidR="007E23DD" w:rsidRPr="003C6DBD">
        <w:rPr>
          <w:rFonts w:ascii="Times New Roman" w:hAnsi="Times New Roman" w:cs="Times New Roman"/>
          <w:color w:val="0D0D0D" w:themeColor="text1" w:themeTint="F2"/>
          <w:sz w:val="24"/>
          <w:szCs w:val="24"/>
        </w:rPr>
        <w:t xml:space="preserve"> biofuel companies used in the study</w:t>
      </w:r>
      <w:r w:rsidR="0056467B" w:rsidRPr="003C6DBD">
        <w:rPr>
          <w:rFonts w:ascii="Times New Roman" w:hAnsi="Times New Roman" w:cs="Times New Roman"/>
          <w:color w:val="0D0D0D" w:themeColor="text1" w:themeTint="F2"/>
          <w:sz w:val="24"/>
          <w:szCs w:val="24"/>
        </w:rPr>
        <w:t xml:space="preserve"> from 2018 to 2021</w:t>
      </w:r>
      <w:r w:rsidR="007E23DD" w:rsidRPr="003C6DBD">
        <w:rPr>
          <w:rFonts w:ascii="Times New Roman" w:hAnsi="Times New Roman" w:cs="Times New Roman"/>
          <w:color w:val="0D0D0D" w:themeColor="text1" w:themeTint="F2"/>
          <w:sz w:val="24"/>
          <w:szCs w:val="24"/>
        </w:rPr>
        <w:t xml:space="preserve">. This analysis examines the relationship between </w:t>
      </w:r>
      <w:r w:rsidR="00FE2097" w:rsidRPr="003C6DBD">
        <w:rPr>
          <w:rFonts w:ascii="Times New Roman" w:hAnsi="Times New Roman" w:cs="Times New Roman"/>
          <w:color w:val="0D0D0D" w:themeColor="text1" w:themeTint="F2"/>
          <w:sz w:val="24"/>
          <w:szCs w:val="24"/>
        </w:rPr>
        <w:t xml:space="preserve">profitability ratios (ROA, ROE, and ROI) and risk estimates (total debt to equity, political risk, economic risk, technological risk, primary activities risk, support activities risk, and </w:t>
      </w:r>
      <w:r w:rsidR="00397FFE" w:rsidRPr="003C6DBD">
        <w:rPr>
          <w:rFonts w:ascii="Times New Roman" w:hAnsi="Times New Roman" w:cs="Times New Roman"/>
          <w:color w:val="0D0D0D" w:themeColor="text1" w:themeTint="F2"/>
          <w:sz w:val="24"/>
          <w:szCs w:val="24"/>
        </w:rPr>
        <w:t xml:space="preserve">Altman </w:t>
      </w:r>
      <w:r w:rsidR="00FE2097" w:rsidRPr="003C6DBD">
        <w:rPr>
          <w:rFonts w:ascii="Times New Roman" w:hAnsi="Times New Roman" w:cs="Times New Roman"/>
          <w:color w:val="0D0D0D" w:themeColor="text1" w:themeTint="F2"/>
          <w:sz w:val="24"/>
          <w:szCs w:val="24"/>
        </w:rPr>
        <w:t xml:space="preserve">Z). </w:t>
      </w:r>
      <w:r w:rsidR="00CB0A6D" w:rsidRPr="003C6DBD">
        <w:rPr>
          <w:rFonts w:ascii="Times New Roman" w:hAnsi="Times New Roman" w:cs="Times New Roman"/>
          <w:color w:val="0D0D0D" w:themeColor="text1" w:themeTint="F2"/>
          <w:sz w:val="24"/>
          <w:szCs w:val="24"/>
        </w:rPr>
        <w:t>All the profitability estimates are strong</w:t>
      </w:r>
      <w:r w:rsidR="004F5290" w:rsidRPr="003C6DBD">
        <w:rPr>
          <w:rFonts w:ascii="Times New Roman" w:hAnsi="Times New Roman" w:cs="Times New Roman"/>
          <w:color w:val="0D0D0D" w:themeColor="text1" w:themeTint="F2"/>
          <w:sz w:val="24"/>
          <w:szCs w:val="24"/>
        </w:rPr>
        <w:t>ly</w:t>
      </w:r>
      <w:r w:rsidR="000B4280" w:rsidRPr="003C6DBD">
        <w:rPr>
          <w:rFonts w:ascii="Times New Roman" w:hAnsi="Times New Roman" w:cs="Times New Roman"/>
          <w:color w:val="0D0D0D" w:themeColor="text1" w:themeTint="F2"/>
          <w:sz w:val="24"/>
          <w:szCs w:val="24"/>
        </w:rPr>
        <w:t xml:space="preserve"> and positively</w:t>
      </w:r>
      <w:r w:rsidR="00CB0A6D" w:rsidRPr="003C6DBD">
        <w:rPr>
          <w:rFonts w:ascii="Times New Roman" w:hAnsi="Times New Roman" w:cs="Times New Roman"/>
          <w:color w:val="0D0D0D" w:themeColor="text1" w:themeTint="F2"/>
          <w:sz w:val="24"/>
          <w:szCs w:val="24"/>
        </w:rPr>
        <w:t xml:space="preserve"> correlated with each other and are statistically significant. </w:t>
      </w:r>
      <w:r w:rsidR="00104DFD" w:rsidRPr="003C6DBD">
        <w:rPr>
          <w:rFonts w:ascii="Times New Roman" w:hAnsi="Times New Roman" w:cs="Times New Roman"/>
          <w:color w:val="0D0D0D" w:themeColor="text1" w:themeTint="F2"/>
          <w:sz w:val="24"/>
          <w:szCs w:val="24"/>
        </w:rPr>
        <w:t xml:space="preserve">The correlation analysis revealed that there is a significant negative correlation between economic risk and profitability estimates for biofuel companies. </w:t>
      </w:r>
      <w:r w:rsidR="00AD7926" w:rsidRPr="003C6DBD">
        <w:rPr>
          <w:rFonts w:ascii="Times New Roman" w:hAnsi="Times New Roman" w:cs="Times New Roman"/>
          <w:color w:val="0D0D0D" w:themeColor="text1" w:themeTint="F2"/>
          <w:sz w:val="24"/>
          <w:szCs w:val="24"/>
        </w:rPr>
        <w:t xml:space="preserve">This may be because </w:t>
      </w:r>
      <w:r w:rsidR="00104DFD" w:rsidRPr="003C6DBD">
        <w:rPr>
          <w:rFonts w:ascii="Times New Roman" w:hAnsi="Times New Roman" w:cs="Times New Roman"/>
          <w:color w:val="0D0D0D" w:themeColor="text1" w:themeTint="F2"/>
          <w:sz w:val="24"/>
          <w:szCs w:val="24"/>
        </w:rPr>
        <w:t xml:space="preserve">economic risk captures </w:t>
      </w:r>
      <w:r w:rsidR="008D706B" w:rsidRPr="003C6DBD">
        <w:rPr>
          <w:rFonts w:ascii="Times New Roman" w:hAnsi="Times New Roman" w:cs="Times New Roman"/>
          <w:color w:val="0D0D0D" w:themeColor="text1" w:themeTint="F2"/>
          <w:sz w:val="24"/>
          <w:szCs w:val="24"/>
        </w:rPr>
        <w:t>factors</w:t>
      </w:r>
      <w:r w:rsidR="00104DFD" w:rsidRPr="003C6DBD">
        <w:rPr>
          <w:rFonts w:ascii="Times New Roman" w:hAnsi="Times New Roman" w:cs="Times New Roman"/>
          <w:color w:val="0D0D0D" w:themeColor="text1" w:themeTint="F2"/>
          <w:sz w:val="24"/>
          <w:szCs w:val="24"/>
        </w:rPr>
        <w:t xml:space="preserve"> like biofuel, feedstock, and energy markets, as well as general economic conditions, which have a direct impact on the profitability of the biofuel companies.</w:t>
      </w:r>
      <w:r w:rsidR="00E83FCC" w:rsidRPr="003C6DBD">
        <w:rPr>
          <w:rFonts w:ascii="Times New Roman" w:hAnsi="Times New Roman" w:cs="Times New Roman"/>
          <w:color w:val="0D0D0D" w:themeColor="text1" w:themeTint="F2"/>
          <w:sz w:val="24"/>
          <w:szCs w:val="24"/>
        </w:rPr>
        <w:t xml:space="preserve"> The profitability of the biofuel companies is highly dependent upon the biofuel prices, </w:t>
      </w:r>
      <w:r w:rsidR="00652905" w:rsidRPr="003C6DBD">
        <w:rPr>
          <w:rFonts w:ascii="Times New Roman" w:hAnsi="Times New Roman" w:cs="Times New Roman"/>
          <w:color w:val="0D0D0D" w:themeColor="text1" w:themeTint="F2"/>
          <w:sz w:val="24"/>
          <w:szCs w:val="24"/>
        </w:rPr>
        <w:t xml:space="preserve">price of competing fuels, </w:t>
      </w:r>
      <w:r w:rsidR="00E83FCC" w:rsidRPr="003C6DBD">
        <w:rPr>
          <w:rFonts w:ascii="Times New Roman" w:hAnsi="Times New Roman" w:cs="Times New Roman"/>
          <w:color w:val="0D0D0D" w:themeColor="text1" w:themeTint="F2"/>
          <w:sz w:val="24"/>
          <w:szCs w:val="24"/>
        </w:rPr>
        <w:t>cost of feedstocks, and general economic conditions.</w:t>
      </w:r>
      <w:r w:rsidR="00104DFD" w:rsidRPr="003C6DBD">
        <w:rPr>
          <w:rFonts w:ascii="Times New Roman" w:hAnsi="Times New Roman" w:cs="Times New Roman"/>
          <w:color w:val="0D0D0D" w:themeColor="text1" w:themeTint="F2"/>
          <w:sz w:val="24"/>
          <w:szCs w:val="24"/>
        </w:rPr>
        <w:t xml:space="preserve"> It is </w:t>
      </w:r>
      <w:r w:rsidR="00E83FCC" w:rsidRPr="003C6DBD">
        <w:rPr>
          <w:rFonts w:ascii="Times New Roman" w:hAnsi="Times New Roman" w:cs="Times New Roman"/>
          <w:color w:val="0D0D0D" w:themeColor="text1" w:themeTint="F2"/>
          <w:sz w:val="24"/>
          <w:szCs w:val="24"/>
        </w:rPr>
        <w:t xml:space="preserve">therefore </w:t>
      </w:r>
      <w:r w:rsidR="00104DFD" w:rsidRPr="003C6DBD">
        <w:rPr>
          <w:rFonts w:ascii="Times New Roman" w:hAnsi="Times New Roman" w:cs="Times New Roman"/>
          <w:color w:val="0D0D0D" w:themeColor="text1" w:themeTint="F2"/>
          <w:sz w:val="24"/>
          <w:szCs w:val="24"/>
        </w:rPr>
        <w:t>reasonable that economic risk has a negative relationship with the profitability estimates.</w:t>
      </w:r>
      <w:r w:rsidR="006D2CA6" w:rsidRPr="003C6DBD">
        <w:rPr>
          <w:rFonts w:ascii="Times New Roman" w:hAnsi="Times New Roman" w:cs="Times New Roman"/>
          <w:color w:val="0D0D0D" w:themeColor="text1" w:themeTint="F2"/>
          <w:sz w:val="24"/>
          <w:szCs w:val="24"/>
        </w:rPr>
        <w:t xml:space="preserve"> </w:t>
      </w:r>
      <w:r w:rsidR="00476CD2" w:rsidRPr="003C6DBD">
        <w:rPr>
          <w:rFonts w:ascii="Times New Roman" w:hAnsi="Times New Roman" w:cs="Times New Roman"/>
          <w:color w:val="0D0D0D" w:themeColor="text1" w:themeTint="F2"/>
          <w:sz w:val="24"/>
          <w:szCs w:val="24"/>
        </w:rPr>
        <w:t xml:space="preserve">Political risk was found to have statistically significant and negative relationship with economic, technological, primary activities, and support activities risks. </w:t>
      </w:r>
      <w:r w:rsidR="006D2CA6" w:rsidRPr="003C6DBD">
        <w:rPr>
          <w:rFonts w:ascii="Times New Roman" w:hAnsi="Times New Roman" w:cs="Times New Roman"/>
          <w:color w:val="0D0D0D" w:themeColor="text1" w:themeTint="F2"/>
          <w:sz w:val="24"/>
          <w:szCs w:val="24"/>
        </w:rPr>
        <w:t xml:space="preserve">Social risk </w:t>
      </w:r>
      <w:r w:rsidR="00702860" w:rsidRPr="003C6DBD">
        <w:rPr>
          <w:rFonts w:ascii="Times New Roman" w:hAnsi="Times New Roman" w:cs="Times New Roman"/>
          <w:color w:val="0D0D0D" w:themeColor="text1" w:themeTint="F2"/>
          <w:sz w:val="24"/>
          <w:szCs w:val="24"/>
        </w:rPr>
        <w:t>is</w:t>
      </w:r>
      <w:r w:rsidR="006D2CA6" w:rsidRPr="003C6DBD">
        <w:rPr>
          <w:rFonts w:ascii="Times New Roman" w:hAnsi="Times New Roman" w:cs="Times New Roman"/>
          <w:color w:val="0D0D0D" w:themeColor="text1" w:themeTint="F2"/>
          <w:sz w:val="24"/>
          <w:szCs w:val="24"/>
        </w:rPr>
        <w:t xml:space="preserve"> not </w:t>
      </w:r>
      <w:r w:rsidR="006D2CA6" w:rsidRPr="003C6DBD">
        <w:rPr>
          <w:rFonts w:ascii="Times New Roman" w:hAnsi="Times New Roman" w:cs="Times New Roman"/>
          <w:color w:val="0D0D0D" w:themeColor="text1" w:themeTint="F2"/>
          <w:sz w:val="24"/>
          <w:szCs w:val="24"/>
        </w:rPr>
        <w:lastRenderedPageBreak/>
        <w:t xml:space="preserve">correlated with the profitability estimates. Social risk captures the risk associated with public perception and opposition about the use of biofuels. The risk analysis revealed that these risk factors were not of much importance to the biofuel companies. So, </w:t>
      </w:r>
      <w:r w:rsidR="001A7140" w:rsidRPr="003C6DBD">
        <w:rPr>
          <w:rFonts w:ascii="Times New Roman" w:hAnsi="Times New Roman" w:cs="Times New Roman"/>
          <w:color w:val="0D0D0D" w:themeColor="text1" w:themeTint="F2"/>
          <w:sz w:val="24"/>
          <w:szCs w:val="24"/>
        </w:rPr>
        <w:t xml:space="preserve">that </w:t>
      </w:r>
      <w:r w:rsidR="006D2CA6" w:rsidRPr="003C6DBD">
        <w:rPr>
          <w:rFonts w:ascii="Times New Roman" w:hAnsi="Times New Roman" w:cs="Times New Roman"/>
          <w:color w:val="0D0D0D" w:themeColor="text1" w:themeTint="F2"/>
          <w:sz w:val="24"/>
          <w:szCs w:val="24"/>
        </w:rPr>
        <w:t xml:space="preserve">could be a reason for </w:t>
      </w:r>
      <w:r w:rsidR="001A7140" w:rsidRPr="003C6DBD">
        <w:rPr>
          <w:rFonts w:ascii="Times New Roman" w:hAnsi="Times New Roman" w:cs="Times New Roman"/>
          <w:color w:val="0D0D0D" w:themeColor="text1" w:themeTint="F2"/>
          <w:sz w:val="24"/>
          <w:szCs w:val="24"/>
        </w:rPr>
        <w:t xml:space="preserve">the lack of </w:t>
      </w:r>
      <w:r w:rsidR="006D2CA6" w:rsidRPr="003C6DBD">
        <w:rPr>
          <w:rFonts w:ascii="Times New Roman" w:hAnsi="Times New Roman" w:cs="Times New Roman"/>
          <w:color w:val="0D0D0D" w:themeColor="text1" w:themeTint="F2"/>
          <w:sz w:val="24"/>
          <w:szCs w:val="24"/>
        </w:rPr>
        <w:t xml:space="preserve">correlation between social risk and profitability estimates. </w:t>
      </w:r>
      <w:r w:rsidR="00702860" w:rsidRPr="003C6DBD">
        <w:rPr>
          <w:rFonts w:ascii="Times New Roman" w:hAnsi="Times New Roman" w:cs="Times New Roman"/>
          <w:color w:val="0D0D0D" w:themeColor="text1" w:themeTint="F2"/>
          <w:sz w:val="24"/>
          <w:szCs w:val="24"/>
        </w:rPr>
        <w:t xml:space="preserve">However, social risk is found to have statistically negative relationship with total debt to equity, technological risk, and primary activities risk. </w:t>
      </w:r>
    </w:p>
    <w:p w14:paraId="7B587F11" w14:textId="6ADF1244" w:rsidR="00CF07F9" w:rsidRPr="003C6DBD" w:rsidRDefault="005650CB" w:rsidP="00AE5159">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b/>
      </w:r>
      <w:r w:rsidR="00DB671E" w:rsidRPr="003C6DBD">
        <w:rPr>
          <w:rFonts w:ascii="Times New Roman" w:hAnsi="Times New Roman" w:cs="Times New Roman"/>
          <w:color w:val="0D0D0D" w:themeColor="text1" w:themeTint="F2"/>
          <w:sz w:val="24"/>
          <w:szCs w:val="24"/>
        </w:rPr>
        <w:t>To recap</w:t>
      </w:r>
      <w:r w:rsidRPr="003C6DBD">
        <w:rPr>
          <w:rFonts w:ascii="Times New Roman" w:hAnsi="Times New Roman" w:cs="Times New Roman"/>
          <w:color w:val="0D0D0D" w:themeColor="text1" w:themeTint="F2"/>
          <w:sz w:val="24"/>
          <w:szCs w:val="24"/>
        </w:rPr>
        <w:t xml:space="preserve">, economic risk captures the state of biofuel, feedstock, fuels market, and general economic conditions </w:t>
      </w:r>
      <w:r w:rsidR="00A97293" w:rsidRPr="003C6DBD">
        <w:rPr>
          <w:rFonts w:ascii="Times New Roman" w:hAnsi="Times New Roman" w:cs="Times New Roman"/>
          <w:color w:val="0D0D0D" w:themeColor="text1" w:themeTint="F2"/>
          <w:sz w:val="24"/>
          <w:szCs w:val="24"/>
        </w:rPr>
        <w:t xml:space="preserve">and </w:t>
      </w:r>
      <w:r w:rsidRPr="003C6DBD">
        <w:rPr>
          <w:rFonts w:ascii="Times New Roman" w:hAnsi="Times New Roman" w:cs="Times New Roman"/>
          <w:color w:val="0D0D0D" w:themeColor="text1" w:themeTint="F2"/>
          <w:sz w:val="24"/>
          <w:szCs w:val="24"/>
        </w:rPr>
        <w:t xml:space="preserve">probably affects the profitability of biofuel businesses. Other risk factors </w:t>
      </w:r>
      <w:r w:rsidR="00A97293" w:rsidRPr="003C6DBD">
        <w:rPr>
          <w:rFonts w:ascii="Times New Roman" w:hAnsi="Times New Roman" w:cs="Times New Roman"/>
          <w:color w:val="0D0D0D" w:themeColor="text1" w:themeTint="F2"/>
          <w:sz w:val="24"/>
          <w:szCs w:val="24"/>
        </w:rPr>
        <w:t>are</w:t>
      </w:r>
      <w:r w:rsidRPr="003C6DBD">
        <w:rPr>
          <w:rFonts w:ascii="Times New Roman" w:hAnsi="Times New Roman" w:cs="Times New Roman"/>
          <w:color w:val="0D0D0D" w:themeColor="text1" w:themeTint="F2"/>
          <w:sz w:val="24"/>
          <w:szCs w:val="24"/>
        </w:rPr>
        <w:t xml:space="preserve"> not found to have any relationship with the profitability estimates. Although these risk factors may indirectly affect biofuel companies, there was no discernible correlation between them and profitability estimates, except for economic risk, which was found to have a negative relationship. </w:t>
      </w:r>
    </w:p>
    <w:p w14:paraId="5C8E965C" w14:textId="5C5CE33F" w:rsidR="00B43A4A" w:rsidRPr="003C6DBD" w:rsidRDefault="004B24F4" w:rsidP="002A7494">
      <w:pPr>
        <w:pStyle w:val="Heading4"/>
        <w:rPr>
          <w:color w:val="0D0D0D" w:themeColor="text1" w:themeTint="F2"/>
        </w:rPr>
      </w:pPr>
      <w:r w:rsidRPr="003C6DBD">
        <w:rPr>
          <w:color w:val="0D0D0D" w:themeColor="text1" w:themeTint="F2"/>
        </w:rPr>
        <w:t>5.</w:t>
      </w:r>
      <w:r w:rsidR="00AE5159" w:rsidRPr="003C6DBD">
        <w:rPr>
          <w:color w:val="0D0D0D" w:themeColor="text1" w:themeTint="F2"/>
        </w:rPr>
        <w:t>3</w:t>
      </w:r>
      <w:r w:rsidRPr="003C6DBD">
        <w:rPr>
          <w:color w:val="0D0D0D" w:themeColor="text1" w:themeTint="F2"/>
        </w:rPr>
        <w:t>.</w:t>
      </w:r>
      <w:r w:rsidR="00FC7E9E" w:rsidRPr="003C6DBD">
        <w:rPr>
          <w:color w:val="0D0D0D" w:themeColor="text1" w:themeTint="F2"/>
        </w:rPr>
        <w:t>4</w:t>
      </w:r>
      <w:r w:rsidRPr="003C6DBD">
        <w:rPr>
          <w:color w:val="0D0D0D" w:themeColor="text1" w:themeTint="F2"/>
        </w:rPr>
        <w:t xml:space="preserve"> Trend Analysis</w:t>
      </w:r>
      <w:r w:rsidR="00527B1A" w:rsidRPr="003C6DBD">
        <w:rPr>
          <w:color w:val="0D0D0D" w:themeColor="text1" w:themeTint="F2"/>
        </w:rPr>
        <w:t xml:space="preserve"> of selected financial ratios</w:t>
      </w:r>
    </w:p>
    <w:p w14:paraId="16694636" w14:textId="7A49E003" w:rsidR="00440DAB" w:rsidRPr="003C6DBD" w:rsidRDefault="00486370" w:rsidP="00440DAB">
      <w:pPr>
        <w:autoSpaceDE w:val="0"/>
        <w:autoSpaceDN w:val="0"/>
        <w:adjustRightInd w:val="0"/>
        <w:spacing w:after="0"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Figure </w:t>
      </w:r>
      <w:r w:rsidR="00020C8E" w:rsidRPr="003C6DBD">
        <w:rPr>
          <w:rFonts w:ascii="Times New Roman" w:hAnsi="Times New Roman" w:cs="Times New Roman"/>
          <w:color w:val="0D0D0D" w:themeColor="text1" w:themeTint="F2"/>
          <w:sz w:val="24"/>
          <w:szCs w:val="24"/>
        </w:rPr>
        <w:t>14</w:t>
      </w:r>
      <w:r w:rsidRPr="003C6DBD">
        <w:rPr>
          <w:rFonts w:ascii="Times New Roman" w:hAnsi="Times New Roman" w:cs="Times New Roman"/>
          <w:color w:val="0D0D0D" w:themeColor="text1" w:themeTint="F2"/>
          <w:sz w:val="24"/>
          <w:szCs w:val="24"/>
        </w:rPr>
        <w:t xml:space="preserve"> </w:t>
      </w:r>
      <w:r w:rsidR="00D70009" w:rsidRPr="003C6DBD">
        <w:rPr>
          <w:rFonts w:ascii="Times New Roman" w:hAnsi="Times New Roman" w:cs="Times New Roman"/>
          <w:color w:val="0D0D0D" w:themeColor="text1" w:themeTint="F2"/>
          <w:sz w:val="24"/>
          <w:szCs w:val="24"/>
        </w:rPr>
        <w:t>shows</w:t>
      </w:r>
      <w:r w:rsidRPr="003C6DBD">
        <w:rPr>
          <w:rFonts w:ascii="Times New Roman" w:hAnsi="Times New Roman" w:cs="Times New Roman"/>
          <w:color w:val="0D0D0D" w:themeColor="text1" w:themeTint="F2"/>
          <w:sz w:val="24"/>
          <w:szCs w:val="24"/>
        </w:rPr>
        <w:t xml:space="preserve"> the trend analysis of </w:t>
      </w:r>
      <w:r w:rsidR="00076E92" w:rsidRPr="003C6DBD">
        <w:rPr>
          <w:rFonts w:ascii="Times New Roman" w:hAnsi="Times New Roman" w:cs="Times New Roman"/>
          <w:color w:val="0D0D0D" w:themeColor="text1" w:themeTint="F2"/>
          <w:sz w:val="24"/>
          <w:szCs w:val="24"/>
        </w:rPr>
        <w:t>selected financial ratios</w:t>
      </w:r>
      <w:r w:rsidRPr="003C6DBD">
        <w:rPr>
          <w:rFonts w:ascii="Times New Roman" w:hAnsi="Times New Roman" w:cs="Times New Roman"/>
          <w:color w:val="0D0D0D" w:themeColor="text1" w:themeTint="F2"/>
          <w:sz w:val="24"/>
          <w:szCs w:val="24"/>
        </w:rPr>
        <w:t xml:space="preserve"> of companies in </w:t>
      </w:r>
      <w:r w:rsidR="006509F8" w:rsidRPr="003C6DBD">
        <w:rPr>
          <w:rFonts w:ascii="Times New Roman" w:hAnsi="Times New Roman" w:cs="Times New Roman"/>
          <w:color w:val="0D0D0D" w:themeColor="text1" w:themeTint="F2"/>
          <w:sz w:val="24"/>
          <w:szCs w:val="24"/>
        </w:rPr>
        <w:t xml:space="preserve">the </w:t>
      </w:r>
      <w:r w:rsidRPr="003C6DBD">
        <w:rPr>
          <w:rFonts w:ascii="Times New Roman" w:hAnsi="Times New Roman" w:cs="Times New Roman"/>
          <w:color w:val="0D0D0D" w:themeColor="text1" w:themeTint="F2"/>
          <w:sz w:val="24"/>
          <w:szCs w:val="24"/>
        </w:rPr>
        <w:t>PB</w:t>
      </w:r>
      <w:r w:rsidR="00076E92" w:rsidRPr="003C6DBD">
        <w:rPr>
          <w:rFonts w:ascii="Times New Roman" w:hAnsi="Times New Roman" w:cs="Times New Roman"/>
          <w:color w:val="0D0D0D" w:themeColor="text1" w:themeTint="F2"/>
          <w:sz w:val="24"/>
          <w:szCs w:val="24"/>
        </w:rPr>
        <w:t>,</w:t>
      </w:r>
      <w:r w:rsidRPr="003C6DBD">
        <w:rPr>
          <w:rFonts w:ascii="Times New Roman" w:hAnsi="Times New Roman" w:cs="Times New Roman"/>
          <w:color w:val="0D0D0D" w:themeColor="text1" w:themeTint="F2"/>
          <w:sz w:val="24"/>
          <w:szCs w:val="24"/>
        </w:rPr>
        <w:t xml:space="preserve"> </w:t>
      </w:r>
      <w:r w:rsidR="00076E92" w:rsidRPr="003C6DBD">
        <w:rPr>
          <w:rFonts w:ascii="Times New Roman" w:hAnsi="Times New Roman" w:cs="Times New Roman"/>
          <w:color w:val="0D0D0D" w:themeColor="text1" w:themeTint="F2"/>
          <w:sz w:val="24"/>
          <w:szCs w:val="24"/>
        </w:rPr>
        <w:t xml:space="preserve">SB, and ALL </w:t>
      </w:r>
      <w:r w:rsidRPr="003C6DBD">
        <w:rPr>
          <w:rFonts w:ascii="Times New Roman" w:hAnsi="Times New Roman" w:cs="Times New Roman"/>
          <w:color w:val="0D0D0D" w:themeColor="text1" w:themeTint="F2"/>
          <w:sz w:val="24"/>
          <w:szCs w:val="24"/>
        </w:rPr>
        <w:t xml:space="preserve">portfolio using median values </w:t>
      </w:r>
      <w:r w:rsidR="00B928A1" w:rsidRPr="003C6DBD">
        <w:rPr>
          <w:rFonts w:ascii="Times New Roman" w:hAnsi="Times New Roman" w:cs="Times New Roman"/>
          <w:color w:val="0D0D0D" w:themeColor="text1" w:themeTint="F2"/>
          <w:sz w:val="24"/>
          <w:szCs w:val="24"/>
        </w:rPr>
        <w:t xml:space="preserve">from </w:t>
      </w:r>
      <w:r w:rsidRPr="003C6DBD">
        <w:rPr>
          <w:rFonts w:ascii="Times New Roman" w:hAnsi="Times New Roman" w:cs="Times New Roman"/>
          <w:color w:val="0D0D0D" w:themeColor="text1" w:themeTint="F2"/>
          <w:sz w:val="24"/>
          <w:szCs w:val="24"/>
        </w:rPr>
        <w:t>201</w:t>
      </w:r>
      <w:r w:rsidR="00076E92" w:rsidRPr="003C6DBD">
        <w:rPr>
          <w:rFonts w:ascii="Times New Roman" w:hAnsi="Times New Roman" w:cs="Times New Roman"/>
          <w:color w:val="0D0D0D" w:themeColor="text1" w:themeTint="F2"/>
          <w:sz w:val="24"/>
          <w:szCs w:val="24"/>
        </w:rPr>
        <w:t>8</w:t>
      </w:r>
      <w:r w:rsidRPr="003C6DBD">
        <w:rPr>
          <w:rFonts w:ascii="Times New Roman" w:hAnsi="Times New Roman" w:cs="Times New Roman"/>
          <w:color w:val="0D0D0D" w:themeColor="text1" w:themeTint="F2"/>
          <w:sz w:val="24"/>
          <w:szCs w:val="24"/>
        </w:rPr>
        <w:t xml:space="preserve"> to 202</w:t>
      </w:r>
      <w:r w:rsidR="00076E92" w:rsidRPr="003C6DBD">
        <w:rPr>
          <w:rFonts w:ascii="Times New Roman" w:hAnsi="Times New Roman" w:cs="Times New Roman"/>
          <w:color w:val="0D0D0D" w:themeColor="text1" w:themeTint="F2"/>
          <w:sz w:val="24"/>
          <w:szCs w:val="24"/>
        </w:rPr>
        <w:t>1</w:t>
      </w:r>
      <w:r w:rsidRPr="003C6DBD">
        <w:rPr>
          <w:rFonts w:ascii="Times New Roman" w:hAnsi="Times New Roman" w:cs="Times New Roman"/>
          <w:color w:val="0D0D0D" w:themeColor="text1" w:themeTint="F2"/>
          <w:sz w:val="24"/>
          <w:szCs w:val="24"/>
        </w:rPr>
        <w:t xml:space="preserve">. </w:t>
      </w:r>
      <w:r w:rsidR="009040AC" w:rsidRPr="003C6DBD">
        <w:rPr>
          <w:rFonts w:ascii="Times New Roman" w:hAnsi="Times New Roman" w:cs="Times New Roman"/>
          <w:color w:val="0D0D0D" w:themeColor="text1" w:themeTint="F2"/>
          <w:sz w:val="24"/>
          <w:szCs w:val="24"/>
        </w:rPr>
        <w:t xml:space="preserve">ALL portfolio comprises all the 22 companies used for financial analysis. </w:t>
      </w:r>
      <w:r w:rsidR="00C30BD0" w:rsidRPr="003C6DBD">
        <w:rPr>
          <w:rFonts w:ascii="Times New Roman" w:hAnsi="Times New Roman" w:cs="Times New Roman"/>
          <w:color w:val="0D0D0D" w:themeColor="text1" w:themeTint="F2"/>
          <w:sz w:val="24"/>
          <w:szCs w:val="24"/>
        </w:rPr>
        <w:t xml:space="preserve">The profitability ratios of PB companies are highly volatile. </w:t>
      </w:r>
      <w:r w:rsidR="009040AC" w:rsidRPr="003C6DBD">
        <w:rPr>
          <w:rFonts w:ascii="Times New Roman" w:hAnsi="Times New Roman" w:cs="Times New Roman"/>
          <w:color w:val="0D0D0D" w:themeColor="text1" w:themeTint="F2"/>
          <w:sz w:val="24"/>
          <w:szCs w:val="24"/>
        </w:rPr>
        <w:t xml:space="preserve">SB companies and ALL companies have a comparable profitability performance throughout the study period. </w:t>
      </w:r>
      <w:r w:rsidR="00C30BD0" w:rsidRPr="003C6DBD">
        <w:rPr>
          <w:rFonts w:ascii="Times New Roman" w:hAnsi="Times New Roman" w:cs="Times New Roman"/>
          <w:color w:val="0D0D0D" w:themeColor="text1" w:themeTint="F2"/>
          <w:sz w:val="24"/>
          <w:szCs w:val="24"/>
        </w:rPr>
        <w:t>PB companies and</w:t>
      </w:r>
      <w:r w:rsidR="009040AC" w:rsidRPr="003C6DBD">
        <w:rPr>
          <w:rFonts w:ascii="Times New Roman" w:hAnsi="Times New Roman" w:cs="Times New Roman"/>
          <w:color w:val="0D0D0D" w:themeColor="text1" w:themeTint="F2"/>
          <w:sz w:val="24"/>
          <w:szCs w:val="24"/>
        </w:rPr>
        <w:t xml:space="preserve"> SB</w:t>
      </w:r>
      <w:r w:rsidR="00C30BD0" w:rsidRPr="003C6DBD">
        <w:rPr>
          <w:rFonts w:ascii="Times New Roman" w:hAnsi="Times New Roman" w:cs="Times New Roman"/>
          <w:color w:val="0D0D0D" w:themeColor="text1" w:themeTint="F2"/>
          <w:sz w:val="24"/>
          <w:szCs w:val="24"/>
        </w:rPr>
        <w:t xml:space="preserve"> companies are comparable in terms of profitability from </w:t>
      </w:r>
      <w:r w:rsidR="008D706B" w:rsidRPr="003C6DBD">
        <w:rPr>
          <w:rFonts w:ascii="Times New Roman" w:hAnsi="Times New Roman" w:cs="Times New Roman"/>
          <w:color w:val="0D0D0D" w:themeColor="text1" w:themeTint="F2"/>
          <w:sz w:val="24"/>
          <w:szCs w:val="24"/>
        </w:rPr>
        <w:t>the beginning</w:t>
      </w:r>
      <w:r w:rsidR="00C30BD0" w:rsidRPr="003C6DBD">
        <w:rPr>
          <w:rFonts w:ascii="Times New Roman" w:hAnsi="Times New Roman" w:cs="Times New Roman"/>
          <w:color w:val="0D0D0D" w:themeColor="text1" w:themeTint="F2"/>
          <w:sz w:val="24"/>
          <w:szCs w:val="24"/>
        </w:rPr>
        <w:t xml:space="preserve"> to 20</w:t>
      </w:r>
      <w:r w:rsidR="009040AC" w:rsidRPr="003C6DBD">
        <w:rPr>
          <w:rFonts w:ascii="Times New Roman" w:hAnsi="Times New Roman" w:cs="Times New Roman"/>
          <w:color w:val="0D0D0D" w:themeColor="text1" w:themeTint="F2"/>
          <w:sz w:val="24"/>
          <w:szCs w:val="24"/>
        </w:rPr>
        <w:t>20</w:t>
      </w:r>
      <w:r w:rsidR="00C30BD0" w:rsidRPr="003C6DBD">
        <w:rPr>
          <w:rFonts w:ascii="Times New Roman" w:hAnsi="Times New Roman" w:cs="Times New Roman"/>
          <w:color w:val="0D0D0D" w:themeColor="text1" w:themeTint="F2"/>
          <w:sz w:val="24"/>
          <w:szCs w:val="24"/>
        </w:rPr>
        <w:t xml:space="preserve">. We can observe a rising trend in the profitability of PB companies beginning </w:t>
      </w:r>
      <w:r w:rsidR="00792B41" w:rsidRPr="003C6DBD">
        <w:rPr>
          <w:rFonts w:ascii="Times New Roman" w:hAnsi="Times New Roman" w:cs="Times New Roman"/>
          <w:color w:val="0D0D0D" w:themeColor="text1" w:themeTint="F2"/>
          <w:sz w:val="24"/>
          <w:szCs w:val="24"/>
        </w:rPr>
        <w:t xml:space="preserve">the </w:t>
      </w:r>
      <w:r w:rsidR="009040AC" w:rsidRPr="003C6DBD">
        <w:rPr>
          <w:rFonts w:ascii="Times New Roman" w:hAnsi="Times New Roman" w:cs="Times New Roman"/>
          <w:color w:val="0D0D0D" w:themeColor="text1" w:themeTint="F2"/>
          <w:sz w:val="24"/>
          <w:szCs w:val="24"/>
        </w:rPr>
        <w:t>2020</w:t>
      </w:r>
      <w:r w:rsidR="00C30BD0" w:rsidRPr="003C6DBD">
        <w:rPr>
          <w:rFonts w:ascii="Times New Roman" w:hAnsi="Times New Roman" w:cs="Times New Roman"/>
          <w:color w:val="0D0D0D" w:themeColor="text1" w:themeTint="F2"/>
          <w:sz w:val="24"/>
          <w:szCs w:val="24"/>
        </w:rPr>
        <w:t xml:space="preserve"> to mid-2020 and PB companies </w:t>
      </w:r>
      <w:r w:rsidR="00792B41" w:rsidRPr="003C6DBD">
        <w:rPr>
          <w:rFonts w:ascii="Times New Roman" w:hAnsi="Times New Roman" w:cs="Times New Roman"/>
          <w:color w:val="0D0D0D" w:themeColor="text1" w:themeTint="F2"/>
          <w:sz w:val="24"/>
          <w:szCs w:val="24"/>
        </w:rPr>
        <w:t xml:space="preserve">outperforming </w:t>
      </w:r>
      <w:r w:rsidR="009040AC" w:rsidRPr="003C6DBD">
        <w:rPr>
          <w:rFonts w:ascii="Times New Roman" w:hAnsi="Times New Roman" w:cs="Times New Roman"/>
          <w:color w:val="0D0D0D" w:themeColor="text1" w:themeTint="F2"/>
          <w:sz w:val="24"/>
          <w:szCs w:val="24"/>
        </w:rPr>
        <w:t>SB and ALL</w:t>
      </w:r>
      <w:r w:rsidR="00C30BD0" w:rsidRPr="003C6DBD">
        <w:rPr>
          <w:rFonts w:ascii="Times New Roman" w:hAnsi="Times New Roman" w:cs="Times New Roman"/>
          <w:color w:val="0D0D0D" w:themeColor="text1" w:themeTint="F2"/>
          <w:sz w:val="24"/>
          <w:szCs w:val="24"/>
        </w:rPr>
        <w:t xml:space="preserve"> companies in this period. The increasing trend of PB companies ceases after mid-2020 and </w:t>
      </w:r>
      <w:r w:rsidR="00792B41" w:rsidRPr="003C6DBD">
        <w:rPr>
          <w:rFonts w:ascii="Times New Roman" w:hAnsi="Times New Roman" w:cs="Times New Roman"/>
          <w:color w:val="0D0D0D" w:themeColor="text1" w:themeTint="F2"/>
          <w:sz w:val="24"/>
          <w:szCs w:val="24"/>
        </w:rPr>
        <w:t>starts</w:t>
      </w:r>
      <w:r w:rsidR="00C30BD0" w:rsidRPr="003C6DBD">
        <w:rPr>
          <w:rFonts w:ascii="Times New Roman" w:hAnsi="Times New Roman" w:cs="Times New Roman"/>
          <w:color w:val="0D0D0D" w:themeColor="text1" w:themeTint="F2"/>
          <w:sz w:val="24"/>
          <w:szCs w:val="24"/>
        </w:rPr>
        <w:t xml:space="preserve"> decreasing until early 2021. </w:t>
      </w:r>
      <w:r w:rsidR="00F029BA" w:rsidRPr="003C6DBD">
        <w:rPr>
          <w:rFonts w:ascii="Times New Roman" w:hAnsi="Times New Roman" w:cs="Times New Roman"/>
          <w:color w:val="0D0D0D" w:themeColor="text1" w:themeTint="F2"/>
          <w:sz w:val="24"/>
          <w:szCs w:val="24"/>
        </w:rPr>
        <w:t xml:space="preserve">The current ratio is highly volatile for PB companies and stable for </w:t>
      </w:r>
      <w:r w:rsidR="00D34F1F" w:rsidRPr="003C6DBD">
        <w:rPr>
          <w:rFonts w:ascii="Times New Roman" w:hAnsi="Times New Roman" w:cs="Times New Roman"/>
          <w:color w:val="0D0D0D" w:themeColor="text1" w:themeTint="F2"/>
          <w:sz w:val="24"/>
          <w:szCs w:val="24"/>
        </w:rPr>
        <w:t>SB and ALL</w:t>
      </w:r>
      <w:r w:rsidR="00F029BA" w:rsidRPr="003C6DBD">
        <w:rPr>
          <w:rFonts w:ascii="Times New Roman" w:hAnsi="Times New Roman" w:cs="Times New Roman"/>
          <w:color w:val="0D0D0D" w:themeColor="text1" w:themeTint="F2"/>
          <w:sz w:val="24"/>
          <w:szCs w:val="24"/>
        </w:rPr>
        <w:t xml:space="preserve"> companies. Similarly, PB companies are </w:t>
      </w:r>
      <w:r w:rsidR="00D34F1F" w:rsidRPr="003C6DBD">
        <w:rPr>
          <w:rFonts w:ascii="Times New Roman" w:hAnsi="Times New Roman" w:cs="Times New Roman"/>
          <w:color w:val="0D0D0D" w:themeColor="text1" w:themeTint="F2"/>
          <w:sz w:val="24"/>
          <w:szCs w:val="24"/>
        </w:rPr>
        <w:t xml:space="preserve">highly </w:t>
      </w:r>
      <w:r w:rsidR="00F029BA" w:rsidRPr="003C6DBD">
        <w:rPr>
          <w:rFonts w:ascii="Times New Roman" w:hAnsi="Times New Roman" w:cs="Times New Roman"/>
          <w:color w:val="0D0D0D" w:themeColor="text1" w:themeTint="F2"/>
          <w:sz w:val="24"/>
          <w:szCs w:val="24"/>
        </w:rPr>
        <w:t xml:space="preserve">volatile in terms of efficiency ratios </w:t>
      </w:r>
      <w:r w:rsidR="00F029BA" w:rsidRPr="003C6DBD">
        <w:rPr>
          <w:rFonts w:ascii="Times New Roman" w:hAnsi="Times New Roman" w:cs="Times New Roman"/>
          <w:color w:val="0D0D0D" w:themeColor="text1" w:themeTint="F2"/>
          <w:sz w:val="24"/>
          <w:szCs w:val="24"/>
        </w:rPr>
        <w:lastRenderedPageBreak/>
        <w:t>as well</w:t>
      </w:r>
      <w:r w:rsidR="00D34F1F" w:rsidRPr="003C6DBD">
        <w:rPr>
          <w:rFonts w:ascii="Times New Roman" w:hAnsi="Times New Roman" w:cs="Times New Roman"/>
          <w:color w:val="0D0D0D" w:themeColor="text1" w:themeTint="F2"/>
          <w:sz w:val="24"/>
          <w:szCs w:val="24"/>
        </w:rPr>
        <w:t xml:space="preserve">. SB and ALL portfolio on other hand have fairly stable inventory turnover ratio but volatile asset turnover ratio. </w:t>
      </w:r>
    </w:p>
    <w:p w14:paraId="7C4F4FAE" w14:textId="67A378AA" w:rsidR="00D728CB" w:rsidRPr="003C6DBD" w:rsidRDefault="00803222" w:rsidP="00AE5159">
      <w:pPr>
        <w:autoSpaceDE w:val="0"/>
        <w:autoSpaceDN w:val="0"/>
        <w:adjustRightInd w:val="0"/>
        <w:spacing w:after="0"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The solvency ratios are fairly stable for </w:t>
      </w:r>
      <w:r w:rsidR="00183B6E" w:rsidRPr="003C6DBD">
        <w:rPr>
          <w:rFonts w:ascii="Times New Roman" w:hAnsi="Times New Roman" w:cs="Times New Roman"/>
          <w:color w:val="0D0D0D" w:themeColor="text1" w:themeTint="F2"/>
          <w:sz w:val="24"/>
          <w:szCs w:val="24"/>
        </w:rPr>
        <w:t>all three portfolios</w:t>
      </w:r>
      <w:r w:rsidR="00457AC7" w:rsidRPr="003C6DBD">
        <w:rPr>
          <w:rFonts w:ascii="Times New Roman" w:hAnsi="Times New Roman" w:cs="Times New Roman"/>
          <w:color w:val="0D0D0D" w:themeColor="text1" w:themeTint="F2"/>
          <w:sz w:val="24"/>
          <w:szCs w:val="24"/>
        </w:rPr>
        <w:t>,</w:t>
      </w:r>
      <w:r w:rsidRPr="003C6DBD">
        <w:rPr>
          <w:rFonts w:ascii="Times New Roman" w:hAnsi="Times New Roman" w:cs="Times New Roman"/>
          <w:color w:val="0D0D0D" w:themeColor="text1" w:themeTint="F2"/>
          <w:sz w:val="24"/>
          <w:szCs w:val="24"/>
        </w:rPr>
        <w:t xml:space="preserve"> and </w:t>
      </w:r>
      <w:r w:rsidR="00183B6E" w:rsidRPr="003C6DBD">
        <w:rPr>
          <w:rFonts w:ascii="Times New Roman" w:hAnsi="Times New Roman" w:cs="Times New Roman"/>
          <w:color w:val="0D0D0D" w:themeColor="text1" w:themeTint="F2"/>
          <w:sz w:val="24"/>
          <w:szCs w:val="24"/>
        </w:rPr>
        <w:t>SB</w:t>
      </w:r>
      <w:r w:rsidRPr="003C6DBD">
        <w:rPr>
          <w:rFonts w:ascii="Times New Roman" w:hAnsi="Times New Roman" w:cs="Times New Roman"/>
          <w:color w:val="0D0D0D" w:themeColor="text1" w:themeTint="F2"/>
          <w:sz w:val="24"/>
          <w:szCs w:val="24"/>
        </w:rPr>
        <w:t xml:space="preserve"> companies continuously outperform PB</w:t>
      </w:r>
      <w:r w:rsidR="00183B6E" w:rsidRPr="003C6DBD">
        <w:rPr>
          <w:rFonts w:ascii="Times New Roman" w:hAnsi="Times New Roman" w:cs="Times New Roman"/>
          <w:color w:val="0D0D0D" w:themeColor="text1" w:themeTint="F2"/>
          <w:sz w:val="24"/>
          <w:szCs w:val="24"/>
        </w:rPr>
        <w:t xml:space="preserve"> and ALL</w:t>
      </w:r>
      <w:r w:rsidRPr="003C6DBD">
        <w:rPr>
          <w:rFonts w:ascii="Times New Roman" w:hAnsi="Times New Roman" w:cs="Times New Roman"/>
          <w:color w:val="0D0D0D" w:themeColor="text1" w:themeTint="F2"/>
          <w:sz w:val="24"/>
          <w:szCs w:val="24"/>
        </w:rPr>
        <w:t xml:space="preserve"> companies.</w:t>
      </w:r>
      <w:r w:rsidR="00183B6E" w:rsidRPr="003C6DBD">
        <w:rPr>
          <w:rFonts w:ascii="Times New Roman" w:hAnsi="Times New Roman" w:cs="Times New Roman"/>
          <w:color w:val="0D0D0D" w:themeColor="text1" w:themeTint="F2"/>
          <w:sz w:val="24"/>
          <w:szCs w:val="24"/>
        </w:rPr>
        <w:t xml:space="preserve"> PB portfolio </w:t>
      </w:r>
      <w:r w:rsidR="008D706B" w:rsidRPr="003C6DBD">
        <w:rPr>
          <w:rFonts w:ascii="Times New Roman" w:hAnsi="Times New Roman" w:cs="Times New Roman"/>
          <w:color w:val="0D0D0D" w:themeColor="text1" w:themeTint="F2"/>
          <w:sz w:val="24"/>
          <w:szCs w:val="24"/>
        </w:rPr>
        <w:t>has</w:t>
      </w:r>
      <w:r w:rsidR="00183B6E" w:rsidRPr="003C6DBD">
        <w:rPr>
          <w:rFonts w:ascii="Times New Roman" w:hAnsi="Times New Roman" w:cs="Times New Roman"/>
          <w:color w:val="0D0D0D" w:themeColor="text1" w:themeTint="F2"/>
          <w:sz w:val="24"/>
          <w:szCs w:val="24"/>
        </w:rPr>
        <w:t xml:space="preserve"> the least total debt to equity ratio among all three portfolios.</w:t>
      </w:r>
      <w:r w:rsidRPr="003C6DBD">
        <w:rPr>
          <w:rFonts w:ascii="Times New Roman" w:hAnsi="Times New Roman" w:cs="Times New Roman"/>
          <w:color w:val="0D0D0D" w:themeColor="text1" w:themeTint="F2"/>
          <w:sz w:val="24"/>
          <w:szCs w:val="24"/>
        </w:rPr>
        <w:t xml:space="preserve"> </w:t>
      </w:r>
      <w:r w:rsidR="00183B6E" w:rsidRPr="003C6DBD">
        <w:rPr>
          <w:rFonts w:ascii="Times New Roman" w:hAnsi="Times New Roman" w:cs="Times New Roman"/>
          <w:color w:val="0D0D0D" w:themeColor="text1" w:themeTint="F2"/>
          <w:sz w:val="24"/>
          <w:szCs w:val="24"/>
        </w:rPr>
        <w:t>SB</w:t>
      </w:r>
      <w:r w:rsidR="00082BCB" w:rsidRPr="003C6DBD">
        <w:rPr>
          <w:rFonts w:ascii="Times New Roman" w:hAnsi="Times New Roman" w:cs="Times New Roman"/>
          <w:color w:val="0D0D0D" w:themeColor="text1" w:themeTint="F2"/>
          <w:sz w:val="24"/>
          <w:szCs w:val="24"/>
        </w:rPr>
        <w:t xml:space="preserve"> companies have </w:t>
      </w:r>
      <w:r w:rsidR="008D706B" w:rsidRPr="003C6DBD">
        <w:rPr>
          <w:rFonts w:ascii="Times New Roman" w:hAnsi="Times New Roman" w:cs="Times New Roman"/>
          <w:color w:val="0D0D0D" w:themeColor="text1" w:themeTint="F2"/>
          <w:sz w:val="24"/>
          <w:szCs w:val="24"/>
        </w:rPr>
        <w:t>a relatively</w:t>
      </w:r>
      <w:r w:rsidR="00082BCB" w:rsidRPr="003C6DBD">
        <w:rPr>
          <w:rFonts w:ascii="Times New Roman" w:hAnsi="Times New Roman" w:cs="Times New Roman"/>
          <w:color w:val="0D0D0D" w:themeColor="text1" w:themeTint="F2"/>
          <w:sz w:val="24"/>
          <w:szCs w:val="24"/>
        </w:rPr>
        <w:t xml:space="preserve"> higher proportion of equity in their capital structure as compared to PB companies. PB companies seem to have </w:t>
      </w:r>
      <w:r w:rsidR="00792B41" w:rsidRPr="003C6DBD">
        <w:rPr>
          <w:rFonts w:ascii="Times New Roman" w:hAnsi="Times New Roman" w:cs="Times New Roman"/>
          <w:color w:val="0D0D0D" w:themeColor="text1" w:themeTint="F2"/>
          <w:sz w:val="24"/>
          <w:szCs w:val="24"/>
        </w:rPr>
        <w:t>a low</w:t>
      </w:r>
      <w:r w:rsidR="00082BCB" w:rsidRPr="003C6DBD">
        <w:rPr>
          <w:rFonts w:ascii="Times New Roman" w:hAnsi="Times New Roman" w:cs="Times New Roman"/>
          <w:color w:val="0D0D0D" w:themeColor="text1" w:themeTint="F2"/>
          <w:sz w:val="24"/>
          <w:szCs w:val="24"/>
        </w:rPr>
        <w:t xml:space="preserve"> proportion </w:t>
      </w:r>
      <w:r w:rsidR="00D870A6" w:rsidRPr="003C6DBD">
        <w:rPr>
          <w:rFonts w:ascii="Times New Roman" w:hAnsi="Times New Roman" w:cs="Times New Roman"/>
          <w:color w:val="0D0D0D" w:themeColor="text1" w:themeTint="F2"/>
          <w:sz w:val="24"/>
          <w:szCs w:val="24"/>
        </w:rPr>
        <w:t>of</w:t>
      </w:r>
      <w:r w:rsidR="00082BCB" w:rsidRPr="003C6DBD">
        <w:rPr>
          <w:rFonts w:ascii="Times New Roman" w:hAnsi="Times New Roman" w:cs="Times New Roman"/>
          <w:color w:val="0D0D0D" w:themeColor="text1" w:themeTint="F2"/>
          <w:sz w:val="24"/>
          <w:szCs w:val="24"/>
        </w:rPr>
        <w:t xml:space="preserve"> debt and </w:t>
      </w:r>
      <w:r w:rsidR="008D706B" w:rsidRPr="003C6DBD">
        <w:rPr>
          <w:rFonts w:ascii="Times New Roman" w:hAnsi="Times New Roman" w:cs="Times New Roman"/>
          <w:color w:val="0D0D0D" w:themeColor="text1" w:themeTint="F2"/>
          <w:sz w:val="24"/>
          <w:szCs w:val="24"/>
        </w:rPr>
        <w:t>a higher</w:t>
      </w:r>
      <w:r w:rsidR="00082BCB" w:rsidRPr="003C6DBD">
        <w:rPr>
          <w:rFonts w:ascii="Times New Roman" w:hAnsi="Times New Roman" w:cs="Times New Roman"/>
          <w:color w:val="0D0D0D" w:themeColor="text1" w:themeTint="F2"/>
          <w:sz w:val="24"/>
          <w:szCs w:val="24"/>
        </w:rPr>
        <w:t xml:space="preserve"> proportion of equity in their capital structure. In terms of asset to equity ratio, the assets of </w:t>
      </w:r>
      <w:r w:rsidR="00183B6E" w:rsidRPr="003C6DBD">
        <w:rPr>
          <w:rFonts w:ascii="Times New Roman" w:hAnsi="Times New Roman" w:cs="Times New Roman"/>
          <w:color w:val="0D0D0D" w:themeColor="text1" w:themeTint="F2"/>
          <w:sz w:val="24"/>
          <w:szCs w:val="24"/>
        </w:rPr>
        <w:t>SB</w:t>
      </w:r>
      <w:r w:rsidR="00082BCB" w:rsidRPr="003C6DBD">
        <w:rPr>
          <w:rFonts w:ascii="Times New Roman" w:hAnsi="Times New Roman" w:cs="Times New Roman"/>
          <w:color w:val="0D0D0D" w:themeColor="text1" w:themeTint="F2"/>
          <w:sz w:val="24"/>
          <w:szCs w:val="24"/>
        </w:rPr>
        <w:t xml:space="preserve"> companies are more than two </w:t>
      </w:r>
      <w:r w:rsidR="00792B41" w:rsidRPr="003C6DBD">
        <w:rPr>
          <w:rFonts w:ascii="Times New Roman" w:hAnsi="Times New Roman" w:cs="Times New Roman"/>
          <w:color w:val="0D0D0D" w:themeColor="text1" w:themeTint="F2"/>
          <w:sz w:val="24"/>
          <w:szCs w:val="24"/>
        </w:rPr>
        <w:t>times</w:t>
      </w:r>
      <w:r w:rsidR="00082BCB" w:rsidRPr="003C6DBD">
        <w:rPr>
          <w:rFonts w:ascii="Times New Roman" w:hAnsi="Times New Roman" w:cs="Times New Roman"/>
          <w:color w:val="0D0D0D" w:themeColor="text1" w:themeTint="F2"/>
          <w:sz w:val="24"/>
          <w:szCs w:val="24"/>
        </w:rPr>
        <w:t xml:space="preserve"> the </w:t>
      </w:r>
      <w:r w:rsidR="008D706B" w:rsidRPr="003C6DBD">
        <w:rPr>
          <w:rFonts w:ascii="Times New Roman" w:hAnsi="Times New Roman" w:cs="Times New Roman"/>
          <w:color w:val="0D0D0D" w:themeColor="text1" w:themeTint="F2"/>
          <w:sz w:val="24"/>
          <w:szCs w:val="24"/>
        </w:rPr>
        <w:t>equity,</w:t>
      </w:r>
      <w:r w:rsidR="00082BCB" w:rsidRPr="003C6DBD">
        <w:rPr>
          <w:rFonts w:ascii="Times New Roman" w:hAnsi="Times New Roman" w:cs="Times New Roman"/>
          <w:color w:val="0D0D0D" w:themeColor="text1" w:themeTint="F2"/>
          <w:sz w:val="24"/>
          <w:szCs w:val="24"/>
        </w:rPr>
        <w:t xml:space="preserve"> which explains the resourcefulness of those companies</w:t>
      </w:r>
      <w:r w:rsidR="00BD7DB0" w:rsidRPr="003C6DBD">
        <w:rPr>
          <w:rFonts w:ascii="Times New Roman" w:hAnsi="Times New Roman" w:cs="Times New Roman"/>
          <w:color w:val="0D0D0D" w:themeColor="text1" w:themeTint="F2"/>
          <w:sz w:val="24"/>
          <w:szCs w:val="24"/>
        </w:rPr>
        <w:t xml:space="preserve"> but</w:t>
      </w:r>
      <w:r w:rsidR="00792B41" w:rsidRPr="003C6DBD">
        <w:rPr>
          <w:rFonts w:ascii="Times New Roman" w:hAnsi="Times New Roman" w:cs="Times New Roman"/>
          <w:color w:val="0D0D0D" w:themeColor="text1" w:themeTint="F2"/>
          <w:sz w:val="24"/>
          <w:szCs w:val="24"/>
        </w:rPr>
        <w:t xml:space="preserve"> their</w:t>
      </w:r>
      <w:r w:rsidR="00BD7DB0" w:rsidRPr="003C6DBD">
        <w:rPr>
          <w:rFonts w:ascii="Times New Roman" w:hAnsi="Times New Roman" w:cs="Times New Roman"/>
          <w:color w:val="0D0D0D" w:themeColor="text1" w:themeTint="F2"/>
          <w:sz w:val="24"/>
          <w:szCs w:val="24"/>
        </w:rPr>
        <w:t xml:space="preserve"> </w:t>
      </w:r>
      <w:r w:rsidR="00792B41" w:rsidRPr="003C6DBD">
        <w:rPr>
          <w:rFonts w:ascii="Times New Roman" w:hAnsi="Times New Roman" w:cs="Times New Roman"/>
          <w:color w:val="0D0D0D" w:themeColor="text1" w:themeTint="F2"/>
          <w:sz w:val="24"/>
          <w:szCs w:val="24"/>
        </w:rPr>
        <w:t xml:space="preserve">high </w:t>
      </w:r>
      <w:r w:rsidR="00BD7DB0" w:rsidRPr="003C6DBD">
        <w:rPr>
          <w:rFonts w:ascii="Times New Roman" w:hAnsi="Times New Roman" w:cs="Times New Roman"/>
          <w:color w:val="0D0D0D" w:themeColor="text1" w:themeTint="F2"/>
          <w:sz w:val="24"/>
          <w:szCs w:val="24"/>
        </w:rPr>
        <w:t>risk at the same time</w:t>
      </w:r>
      <w:r w:rsidR="00082BCB" w:rsidRPr="003C6DBD">
        <w:rPr>
          <w:rFonts w:ascii="Times New Roman" w:hAnsi="Times New Roman" w:cs="Times New Roman"/>
          <w:color w:val="0D0D0D" w:themeColor="text1" w:themeTint="F2"/>
          <w:sz w:val="24"/>
          <w:szCs w:val="24"/>
        </w:rPr>
        <w:t xml:space="preserve">. </w:t>
      </w:r>
      <w:r w:rsidR="0090254A" w:rsidRPr="003C6DBD">
        <w:rPr>
          <w:rFonts w:ascii="Times New Roman" w:hAnsi="Times New Roman" w:cs="Times New Roman"/>
          <w:color w:val="0D0D0D" w:themeColor="text1" w:themeTint="F2"/>
          <w:sz w:val="24"/>
          <w:szCs w:val="24"/>
        </w:rPr>
        <w:t xml:space="preserve">PB companies have nearly equal asset value as their </w:t>
      </w:r>
      <w:r w:rsidR="008D706B" w:rsidRPr="003C6DBD">
        <w:rPr>
          <w:rFonts w:ascii="Times New Roman" w:hAnsi="Times New Roman" w:cs="Times New Roman"/>
          <w:color w:val="0D0D0D" w:themeColor="text1" w:themeTint="F2"/>
          <w:sz w:val="24"/>
          <w:szCs w:val="24"/>
        </w:rPr>
        <w:t>equity,</w:t>
      </w:r>
      <w:r w:rsidR="0090254A" w:rsidRPr="003C6DBD">
        <w:rPr>
          <w:rFonts w:ascii="Times New Roman" w:hAnsi="Times New Roman" w:cs="Times New Roman"/>
          <w:color w:val="0D0D0D" w:themeColor="text1" w:themeTint="F2"/>
          <w:sz w:val="24"/>
          <w:szCs w:val="24"/>
        </w:rPr>
        <w:t xml:space="preserve"> which explains the less risky approach of PB companies to purchase their assets. </w:t>
      </w:r>
      <w:r w:rsidR="004606B2" w:rsidRPr="003C6DBD">
        <w:rPr>
          <w:rFonts w:ascii="Times New Roman" w:hAnsi="Times New Roman" w:cs="Times New Roman"/>
          <w:color w:val="0D0D0D" w:themeColor="text1" w:themeTint="F2"/>
          <w:sz w:val="24"/>
          <w:szCs w:val="24"/>
        </w:rPr>
        <w:t xml:space="preserve">The price to earnings ratio is </w:t>
      </w:r>
      <w:r w:rsidR="00064139" w:rsidRPr="003C6DBD">
        <w:rPr>
          <w:rFonts w:ascii="Times New Roman" w:hAnsi="Times New Roman" w:cs="Times New Roman"/>
          <w:color w:val="0D0D0D" w:themeColor="text1" w:themeTint="F2"/>
          <w:sz w:val="24"/>
          <w:szCs w:val="24"/>
        </w:rPr>
        <w:t>highly volatile</w:t>
      </w:r>
      <w:r w:rsidR="004606B2" w:rsidRPr="003C6DBD">
        <w:rPr>
          <w:rFonts w:ascii="Times New Roman" w:hAnsi="Times New Roman" w:cs="Times New Roman"/>
          <w:color w:val="0D0D0D" w:themeColor="text1" w:themeTint="F2"/>
          <w:sz w:val="24"/>
          <w:szCs w:val="24"/>
        </w:rPr>
        <w:t xml:space="preserve"> for </w:t>
      </w:r>
      <w:r w:rsidR="00183B6E" w:rsidRPr="003C6DBD">
        <w:rPr>
          <w:rFonts w:ascii="Times New Roman" w:hAnsi="Times New Roman" w:cs="Times New Roman"/>
          <w:color w:val="0D0D0D" w:themeColor="text1" w:themeTint="F2"/>
          <w:sz w:val="24"/>
          <w:szCs w:val="24"/>
        </w:rPr>
        <w:t>all three</w:t>
      </w:r>
      <w:r w:rsidR="004606B2" w:rsidRPr="003C6DBD">
        <w:rPr>
          <w:rFonts w:ascii="Times New Roman" w:hAnsi="Times New Roman" w:cs="Times New Roman"/>
          <w:color w:val="0D0D0D" w:themeColor="text1" w:themeTint="F2"/>
          <w:sz w:val="24"/>
          <w:szCs w:val="24"/>
        </w:rPr>
        <w:t xml:space="preserve"> </w:t>
      </w:r>
      <w:r w:rsidR="00792B41" w:rsidRPr="003C6DBD">
        <w:rPr>
          <w:rFonts w:ascii="Times New Roman" w:hAnsi="Times New Roman" w:cs="Times New Roman"/>
          <w:color w:val="0D0D0D" w:themeColor="text1" w:themeTint="F2"/>
          <w:sz w:val="24"/>
          <w:szCs w:val="24"/>
        </w:rPr>
        <w:t>portfolios</w:t>
      </w:r>
      <w:r w:rsidR="004606B2" w:rsidRPr="003C6DBD">
        <w:rPr>
          <w:rFonts w:ascii="Times New Roman" w:hAnsi="Times New Roman" w:cs="Times New Roman"/>
          <w:color w:val="0D0D0D" w:themeColor="text1" w:themeTint="F2"/>
          <w:sz w:val="24"/>
          <w:szCs w:val="24"/>
        </w:rPr>
        <w:t xml:space="preserve"> of companies, and</w:t>
      </w:r>
      <w:r w:rsidR="00183B6E" w:rsidRPr="003C6DBD">
        <w:rPr>
          <w:rFonts w:ascii="Times New Roman" w:hAnsi="Times New Roman" w:cs="Times New Roman"/>
          <w:color w:val="0D0D0D" w:themeColor="text1" w:themeTint="F2"/>
          <w:sz w:val="24"/>
          <w:szCs w:val="24"/>
        </w:rPr>
        <w:t xml:space="preserve"> SB</w:t>
      </w:r>
      <w:r w:rsidR="004606B2" w:rsidRPr="003C6DBD">
        <w:rPr>
          <w:rFonts w:ascii="Times New Roman" w:hAnsi="Times New Roman" w:cs="Times New Roman"/>
          <w:color w:val="0D0D0D" w:themeColor="text1" w:themeTint="F2"/>
          <w:sz w:val="24"/>
          <w:szCs w:val="24"/>
        </w:rPr>
        <w:t xml:space="preserve"> companies </w:t>
      </w:r>
      <w:r w:rsidR="00064139" w:rsidRPr="003C6DBD">
        <w:rPr>
          <w:rFonts w:ascii="Times New Roman" w:hAnsi="Times New Roman" w:cs="Times New Roman"/>
          <w:color w:val="0D0D0D" w:themeColor="text1" w:themeTint="F2"/>
          <w:sz w:val="24"/>
          <w:szCs w:val="24"/>
        </w:rPr>
        <w:t xml:space="preserve">are comparable </w:t>
      </w:r>
      <w:r w:rsidR="004606B2" w:rsidRPr="003C6DBD">
        <w:rPr>
          <w:rFonts w:ascii="Times New Roman" w:hAnsi="Times New Roman" w:cs="Times New Roman"/>
          <w:color w:val="0D0D0D" w:themeColor="text1" w:themeTint="F2"/>
          <w:sz w:val="24"/>
          <w:szCs w:val="24"/>
        </w:rPr>
        <w:t>to</w:t>
      </w:r>
      <w:r w:rsidR="00183B6E" w:rsidRPr="003C6DBD">
        <w:rPr>
          <w:rFonts w:ascii="Times New Roman" w:hAnsi="Times New Roman" w:cs="Times New Roman"/>
          <w:color w:val="0D0D0D" w:themeColor="text1" w:themeTint="F2"/>
          <w:sz w:val="24"/>
          <w:szCs w:val="24"/>
        </w:rPr>
        <w:t xml:space="preserve"> ALL</w:t>
      </w:r>
      <w:r w:rsidR="004606B2" w:rsidRPr="003C6DBD">
        <w:rPr>
          <w:rFonts w:ascii="Times New Roman" w:hAnsi="Times New Roman" w:cs="Times New Roman"/>
          <w:color w:val="0D0D0D" w:themeColor="text1" w:themeTint="F2"/>
          <w:sz w:val="24"/>
          <w:szCs w:val="24"/>
        </w:rPr>
        <w:t xml:space="preserve"> companies. </w:t>
      </w:r>
      <w:r w:rsidR="0036660E" w:rsidRPr="003C6DBD">
        <w:rPr>
          <w:rFonts w:ascii="Times New Roman" w:hAnsi="Times New Roman" w:cs="Times New Roman"/>
          <w:color w:val="0D0D0D" w:themeColor="text1" w:themeTint="F2"/>
          <w:sz w:val="24"/>
          <w:szCs w:val="24"/>
        </w:rPr>
        <w:t xml:space="preserve">The median EPS for </w:t>
      </w:r>
      <w:r w:rsidR="00730870" w:rsidRPr="003C6DBD">
        <w:rPr>
          <w:rFonts w:ascii="Times New Roman" w:hAnsi="Times New Roman" w:cs="Times New Roman"/>
          <w:color w:val="0D0D0D" w:themeColor="text1" w:themeTint="F2"/>
          <w:sz w:val="24"/>
          <w:szCs w:val="24"/>
        </w:rPr>
        <w:t>all three portfolios</w:t>
      </w:r>
      <w:r w:rsidR="0036660E" w:rsidRPr="003C6DBD">
        <w:rPr>
          <w:rFonts w:ascii="Times New Roman" w:hAnsi="Times New Roman" w:cs="Times New Roman"/>
          <w:color w:val="0D0D0D" w:themeColor="text1" w:themeTint="F2"/>
          <w:sz w:val="24"/>
          <w:szCs w:val="24"/>
        </w:rPr>
        <w:t xml:space="preserve"> is </w:t>
      </w:r>
      <w:r w:rsidR="00064139" w:rsidRPr="003C6DBD">
        <w:rPr>
          <w:rFonts w:ascii="Times New Roman" w:hAnsi="Times New Roman" w:cs="Times New Roman"/>
          <w:color w:val="0D0D0D" w:themeColor="text1" w:themeTint="F2"/>
          <w:sz w:val="24"/>
          <w:szCs w:val="24"/>
        </w:rPr>
        <w:t xml:space="preserve">fairly </w:t>
      </w:r>
      <w:r w:rsidR="0036660E" w:rsidRPr="003C6DBD">
        <w:rPr>
          <w:rFonts w:ascii="Times New Roman" w:hAnsi="Times New Roman" w:cs="Times New Roman"/>
          <w:color w:val="0D0D0D" w:themeColor="text1" w:themeTint="F2"/>
          <w:sz w:val="24"/>
          <w:szCs w:val="24"/>
        </w:rPr>
        <w:t>stable</w:t>
      </w:r>
      <w:r w:rsidR="00064139" w:rsidRPr="003C6DBD">
        <w:rPr>
          <w:rFonts w:ascii="Times New Roman" w:hAnsi="Times New Roman" w:cs="Times New Roman"/>
          <w:color w:val="0D0D0D" w:themeColor="text1" w:themeTint="F2"/>
          <w:sz w:val="24"/>
          <w:szCs w:val="24"/>
        </w:rPr>
        <w:t xml:space="preserve"> throughout the study period except </w:t>
      </w:r>
      <w:r w:rsidR="0036660E" w:rsidRPr="003C6DBD">
        <w:rPr>
          <w:rFonts w:ascii="Times New Roman" w:hAnsi="Times New Roman" w:cs="Times New Roman"/>
          <w:color w:val="0D0D0D" w:themeColor="text1" w:themeTint="F2"/>
          <w:sz w:val="24"/>
          <w:szCs w:val="24"/>
        </w:rPr>
        <w:t xml:space="preserve">companies in PB portfolio </w:t>
      </w:r>
      <w:r w:rsidR="00E375A8" w:rsidRPr="003C6DBD">
        <w:rPr>
          <w:rFonts w:ascii="Times New Roman" w:hAnsi="Times New Roman" w:cs="Times New Roman"/>
          <w:color w:val="0D0D0D" w:themeColor="text1" w:themeTint="F2"/>
          <w:sz w:val="24"/>
          <w:szCs w:val="24"/>
        </w:rPr>
        <w:t xml:space="preserve">are </w:t>
      </w:r>
      <w:r w:rsidR="00064139" w:rsidRPr="003C6DBD">
        <w:rPr>
          <w:rFonts w:ascii="Times New Roman" w:hAnsi="Times New Roman" w:cs="Times New Roman"/>
          <w:color w:val="0D0D0D" w:themeColor="text1" w:themeTint="F2"/>
          <w:sz w:val="24"/>
          <w:szCs w:val="24"/>
        </w:rPr>
        <w:t>higher than</w:t>
      </w:r>
      <w:r w:rsidR="00730870" w:rsidRPr="003C6DBD">
        <w:rPr>
          <w:rFonts w:ascii="Times New Roman" w:hAnsi="Times New Roman" w:cs="Times New Roman"/>
          <w:color w:val="0D0D0D" w:themeColor="text1" w:themeTint="F2"/>
          <w:sz w:val="24"/>
          <w:szCs w:val="24"/>
        </w:rPr>
        <w:t xml:space="preserve"> SB and ALL</w:t>
      </w:r>
      <w:r w:rsidR="00505B7D" w:rsidRPr="003C6DBD">
        <w:rPr>
          <w:rFonts w:ascii="Times New Roman" w:hAnsi="Times New Roman" w:cs="Times New Roman"/>
          <w:color w:val="0D0D0D" w:themeColor="text1" w:themeTint="F2"/>
          <w:sz w:val="24"/>
          <w:szCs w:val="24"/>
        </w:rPr>
        <w:t xml:space="preserve"> portfolio</w:t>
      </w:r>
      <w:r w:rsidR="00730870" w:rsidRPr="003C6DBD">
        <w:rPr>
          <w:rFonts w:ascii="Times New Roman" w:hAnsi="Times New Roman" w:cs="Times New Roman"/>
          <w:color w:val="0D0D0D" w:themeColor="text1" w:themeTint="F2"/>
          <w:sz w:val="24"/>
          <w:szCs w:val="24"/>
        </w:rPr>
        <w:t>s</w:t>
      </w:r>
      <w:r w:rsidR="00E81665" w:rsidRPr="003C6DBD">
        <w:rPr>
          <w:rFonts w:ascii="Times New Roman" w:hAnsi="Times New Roman" w:cs="Times New Roman"/>
          <w:color w:val="0D0D0D" w:themeColor="text1" w:themeTint="F2"/>
          <w:sz w:val="24"/>
          <w:szCs w:val="24"/>
        </w:rPr>
        <w:t xml:space="preserve"> at the start of </w:t>
      </w:r>
      <w:r w:rsidR="00064139" w:rsidRPr="003C6DBD">
        <w:rPr>
          <w:rFonts w:ascii="Times New Roman" w:hAnsi="Times New Roman" w:cs="Times New Roman"/>
          <w:color w:val="0D0D0D" w:themeColor="text1" w:themeTint="F2"/>
          <w:sz w:val="24"/>
          <w:szCs w:val="24"/>
        </w:rPr>
        <w:t xml:space="preserve">the </w:t>
      </w:r>
      <w:r w:rsidR="00E81665" w:rsidRPr="003C6DBD">
        <w:rPr>
          <w:rFonts w:ascii="Times New Roman" w:hAnsi="Times New Roman" w:cs="Times New Roman"/>
          <w:color w:val="0D0D0D" w:themeColor="text1" w:themeTint="F2"/>
          <w:sz w:val="24"/>
          <w:szCs w:val="24"/>
        </w:rPr>
        <w:t>study period</w:t>
      </w:r>
      <w:r w:rsidR="00505B7D" w:rsidRPr="003C6DBD">
        <w:rPr>
          <w:rFonts w:ascii="Times New Roman" w:hAnsi="Times New Roman" w:cs="Times New Roman"/>
          <w:color w:val="0D0D0D" w:themeColor="text1" w:themeTint="F2"/>
          <w:sz w:val="24"/>
          <w:szCs w:val="24"/>
        </w:rPr>
        <w:t xml:space="preserve">. </w:t>
      </w:r>
      <w:r w:rsidR="00730870" w:rsidRPr="003C6DBD">
        <w:rPr>
          <w:rFonts w:ascii="Times New Roman" w:hAnsi="Times New Roman" w:cs="Times New Roman"/>
          <w:color w:val="0D0D0D" w:themeColor="text1" w:themeTint="F2"/>
          <w:sz w:val="24"/>
          <w:szCs w:val="24"/>
        </w:rPr>
        <w:t xml:space="preserve">Altman Z, a measure of financial distress, is found to be highly volatile for PB portfolio but fairly stable for </w:t>
      </w:r>
      <w:r w:rsidR="008D706B" w:rsidRPr="003C6DBD">
        <w:rPr>
          <w:rFonts w:ascii="Times New Roman" w:hAnsi="Times New Roman" w:cs="Times New Roman"/>
          <w:color w:val="0D0D0D" w:themeColor="text1" w:themeTint="F2"/>
          <w:sz w:val="24"/>
          <w:szCs w:val="24"/>
        </w:rPr>
        <w:t>the other</w:t>
      </w:r>
      <w:r w:rsidR="00730870" w:rsidRPr="003C6DBD">
        <w:rPr>
          <w:rFonts w:ascii="Times New Roman" w:hAnsi="Times New Roman" w:cs="Times New Roman"/>
          <w:color w:val="0D0D0D" w:themeColor="text1" w:themeTint="F2"/>
          <w:sz w:val="24"/>
          <w:szCs w:val="24"/>
        </w:rPr>
        <w:t xml:space="preserve"> two portfolios. Similarly, </w:t>
      </w:r>
      <w:r w:rsidR="00566480" w:rsidRPr="003C6DBD">
        <w:rPr>
          <w:rFonts w:ascii="Times New Roman" w:hAnsi="Times New Roman" w:cs="Times New Roman"/>
          <w:color w:val="0D0D0D" w:themeColor="text1" w:themeTint="F2"/>
          <w:sz w:val="24"/>
          <w:szCs w:val="24"/>
        </w:rPr>
        <w:t>cash flow ratios</w:t>
      </w:r>
      <w:r w:rsidR="00730870" w:rsidRPr="003C6DBD">
        <w:rPr>
          <w:rFonts w:ascii="Times New Roman" w:hAnsi="Times New Roman" w:cs="Times New Roman"/>
          <w:color w:val="0D0D0D" w:themeColor="text1" w:themeTint="F2"/>
          <w:sz w:val="24"/>
          <w:szCs w:val="24"/>
        </w:rPr>
        <w:t xml:space="preserve"> are</w:t>
      </w:r>
      <w:r w:rsidR="00566480" w:rsidRPr="003C6DBD">
        <w:rPr>
          <w:rFonts w:ascii="Times New Roman" w:hAnsi="Times New Roman" w:cs="Times New Roman"/>
          <w:color w:val="0D0D0D" w:themeColor="text1" w:themeTint="F2"/>
          <w:sz w:val="24"/>
          <w:szCs w:val="24"/>
        </w:rPr>
        <w:t xml:space="preserve"> </w:t>
      </w:r>
      <w:r w:rsidR="00730870" w:rsidRPr="003C6DBD">
        <w:rPr>
          <w:rFonts w:ascii="Times New Roman" w:hAnsi="Times New Roman" w:cs="Times New Roman"/>
          <w:color w:val="0D0D0D" w:themeColor="text1" w:themeTint="F2"/>
          <w:sz w:val="24"/>
          <w:szCs w:val="24"/>
        </w:rPr>
        <w:t xml:space="preserve">highly volatile for PB </w:t>
      </w:r>
      <w:r w:rsidR="000268BD" w:rsidRPr="003C6DBD">
        <w:rPr>
          <w:rFonts w:ascii="Times New Roman" w:hAnsi="Times New Roman" w:cs="Times New Roman"/>
          <w:color w:val="0D0D0D" w:themeColor="text1" w:themeTint="F2"/>
          <w:sz w:val="24"/>
          <w:szCs w:val="24"/>
        </w:rPr>
        <w:t>companies throughout the study period a</w:t>
      </w:r>
      <w:r w:rsidR="00730870" w:rsidRPr="003C6DBD">
        <w:rPr>
          <w:rFonts w:ascii="Times New Roman" w:hAnsi="Times New Roman" w:cs="Times New Roman"/>
          <w:color w:val="0D0D0D" w:themeColor="text1" w:themeTint="F2"/>
          <w:sz w:val="24"/>
          <w:szCs w:val="24"/>
        </w:rPr>
        <w:t>nd</w:t>
      </w:r>
      <w:r w:rsidR="000268BD" w:rsidRPr="003C6DBD">
        <w:rPr>
          <w:rFonts w:ascii="Times New Roman" w:hAnsi="Times New Roman" w:cs="Times New Roman"/>
          <w:color w:val="0D0D0D" w:themeColor="text1" w:themeTint="F2"/>
          <w:sz w:val="24"/>
          <w:szCs w:val="24"/>
        </w:rPr>
        <w:t xml:space="preserve"> </w:t>
      </w:r>
      <w:r w:rsidR="00730870" w:rsidRPr="003C6DBD">
        <w:rPr>
          <w:rFonts w:ascii="Times New Roman" w:hAnsi="Times New Roman" w:cs="Times New Roman"/>
          <w:color w:val="0D0D0D" w:themeColor="text1" w:themeTint="F2"/>
          <w:sz w:val="24"/>
          <w:szCs w:val="24"/>
        </w:rPr>
        <w:t>SB and ALL</w:t>
      </w:r>
      <w:r w:rsidR="000268BD" w:rsidRPr="003C6DBD">
        <w:rPr>
          <w:rFonts w:ascii="Times New Roman" w:hAnsi="Times New Roman" w:cs="Times New Roman"/>
          <w:color w:val="0D0D0D" w:themeColor="text1" w:themeTint="F2"/>
          <w:sz w:val="24"/>
          <w:szCs w:val="24"/>
        </w:rPr>
        <w:t xml:space="preserve"> companies are found to be fairly stable</w:t>
      </w:r>
      <w:r w:rsidR="00730870" w:rsidRPr="003C6DBD">
        <w:rPr>
          <w:rFonts w:ascii="Times New Roman" w:hAnsi="Times New Roman" w:cs="Times New Roman"/>
          <w:color w:val="0D0D0D" w:themeColor="text1" w:themeTint="F2"/>
          <w:sz w:val="24"/>
          <w:szCs w:val="24"/>
        </w:rPr>
        <w:t xml:space="preserve"> and consistent</w:t>
      </w:r>
      <w:r w:rsidR="000268BD" w:rsidRPr="003C6DBD">
        <w:rPr>
          <w:rFonts w:ascii="Times New Roman" w:hAnsi="Times New Roman" w:cs="Times New Roman"/>
          <w:color w:val="0D0D0D" w:themeColor="text1" w:themeTint="F2"/>
          <w:sz w:val="24"/>
          <w:szCs w:val="24"/>
        </w:rPr>
        <w:t xml:space="preserve">. </w:t>
      </w:r>
    </w:p>
    <w:p w14:paraId="007CC081" w14:textId="3FC75A81" w:rsidR="00032353" w:rsidRPr="003C6DBD" w:rsidRDefault="004D753A" w:rsidP="002A7494">
      <w:pPr>
        <w:pStyle w:val="Heading4"/>
        <w:rPr>
          <w:color w:val="0D0D0D" w:themeColor="text1" w:themeTint="F2"/>
        </w:rPr>
      </w:pPr>
      <w:r w:rsidRPr="003C6DBD">
        <w:rPr>
          <w:color w:val="0D0D0D" w:themeColor="text1" w:themeTint="F2"/>
        </w:rPr>
        <w:t>5.</w:t>
      </w:r>
      <w:r w:rsidR="00AE5159" w:rsidRPr="003C6DBD">
        <w:rPr>
          <w:color w:val="0D0D0D" w:themeColor="text1" w:themeTint="F2"/>
        </w:rPr>
        <w:t>3</w:t>
      </w:r>
      <w:r w:rsidRPr="003C6DBD">
        <w:rPr>
          <w:color w:val="0D0D0D" w:themeColor="text1" w:themeTint="F2"/>
        </w:rPr>
        <w:t>.</w:t>
      </w:r>
      <w:r w:rsidR="00556B74" w:rsidRPr="003C6DBD">
        <w:rPr>
          <w:color w:val="0D0D0D" w:themeColor="text1" w:themeTint="F2"/>
        </w:rPr>
        <w:t>5</w:t>
      </w:r>
      <w:r w:rsidRPr="003C6DBD">
        <w:rPr>
          <w:color w:val="0D0D0D" w:themeColor="text1" w:themeTint="F2"/>
        </w:rPr>
        <w:t xml:space="preserve"> </w:t>
      </w:r>
      <w:r w:rsidR="00834FCB" w:rsidRPr="003C6DBD">
        <w:rPr>
          <w:color w:val="0D0D0D" w:themeColor="text1" w:themeTint="F2"/>
        </w:rPr>
        <w:t>Stock returns</w:t>
      </w:r>
      <w:r w:rsidRPr="003C6DBD">
        <w:rPr>
          <w:color w:val="0D0D0D" w:themeColor="text1" w:themeTint="F2"/>
        </w:rPr>
        <w:t xml:space="preserve"> of companies </w:t>
      </w:r>
    </w:p>
    <w:p w14:paraId="531392C0" w14:textId="50FDEA57" w:rsidR="00C25B95" w:rsidRPr="003C6DBD" w:rsidRDefault="00A672EA" w:rsidP="004B2CAD">
      <w:pPr>
        <w:autoSpaceDE w:val="0"/>
        <w:autoSpaceDN w:val="0"/>
        <w:adjustRightInd w:val="0"/>
        <w:spacing w:after="0"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The </w:t>
      </w:r>
      <w:r w:rsidR="00501652" w:rsidRPr="003C6DBD">
        <w:rPr>
          <w:rFonts w:ascii="Times New Roman" w:hAnsi="Times New Roman" w:cs="Times New Roman"/>
          <w:color w:val="0D0D0D" w:themeColor="text1" w:themeTint="F2"/>
          <w:sz w:val="24"/>
          <w:szCs w:val="24"/>
        </w:rPr>
        <w:t>annual</w:t>
      </w:r>
      <w:r w:rsidR="00410CC4" w:rsidRPr="003C6DBD">
        <w:rPr>
          <w:rFonts w:ascii="Times New Roman" w:hAnsi="Times New Roman" w:cs="Times New Roman"/>
          <w:color w:val="0D0D0D" w:themeColor="text1" w:themeTint="F2"/>
          <w:sz w:val="24"/>
          <w:szCs w:val="24"/>
        </w:rPr>
        <w:t xml:space="preserve"> </w:t>
      </w:r>
      <w:r w:rsidR="00BD0778" w:rsidRPr="003C6DBD">
        <w:rPr>
          <w:rFonts w:ascii="Times New Roman" w:hAnsi="Times New Roman" w:cs="Times New Roman"/>
          <w:color w:val="0D0D0D" w:themeColor="text1" w:themeTint="F2"/>
          <w:sz w:val="24"/>
          <w:szCs w:val="24"/>
        </w:rPr>
        <w:t xml:space="preserve">weighted average </w:t>
      </w:r>
      <w:r w:rsidR="00410CC4" w:rsidRPr="003C6DBD">
        <w:rPr>
          <w:rFonts w:ascii="Times New Roman" w:hAnsi="Times New Roman" w:cs="Times New Roman"/>
          <w:color w:val="0D0D0D" w:themeColor="text1" w:themeTint="F2"/>
          <w:sz w:val="24"/>
          <w:szCs w:val="24"/>
        </w:rPr>
        <w:t xml:space="preserve">stock </w:t>
      </w:r>
      <w:r w:rsidR="00834FCB" w:rsidRPr="003C6DBD">
        <w:rPr>
          <w:rFonts w:ascii="Times New Roman" w:hAnsi="Times New Roman" w:cs="Times New Roman"/>
          <w:color w:val="0D0D0D" w:themeColor="text1" w:themeTint="F2"/>
          <w:sz w:val="24"/>
          <w:szCs w:val="24"/>
        </w:rPr>
        <w:t>returns</w:t>
      </w:r>
      <w:r w:rsidR="00410CC4" w:rsidRPr="003C6DBD">
        <w:rPr>
          <w:rFonts w:ascii="Times New Roman" w:hAnsi="Times New Roman" w:cs="Times New Roman"/>
          <w:color w:val="0D0D0D" w:themeColor="text1" w:themeTint="F2"/>
          <w:sz w:val="24"/>
          <w:szCs w:val="24"/>
        </w:rPr>
        <w:t xml:space="preserve"> for PB</w:t>
      </w:r>
      <w:r w:rsidR="00501652" w:rsidRPr="003C6DBD">
        <w:rPr>
          <w:rFonts w:ascii="Times New Roman" w:hAnsi="Times New Roman" w:cs="Times New Roman"/>
          <w:color w:val="0D0D0D" w:themeColor="text1" w:themeTint="F2"/>
          <w:sz w:val="24"/>
          <w:szCs w:val="24"/>
        </w:rPr>
        <w:t xml:space="preserve">, SB, and ALL portfolios </w:t>
      </w:r>
      <w:r w:rsidRPr="003C6DBD">
        <w:rPr>
          <w:rFonts w:ascii="Times New Roman" w:hAnsi="Times New Roman" w:cs="Times New Roman"/>
          <w:color w:val="0D0D0D" w:themeColor="text1" w:themeTint="F2"/>
          <w:sz w:val="24"/>
          <w:szCs w:val="24"/>
        </w:rPr>
        <w:t xml:space="preserve">are </w:t>
      </w:r>
      <w:r w:rsidR="00501652" w:rsidRPr="003C6DBD">
        <w:rPr>
          <w:rFonts w:ascii="Times New Roman" w:hAnsi="Times New Roman" w:cs="Times New Roman"/>
          <w:color w:val="0D0D0D" w:themeColor="text1" w:themeTint="F2"/>
          <w:sz w:val="24"/>
          <w:szCs w:val="24"/>
        </w:rPr>
        <w:t>comp</w:t>
      </w:r>
      <w:r w:rsidRPr="003C6DBD">
        <w:rPr>
          <w:rFonts w:ascii="Times New Roman" w:hAnsi="Times New Roman" w:cs="Times New Roman"/>
          <w:color w:val="0D0D0D" w:themeColor="text1" w:themeTint="F2"/>
          <w:sz w:val="24"/>
          <w:szCs w:val="24"/>
        </w:rPr>
        <w:t>ared</w:t>
      </w:r>
      <w:r w:rsidR="00501652" w:rsidRPr="003C6DBD">
        <w:rPr>
          <w:rFonts w:ascii="Times New Roman" w:hAnsi="Times New Roman" w:cs="Times New Roman"/>
          <w:color w:val="0D0D0D" w:themeColor="text1" w:themeTint="F2"/>
          <w:sz w:val="24"/>
          <w:szCs w:val="24"/>
        </w:rPr>
        <w:t xml:space="preserve"> with a benchmark</w:t>
      </w:r>
      <w:r w:rsidR="00243348" w:rsidRPr="003C6DBD">
        <w:rPr>
          <w:rFonts w:ascii="Times New Roman" w:hAnsi="Times New Roman" w:cs="Times New Roman"/>
          <w:color w:val="0D0D0D" w:themeColor="text1" w:themeTint="F2"/>
          <w:sz w:val="24"/>
          <w:szCs w:val="24"/>
        </w:rPr>
        <w:t xml:space="preserve">, the </w:t>
      </w:r>
      <w:r w:rsidR="00501652" w:rsidRPr="003C6DBD">
        <w:rPr>
          <w:rFonts w:ascii="Times New Roman" w:hAnsi="Times New Roman" w:cs="Times New Roman"/>
          <w:color w:val="0D0D0D" w:themeColor="text1" w:themeTint="F2"/>
          <w:sz w:val="24"/>
          <w:szCs w:val="24"/>
        </w:rPr>
        <w:t>S&amp;P 500</w:t>
      </w:r>
      <w:r w:rsidR="00243348" w:rsidRPr="003C6DBD">
        <w:rPr>
          <w:rFonts w:ascii="Times New Roman" w:hAnsi="Times New Roman" w:cs="Times New Roman"/>
          <w:color w:val="0D0D0D" w:themeColor="text1" w:themeTint="F2"/>
          <w:sz w:val="24"/>
          <w:szCs w:val="24"/>
        </w:rPr>
        <w:t xml:space="preserve"> market index</w:t>
      </w:r>
      <w:r w:rsidR="00410CC4" w:rsidRPr="003C6DBD">
        <w:rPr>
          <w:rFonts w:ascii="Times New Roman" w:hAnsi="Times New Roman" w:cs="Times New Roman"/>
          <w:color w:val="0D0D0D" w:themeColor="text1" w:themeTint="F2"/>
          <w:sz w:val="24"/>
          <w:szCs w:val="24"/>
        </w:rPr>
        <w:t xml:space="preserve">. </w:t>
      </w:r>
      <w:r w:rsidR="008D706B" w:rsidRPr="003C6DBD">
        <w:rPr>
          <w:rFonts w:ascii="Times New Roman" w:hAnsi="Times New Roman" w:cs="Times New Roman"/>
          <w:color w:val="0D0D0D" w:themeColor="text1" w:themeTint="F2"/>
          <w:sz w:val="24"/>
          <w:szCs w:val="24"/>
        </w:rPr>
        <w:t>The firm’s</w:t>
      </w:r>
      <w:r w:rsidR="004D4BFC" w:rsidRPr="003C6DBD">
        <w:rPr>
          <w:rFonts w:ascii="Times New Roman" w:hAnsi="Times New Roman" w:cs="Times New Roman"/>
          <w:color w:val="0D0D0D" w:themeColor="text1" w:themeTint="F2"/>
          <w:sz w:val="24"/>
          <w:szCs w:val="24"/>
        </w:rPr>
        <w:t xml:space="preserve"> </w:t>
      </w:r>
      <w:r w:rsidR="00BD0778" w:rsidRPr="003C6DBD">
        <w:rPr>
          <w:rFonts w:ascii="Times New Roman" w:hAnsi="Times New Roman" w:cs="Times New Roman"/>
          <w:color w:val="0D0D0D" w:themeColor="text1" w:themeTint="F2"/>
          <w:sz w:val="24"/>
          <w:szCs w:val="24"/>
        </w:rPr>
        <w:t xml:space="preserve">total revenue was used as weights to calculate the weighted average. </w:t>
      </w:r>
      <w:r w:rsidR="0030736E" w:rsidRPr="003C6DBD">
        <w:rPr>
          <w:rFonts w:ascii="Times New Roman" w:hAnsi="Times New Roman" w:cs="Times New Roman"/>
          <w:color w:val="0D0D0D" w:themeColor="text1" w:themeTint="F2"/>
          <w:sz w:val="24"/>
          <w:szCs w:val="24"/>
        </w:rPr>
        <w:t xml:space="preserve">Figure </w:t>
      </w:r>
      <w:r w:rsidR="00204599" w:rsidRPr="003C6DBD">
        <w:rPr>
          <w:rFonts w:ascii="Times New Roman" w:hAnsi="Times New Roman" w:cs="Times New Roman"/>
          <w:color w:val="0D0D0D" w:themeColor="text1" w:themeTint="F2"/>
          <w:sz w:val="24"/>
          <w:szCs w:val="24"/>
        </w:rPr>
        <w:t>1</w:t>
      </w:r>
      <w:r w:rsidR="00020C8E" w:rsidRPr="003C6DBD">
        <w:rPr>
          <w:rFonts w:ascii="Times New Roman" w:hAnsi="Times New Roman" w:cs="Times New Roman"/>
          <w:color w:val="0D0D0D" w:themeColor="text1" w:themeTint="F2"/>
          <w:sz w:val="24"/>
          <w:szCs w:val="24"/>
        </w:rPr>
        <w:t>5</w:t>
      </w:r>
      <w:r w:rsidR="00204599" w:rsidRPr="003C6DBD">
        <w:rPr>
          <w:rFonts w:ascii="Times New Roman" w:hAnsi="Times New Roman" w:cs="Times New Roman"/>
          <w:color w:val="0D0D0D" w:themeColor="text1" w:themeTint="F2"/>
          <w:sz w:val="24"/>
          <w:szCs w:val="24"/>
        </w:rPr>
        <w:t xml:space="preserve"> </w:t>
      </w:r>
      <w:r w:rsidR="0030736E" w:rsidRPr="003C6DBD">
        <w:rPr>
          <w:rFonts w:ascii="Times New Roman" w:hAnsi="Times New Roman" w:cs="Times New Roman"/>
          <w:color w:val="0D0D0D" w:themeColor="text1" w:themeTint="F2"/>
          <w:sz w:val="24"/>
          <w:szCs w:val="24"/>
        </w:rPr>
        <w:t xml:space="preserve">shows the </w:t>
      </w:r>
      <w:r w:rsidR="00501652" w:rsidRPr="003C6DBD">
        <w:rPr>
          <w:rFonts w:ascii="Times New Roman" w:hAnsi="Times New Roman" w:cs="Times New Roman"/>
          <w:color w:val="0D0D0D" w:themeColor="text1" w:themeTint="F2"/>
          <w:sz w:val="24"/>
          <w:szCs w:val="24"/>
        </w:rPr>
        <w:t>weighted average stock returns of PB, SB, and ALL portfolios from 2018 to 2021.</w:t>
      </w:r>
      <w:r w:rsidR="0030736E" w:rsidRPr="003C6DBD">
        <w:rPr>
          <w:rFonts w:ascii="Times New Roman" w:hAnsi="Times New Roman" w:cs="Times New Roman"/>
          <w:color w:val="0D0D0D" w:themeColor="text1" w:themeTint="F2"/>
          <w:sz w:val="24"/>
          <w:szCs w:val="24"/>
        </w:rPr>
        <w:t xml:space="preserve"> The X axis represents the rate of </w:t>
      </w:r>
      <w:r w:rsidR="00501652" w:rsidRPr="003C6DBD">
        <w:rPr>
          <w:rFonts w:ascii="Times New Roman" w:hAnsi="Times New Roman" w:cs="Times New Roman"/>
          <w:color w:val="0D0D0D" w:themeColor="text1" w:themeTint="F2"/>
          <w:sz w:val="24"/>
          <w:szCs w:val="24"/>
        </w:rPr>
        <w:t>return,</w:t>
      </w:r>
      <w:r w:rsidR="0030736E" w:rsidRPr="003C6DBD">
        <w:rPr>
          <w:rFonts w:ascii="Times New Roman" w:hAnsi="Times New Roman" w:cs="Times New Roman"/>
          <w:color w:val="0D0D0D" w:themeColor="text1" w:themeTint="F2"/>
          <w:sz w:val="24"/>
          <w:szCs w:val="24"/>
        </w:rPr>
        <w:t xml:space="preserve"> and </w:t>
      </w:r>
      <w:r w:rsidR="00BF12E5" w:rsidRPr="003C6DBD">
        <w:rPr>
          <w:rFonts w:ascii="Times New Roman" w:hAnsi="Times New Roman" w:cs="Times New Roman"/>
          <w:color w:val="0D0D0D" w:themeColor="text1" w:themeTint="F2"/>
          <w:sz w:val="24"/>
          <w:szCs w:val="24"/>
        </w:rPr>
        <w:t xml:space="preserve">the </w:t>
      </w:r>
      <w:r w:rsidR="0030736E" w:rsidRPr="003C6DBD">
        <w:rPr>
          <w:rFonts w:ascii="Times New Roman" w:hAnsi="Times New Roman" w:cs="Times New Roman"/>
          <w:color w:val="0D0D0D" w:themeColor="text1" w:themeTint="F2"/>
          <w:sz w:val="24"/>
          <w:szCs w:val="24"/>
        </w:rPr>
        <w:t xml:space="preserve">Y axis has the </w:t>
      </w:r>
      <w:r w:rsidR="00501652" w:rsidRPr="003C6DBD">
        <w:rPr>
          <w:rFonts w:ascii="Times New Roman" w:hAnsi="Times New Roman" w:cs="Times New Roman"/>
          <w:color w:val="0D0D0D" w:themeColor="text1" w:themeTint="F2"/>
          <w:sz w:val="24"/>
          <w:szCs w:val="24"/>
        </w:rPr>
        <w:t>bar graphs for</w:t>
      </w:r>
      <w:r w:rsidR="0030736E" w:rsidRPr="003C6DBD">
        <w:rPr>
          <w:rFonts w:ascii="Times New Roman" w:hAnsi="Times New Roman" w:cs="Times New Roman"/>
          <w:color w:val="0D0D0D" w:themeColor="text1" w:themeTint="F2"/>
          <w:sz w:val="24"/>
          <w:szCs w:val="24"/>
        </w:rPr>
        <w:t xml:space="preserve"> each </w:t>
      </w:r>
      <w:r w:rsidR="00501652" w:rsidRPr="003C6DBD">
        <w:rPr>
          <w:rFonts w:ascii="Times New Roman" w:hAnsi="Times New Roman" w:cs="Times New Roman"/>
          <w:color w:val="0D0D0D" w:themeColor="text1" w:themeTint="F2"/>
          <w:sz w:val="24"/>
          <w:szCs w:val="24"/>
        </w:rPr>
        <w:t>portfolio</w:t>
      </w:r>
      <w:r w:rsidR="0030736E" w:rsidRPr="003C6DBD">
        <w:rPr>
          <w:rFonts w:ascii="Times New Roman" w:hAnsi="Times New Roman" w:cs="Times New Roman"/>
          <w:color w:val="0D0D0D" w:themeColor="text1" w:themeTint="F2"/>
          <w:sz w:val="24"/>
          <w:szCs w:val="24"/>
        </w:rPr>
        <w:t xml:space="preserve">. </w:t>
      </w:r>
      <w:r w:rsidR="00AE22EE" w:rsidRPr="003C6DBD">
        <w:rPr>
          <w:rFonts w:ascii="Times New Roman" w:hAnsi="Times New Roman" w:cs="Times New Roman"/>
          <w:color w:val="0D0D0D" w:themeColor="text1" w:themeTint="F2"/>
          <w:sz w:val="24"/>
          <w:szCs w:val="24"/>
        </w:rPr>
        <w:t xml:space="preserve">The </w:t>
      </w:r>
      <w:r w:rsidR="0030736E" w:rsidRPr="003C6DBD">
        <w:rPr>
          <w:rFonts w:ascii="Times New Roman" w:hAnsi="Times New Roman" w:cs="Times New Roman"/>
          <w:color w:val="0D0D0D" w:themeColor="text1" w:themeTint="F2"/>
          <w:sz w:val="24"/>
          <w:szCs w:val="24"/>
        </w:rPr>
        <w:t xml:space="preserve">S&amp;P 500 </w:t>
      </w:r>
      <w:r w:rsidR="00AE22EE" w:rsidRPr="003C6DBD">
        <w:rPr>
          <w:rFonts w:ascii="Times New Roman" w:hAnsi="Times New Roman" w:cs="Times New Roman"/>
          <w:color w:val="0D0D0D" w:themeColor="text1" w:themeTint="F2"/>
          <w:sz w:val="24"/>
          <w:szCs w:val="24"/>
        </w:rPr>
        <w:t xml:space="preserve">index </w:t>
      </w:r>
      <w:r w:rsidR="0030736E" w:rsidRPr="003C6DBD">
        <w:rPr>
          <w:rFonts w:ascii="Times New Roman" w:hAnsi="Times New Roman" w:cs="Times New Roman"/>
          <w:color w:val="0D0D0D" w:themeColor="text1" w:themeTint="F2"/>
          <w:sz w:val="24"/>
          <w:szCs w:val="24"/>
        </w:rPr>
        <w:t xml:space="preserve">is used as a benchmark to compare the </w:t>
      </w:r>
      <w:r w:rsidR="0030736E" w:rsidRPr="003C6DBD">
        <w:rPr>
          <w:rFonts w:ascii="Times New Roman" w:hAnsi="Times New Roman" w:cs="Times New Roman"/>
          <w:color w:val="0D0D0D" w:themeColor="text1" w:themeTint="F2"/>
          <w:sz w:val="24"/>
          <w:szCs w:val="24"/>
        </w:rPr>
        <w:lastRenderedPageBreak/>
        <w:t>stock return of</w:t>
      </w:r>
      <w:r w:rsidR="00501652" w:rsidRPr="003C6DBD">
        <w:rPr>
          <w:rFonts w:ascii="Times New Roman" w:hAnsi="Times New Roman" w:cs="Times New Roman"/>
          <w:color w:val="0D0D0D" w:themeColor="text1" w:themeTint="F2"/>
          <w:sz w:val="24"/>
          <w:szCs w:val="24"/>
        </w:rPr>
        <w:t xml:space="preserve"> the </w:t>
      </w:r>
      <w:r w:rsidR="00AE22EE" w:rsidRPr="003C6DBD">
        <w:rPr>
          <w:rFonts w:ascii="Times New Roman" w:hAnsi="Times New Roman" w:cs="Times New Roman"/>
          <w:color w:val="0D0D0D" w:themeColor="text1" w:themeTint="F2"/>
          <w:sz w:val="24"/>
          <w:szCs w:val="24"/>
        </w:rPr>
        <w:t xml:space="preserve">biofuel portfolios </w:t>
      </w:r>
      <w:r w:rsidR="0030736E" w:rsidRPr="003C6DBD">
        <w:rPr>
          <w:rFonts w:ascii="Times New Roman" w:hAnsi="Times New Roman" w:cs="Times New Roman"/>
          <w:color w:val="0D0D0D" w:themeColor="text1" w:themeTint="F2"/>
          <w:sz w:val="24"/>
          <w:szCs w:val="24"/>
        </w:rPr>
        <w:t>because it represent</w:t>
      </w:r>
      <w:r w:rsidR="00AE22EE" w:rsidRPr="003C6DBD">
        <w:rPr>
          <w:rFonts w:ascii="Times New Roman" w:hAnsi="Times New Roman" w:cs="Times New Roman"/>
          <w:color w:val="0D0D0D" w:themeColor="text1" w:themeTint="F2"/>
          <w:sz w:val="24"/>
          <w:szCs w:val="24"/>
        </w:rPr>
        <w:t xml:space="preserve">s </w:t>
      </w:r>
      <w:r w:rsidR="0030736E" w:rsidRPr="003C6DBD">
        <w:rPr>
          <w:rFonts w:ascii="Times New Roman" w:hAnsi="Times New Roman" w:cs="Times New Roman"/>
          <w:color w:val="0D0D0D" w:themeColor="text1" w:themeTint="F2"/>
          <w:sz w:val="24"/>
          <w:szCs w:val="24"/>
        </w:rPr>
        <w:t xml:space="preserve">the overall stock market. </w:t>
      </w:r>
      <w:r w:rsidR="008426CE" w:rsidRPr="003C6DBD">
        <w:rPr>
          <w:rFonts w:ascii="Times New Roman" w:hAnsi="Times New Roman" w:cs="Times New Roman"/>
          <w:color w:val="0D0D0D" w:themeColor="text1" w:themeTint="F2"/>
          <w:sz w:val="24"/>
          <w:szCs w:val="24"/>
        </w:rPr>
        <w:t xml:space="preserve">The stock </w:t>
      </w:r>
      <w:r w:rsidR="00FA0E0C" w:rsidRPr="003C6DBD">
        <w:rPr>
          <w:rFonts w:ascii="Times New Roman" w:hAnsi="Times New Roman" w:cs="Times New Roman"/>
          <w:color w:val="0D0D0D" w:themeColor="text1" w:themeTint="F2"/>
          <w:sz w:val="24"/>
          <w:szCs w:val="24"/>
        </w:rPr>
        <w:t>return</w:t>
      </w:r>
      <w:r w:rsidR="008426CE" w:rsidRPr="003C6DBD">
        <w:rPr>
          <w:rFonts w:ascii="Times New Roman" w:hAnsi="Times New Roman" w:cs="Times New Roman"/>
          <w:color w:val="0D0D0D" w:themeColor="text1" w:themeTint="F2"/>
          <w:sz w:val="24"/>
          <w:szCs w:val="24"/>
        </w:rPr>
        <w:t>s of</w:t>
      </w:r>
      <w:r w:rsidR="005530FA" w:rsidRPr="003C6DBD">
        <w:rPr>
          <w:rFonts w:ascii="Times New Roman" w:hAnsi="Times New Roman" w:cs="Times New Roman"/>
          <w:color w:val="0D0D0D" w:themeColor="text1" w:themeTint="F2"/>
          <w:sz w:val="24"/>
          <w:szCs w:val="24"/>
        </w:rPr>
        <w:t xml:space="preserve"> all three </w:t>
      </w:r>
      <w:r w:rsidR="008D706B" w:rsidRPr="003C6DBD">
        <w:rPr>
          <w:rFonts w:ascii="Times New Roman" w:hAnsi="Times New Roman" w:cs="Times New Roman"/>
          <w:color w:val="0D0D0D" w:themeColor="text1" w:themeTint="F2"/>
          <w:sz w:val="24"/>
          <w:szCs w:val="24"/>
        </w:rPr>
        <w:t>portfolios</w:t>
      </w:r>
      <w:r w:rsidR="005530FA" w:rsidRPr="003C6DBD">
        <w:rPr>
          <w:rFonts w:ascii="Times New Roman" w:hAnsi="Times New Roman" w:cs="Times New Roman"/>
          <w:color w:val="0D0D0D" w:themeColor="text1" w:themeTint="F2"/>
          <w:sz w:val="24"/>
          <w:szCs w:val="24"/>
        </w:rPr>
        <w:t xml:space="preserve"> </w:t>
      </w:r>
      <w:r w:rsidR="0023730B" w:rsidRPr="003C6DBD">
        <w:rPr>
          <w:rFonts w:ascii="Times New Roman" w:hAnsi="Times New Roman" w:cs="Times New Roman"/>
          <w:color w:val="0D0D0D" w:themeColor="text1" w:themeTint="F2"/>
          <w:sz w:val="24"/>
          <w:szCs w:val="24"/>
        </w:rPr>
        <w:t>are</w:t>
      </w:r>
      <w:r w:rsidR="005530FA" w:rsidRPr="003C6DBD">
        <w:rPr>
          <w:rFonts w:ascii="Times New Roman" w:hAnsi="Times New Roman" w:cs="Times New Roman"/>
          <w:color w:val="0D0D0D" w:themeColor="text1" w:themeTint="F2"/>
          <w:sz w:val="24"/>
          <w:szCs w:val="24"/>
        </w:rPr>
        <w:t xml:space="preserve"> negative </w:t>
      </w:r>
      <w:r w:rsidR="0023730B" w:rsidRPr="003C6DBD">
        <w:rPr>
          <w:rFonts w:ascii="Times New Roman" w:hAnsi="Times New Roman" w:cs="Times New Roman"/>
          <w:color w:val="0D0D0D" w:themeColor="text1" w:themeTint="F2"/>
          <w:sz w:val="24"/>
          <w:szCs w:val="24"/>
        </w:rPr>
        <w:t>from 2018 to 2019</w:t>
      </w:r>
      <w:r w:rsidR="008426CE" w:rsidRPr="003C6DBD">
        <w:rPr>
          <w:rFonts w:ascii="Times New Roman" w:hAnsi="Times New Roman" w:cs="Times New Roman"/>
          <w:color w:val="0D0D0D" w:themeColor="text1" w:themeTint="F2"/>
          <w:sz w:val="24"/>
          <w:szCs w:val="24"/>
        </w:rPr>
        <w:t xml:space="preserve">. </w:t>
      </w:r>
      <w:r w:rsidR="0023730B" w:rsidRPr="003C6DBD">
        <w:rPr>
          <w:rFonts w:ascii="Times New Roman" w:hAnsi="Times New Roman" w:cs="Times New Roman"/>
          <w:color w:val="0D0D0D" w:themeColor="text1" w:themeTint="F2"/>
          <w:sz w:val="24"/>
          <w:szCs w:val="24"/>
        </w:rPr>
        <w:t xml:space="preserve">PB companies have higher negative returns compared to benchmark and other portfolios as well. The stock return of </w:t>
      </w:r>
      <w:r w:rsidR="000D54E9" w:rsidRPr="003C6DBD">
        <w:rPr>
          <w:rFonts w:ascii="Times New Roman" w:hAnsi="Times New Roman" w:cs="Times New Roman"/>
          <w:color w:val="0D0D0D" w:themeColor="text1" w:themeTint="F2"/>
          <w:sz w:val="24"/>
          <w:szCs w:val="24"/>
        </w:rPr>
        <w:t xml:space="preserve">the </w:t>
      </w:r>
      <w:r w:rsidR="0023730B" w:rsidRPr="003C6DBD">
        <w:rPr>
          <w:rFonts w:ascii="Times New Roman" w:hAnsi="Times New Roman" w:cs="Times New Roman"/>
          <w:color w:val="0D0D0D" w:themeColor="text1" w:themeTint="F2"/>
          <w:sz w:val="24"/>
          <w:szCs w:val="24"/>
        </w:rPr>
        <w:t xml:space="preserve">PB portfolio is negative in the time period from 2019 to 2020 as well. On the other hand, </w:t>
      </w:r>
      <w:r w:rsidR="00D512AA" w:rsidRPr="003C6DBD">
        <w:rPr>
          <w:rFonts w:ascii="Times New Roman" w:hAnsi="Times New Roman" w:cs="Times New Roman"/>
          <w:color w:val="0D0D0D" w:themeColor="text1" w:themeTint="F2"/>
          <w:sz w:val="24"/>
          <w:szCs w:val="24"/>
        </w:rPr>
        <w:t xml:space="preserve">the </w:t>
      </w:r>
      <w:r w:rsidR="0023730B" w:rsidRPr="003C6DBD">
        <w:rPr>
          <w:rFonts w:ascii="Times New Roman" w:hAnsi="Times New Roman" w:cs="Times New Roman"/>
          <w:color w:val="0D0D0D" w:themeColor="text1" w:themeTint="F2"/>
          <w:sz w:val="24"/>
          <w:szCs w:val="24"/>
        </w:rPr>
        <w:t>SB, ALL, and S&amp;P 500</w:t>
      </w:r>
      <w:r w:rsidR="00D512AA" w:rsidRPr="003C6DBD">
        <w:rPr>
          <w:rFonts w:ascii="Times New Roman" w:hAnsi="Times New Roman" w:cs="Times New Roman"/>
          <w:color w:val="0D0D0D" w:themeColor="text1" w:themeTint="F2"/>
          <w:sz w:val="24"/>
          <w:szCs w:val="24"/>
        </w:rPr>
        <w:t xml:space="preserve"> portfolios</w:t>
      </w:r>
      <w:r w:rsidR="0023730B" w:rsidRPr="003C6DBD">
        <w:rPr>
          <w:rFonts w:ascii="Times New Roman" w:hAnsi="Times New Roman" w:cs="Times New Roman"/>
          <w:color w:val="0D0D0D" w:themeColor="text1" w:themeTint="F2"/>
          <w:sz w:val="24"/>
          <w:szCs w:val="24"/>
        </w:rPr>
        <w:t xml:space="preserve"> have positive stock returns in the same period. </w:t>
      </w:r>
      <w:r w:rsidR="00956A7F" w:rsidRPr="003C6DBD">
        <w:rPr>
          <w:rFonts w:ascii="Times New Roman" w:hAnsi="Times New Roman" w:cs="Times New Roman"/>
          <w:color w:val="0D0D0D" w:themeColor="text1" w:themeTint="F2"/>
          <w:sz w:val="24"/>
          <w:szCs w:val="24"/>
        </w:rPr>
        <w:t xml:space="preserve">The stock returns from 2020 to 2021 </w:t>
      </w:r>
      <w:r w:rsidR="00D512AA" w:rsidRPr="003C6DBD">
        <w:rPr>
          <w:rFonts w:ascii="Times New Roman" w:hAnsi="Times New Roman" w:cs="Times New Roman"/>
          <w:color w:val="0D0D0D" w:themeColor="text1" w:themeTint="F2"/>
          <w:sz w:val="24"/>
          <w:szCs w:val="24"/>
        </w:rPr>
        <w:t xml:space="preserve">are </w:t>
      </w:r>
      <w:r w:rsidR="00956A7F" w:rsidRPr="003C6DBD">
        <w:rPr>
          <w:rFonts w:ascii="Times New Roman" w:hAnsi="Times New Roman" w:cs="Times New Roman"/>
          <w:color w:val="0D0D0D" w:themeColor="text1" w:themeTint="F2"/>
          <w:sz w:val="24"/>
          <w:szCs w:val="24"/>
        </w:rPr>
        <w:t xml:space="preserve">surprising because </w:t>
      </w:r>
      <w:r w:rsidR="00D512AA" w:rsidRPr="003C6DBD">
        <w:rPr>
          <w:rFonts w:ascii="Times New Roman" w:hAnsi="Times New Roman" w:cs="Times New Roman"/>
          <w:color w:val="0D0D0D" w:themeColor="text1" w:themeTint="F2"/>
          <w:sz w:val="24"/>
          <w:szCs w:val="24"/>
        </w:rPr>
        <w:t xml:space="preserve">the </w:t>
      </w:r>
      <w:r w:rsidR="00956A7F" w:rsidRPr="003C6DBD">
        <w:rPr>
          <w:rFonts w:ascii="Times New Roman" w:hAnsi="Times New Roman" w:cs="Times New Roman"/>
          <w:color w:val="0D0D0D" w:themeColor="text1" w:themeTint="F2"/>
          <w:sz w:val="24"/>
          <w:szCs w:val="24"/>
        </w:rPr>
        <w:t xml:space="preserve">PB portfolio </w:t>
      </w:r>
      <w:r w:rsidR="002F6BD0" w:rsidRPr="003C6DBD">
        <w:rPr>
          <w:rFonts w:ascii="Times New Roman" w:hAnsi="Times New Roman" w:cs="Times New Roman"/>
          <w:color w:val="0D0D0D" w:themeColor="text1" w:themeTint="F2"/>
          <w:sz w:val="24"/>
          <w:szCs w:val="24"/>
        </w:rPr>
        <w:t>has</w:t>
      </w:r>
      <w:r w:rsidR="0054504B" w:rsidRPr="003C6DBD">
        <w:rPr>
          <w:rFonts w:ascii="Times New Roman" w:hAnsi="Times New Roman" w:cs="Times New Roman"/>
          <w:color w:val="0D0D0D" w:themeColor="text1" w:themeTint="F2"/>
          <w:sz w:val="24"/>
          <w:szCs w:val="24"/>
        </w:rPr>
        <w:t xml:space="preserve"> positive, and</w:t>
      </w:r>
      <w:r w:rsidR="00956A7F" w:rsidRPr="003C6DBD">
        <w:rPr>
          <w:rFonts w:ascii="Times New Roman" w:hAnsi="Times New Roman" w:cs="Times New Roman"/>
          <w:color w:val="0D0D0D" w:themeColor="text1" w:themeTint="F2"/>
          <w:sz w:val="24"/>
          <w:szCs w:val="24"/>
        </w:rPr>
        <w:t xml:space="preserve"> </w:t>
      </w:r>
      <w:r w:rsidR="005F257C" w:rsidRPr="003C6DBD">
        <w:rPr>
          <w:rFonts w:ascii="Times New Roman" w:hAnsi="Times New Roman" w:cs="Times New Roman"/>
          <w:color w:val="0D0D0D" w:themeColor="text1" w:themeTint="F2"/>
          <w:sz w:val="24"/>
          <w:szCs w:val="24"/>
        </w:rPr>
        <w:t xml:space="preserve">the highest </w:t>
      </w:r>
      <w:r w:rsidR="00956A7F" w:rsidRPr="003C6DBD">
        <w:rPr>
          <w:rFonts w:ascii="Times New Roman" w:hAnsi="Times New Roman" w:cs="Times New Roman"/>
          <w:color w:val="0D0D0D" w:themeColor="text1" w:themeTint="F2"/>
          <w:sz w:val="24"/>
          <w:szCs w:val="24"/>
        </w:rPr>
        <w:t xml:space="preserve">stock returns compared to </w:t>
      </w:r>
      <w:r w:rsidR="005F257C" w:rsidRPr="003C6DBD">
        <w:rPr>
          <w:rFonts w:ascii="Times New Roman" w:hAnsi="Times New Roman" w:cs="Times New Roman"/>
          <w:color w:val="0D0D0D" w:themeColor="text1" w:themeTint="F2"/>
          <w:sz w:val="24"/>
          <w:szCs w:val="24"/>
        </w:rPr>
        <w:t xml:space="preserve">the </w:t>
      </w:r>
      <w:r w:rsidR="00EC01DC" w:rsidRPr="003C6DBD">
        <w:rPr>
          <w:rFonts w:ascii="Times New Roman" w:hAnsi="Times New Roman" w:cs="Times New Roman"/>
          <w:color w:val="0D0D0D" w:themeColor="text1" w:themeTint="F2"/>
          <w:sz w:val="24"/>
          <w:szCs w:val="24"/>
        </w:rPr>
        <w:t>other portfolios</w:t>
      </w:r>
      <w:r w:rsidR="00956A7F" w:rsidRPr="003C6DBD">
        <w:rPr>
          <w:rFonts w:ascii="Times New Roman" w:hAnsi="Times New Roman" w:cs="Times New Roman"/>
          <w:color w:val="0D0D0D" w:themeColor="text1" w:themeTint="F2"/>
          <w:sz w:val="24"/>
          <w:szCs w:val="24"/>
        </w:rPr>
        <w:t xml:space="preserve">. From 2021 to 2022, all the portfolios have positive stock returns. </w:t>
      </w:r>
      <w:r w:rsidR="004F2115" w:rsidRPr="003C6DBD">
        <w:rPr>
          <w:rFonts w:ascii="Times New Roman" w:hAnsi="Times New Roman" w:cs="Times New Roman"/>
          <w:color w:val="0D0D0D" w:themeColor="text1" w:themeTint="F2"/>
          <w:sz w:val="24"/>
          <w:szCs w:val="24"/>
        </w:rPr>
        <w:t xml:space="preserve">The </w:t>
      </w:r>
      <w:r w:rsidR="00956A7F" w:rsidRPr="003C6DBD">
        <w:rPr>
          <w:rFonts w:ascii="Times New Roman" w:hAnsi="Times New Roman" w:cs="Times New Roman"/>
          <w:color w:val="0D0D0D" w:themeColor="text1" w:themeTint="F2"/>
          <w:sz w:val="24"/>
          <w:szCs w:val="24"/>
        </w:rPr>
        <w:t xml:space="preserve">S&amp;P 500 </w:t>
      </w:r>
      <w:r w:rsidR="00681B31" w:rsidRPr="003C6DBD">
        <w:rPr>
          <w:rFonts w:ascii="Times New Roman" w:hAnsi="Times New Roman" w:cs="Times New Roman"/>
          <w:color w:val="0D0D0D" w:themeColor="text1" w:themeTint="F2"/>
          <w:sz w:val="24"/>
          <w:szCs w:val="24"/>
        </w:rPr>
        <w:t xml:space="preserve">has </w:t>
      </w:r>
      <w:r w:rsidR="00956A7F" w:rsidRPr="003C6DBD">
        <w:rPr>
          <w:rFonts w:ascii="Times New Roman" w:hAnsi="Times New Roman" w:cs="Times New Roman"/>
          <w:color w:val="0D0D0D" w:themeColor="text1" w:themeTint="F2"/>
          <w:sz w:val="24"/>
          <w:szCs w:val="24"/>
        </w:rPr>
        <w:t xml:space="preserve">the highest positive stock returns and </w:t>
      </w:r>
      <w:r w:rsidR="004F2115" w:rsidRPr="003C6DBD">
        <w:rPr>
          <w:rFonts w:ascii="Times New Roman" w:hAnsi="Times New Roman" w:cs="Times New Roman"/>
          <w:color w:val="0D0D0D" w:themeColor="text1" w:themeTint="F2"/>
          <w:sz w:val="24"/>
          <w:szCs w:val="24"/>
        </w:rPr>
        <w:t xml:space="preserve">the </w:t>
      </w:r>
      <w:r w:rsidR="00956A7F" w:rsidRPr="003C6DBD">
        <w:rPr>
          <w:rFonts w:ascii="Times New Roman" w:hAnsi="Times New Roman" w:cs="Times New Roman"/>
          <w:color w:val="0D0D0D" w:themeColor="text1" w:themeTint="F2"/>
          <w:sz w:val="24"/>
          <w:szCs w:val="24"/>
        </w:rPr>
        <w:t xml:space="preserve">PB portfolio </w:t>
      </w:r>
      <w:r w:rsidR="0054504B" w:rsidRPr="003C6DBD">
        <w:rPr>
          <w:rFonts w:ascii="Times New Roman" w:hAnsi="Times New Roman" w:cs="Times New Roman"/>
          <w:color w:val="0D0D0D" w:themeColor="text1" w:themeTint="F2"/>
          <w:sz w:val="24"/>
          <w:szCs w:val="24"/>
        </w:rPr>
        <w:t xml:space="preserve">has </w:t>
      </w:r>
      <w:r w:rsidR="00956A7F" w:rsidRPr="003C6DBD">
        <w:rPr>
          <w:rFonts w:ascii="Times New Roman" w:hAnsi="Times New Roman" w:cs="Times New Roman"/>
          <w:color w:val="0D0D0D" w:themeColor="text1" w:themeTint="F2"/>
          <w:sz w:val="24"/>
          <w:szCs w:val="24"/>
        </w:rPr>
        <w:t xml:space="preserve">the lowest positive stock returns. </w:t>
      </w:r>
      <w:r w:rsidR="00C25B95" w:rsidRPr="003C6DBD">
        <w:rPr>
          <w:rFonts w:ascii="Times New Roman" w:hAnsi="Times New Roman" w:cs="Times New Roman"/>
          <w:color w:val="0D0D0D" w:themeColor="text1" w:themeTint="F2"/>
          <w:sz w:val="24"/>
          <w:szCs w:val="24"/>
        </w:rPr>
        <w:t>The weighted average stock returns from Initial Public Offering (IPO</w:t>
      </w:r>
      <w:r w:rsidRPr="003C6DBD">
        <w:rPr>
          <w:rStyle w:val="FootnoteReference"/>
          <w:rFonts w:ascii="Times New Roman" w:hAnsi="Times New Roman" w:cs="Times New Roman"/>
          <w:color w:val="0D0D0D" w:themeColor="text1" w:themeTint="F2"/>
          <w:sz w:val="24"/>
          <w:szCs w:val="24"/>
        </w:rPr>
        <w:footnoteReference w:id="12"/>
      </w:r>
      <w:r w:rsidR="00C25B95" w:rsidRPr="003C6DBD">
        <w:rPr>
          <w:rFonts w:ascii="Times New Roman" w:hAnsi="Times New Roman" w:cs="Times New Roman"/>
          <w:color w:val="0D0D0D" w:themeColor="text1" w:themeTint="F2"/>
          <w:sz w:val="24"/>
          <w:szCs w:val="24"/>
        </w:rPr>
        <w:t xml:space="preserve">) to Jan 1, </w:t>
      </w:r>
      <w:r w:rsidR="00DB0B1D" w:rsidRPr="003C6DBD">
        <w:rPr>
          <w:rFonts w:ascii="Times New Roman" w:hAnsi="Times New Roman" w:cs="Times New Roman"/>
          <w:color w:val="0D0D0D" w:themeColor="text1" w:themeTint="F2"/>
          <w:sz w:val="24"/>
          <w:szCs w:val="24"/>
        </w:rPr>
        <w:t>2022,</w:t>
      </w:r>
      <w:r w:rsidR="00C25B95" w:rsidRPr="003C6DBD">
        <w:rPr>
          <w:rFonts w:ascii="Times New Roman" w:hAnsi="Times New Roman" w:cs="Times New Roman"/>
          <w:color w:val="0D0D0D" w:themeColor="text1" w:themeTint="F2"/>
          <w:sz w:val="24"/>
          <w:szCs w:val="24"/>
        </w:rPr>
        <w:t xml:space="preserve"> revealed that </w:t>
      </w:r>
      <w:r w:rsidR="0054504B" w:rsidRPr="003C6DBD">
        <w:rPr>
          <w:rFonts w:ascii="Times New Roman" w:hAnsi="Times New Roman" w:cs="Times New Roman"/>
          <w:color w:val="0D0D0D" w:themeColor="text1" w:themeTint="F2"/>
          <w:sz w:val="24"/>
          <w:szCs w:val="24"/>
        </w:rPr>
        <w:t xml:space="preserve">the </w:t>
      </w:r>
      <w:r w:rsidR="00C25B95" w:rsidRPr="003C6DBD">
        <w:rPr>
          <w:rFonts w:ascii="Times New Roman" w:hAnsi="Times New Roman" w:cs="Times New Roman"/>
          <w:color w:val="0D0D0D" w:themeColor="text1" w:themeTint="F2"/>
          <w:sz w:val="24"/>
          <w:szCs w:val="24"/>
        </w:rPr>
        <w:t xml:space="preserve">PB portfolio </w:t>
      </w:r>
      <w:r w:rsidR="0054504B" w:rsidRPr="003C6DBD">
        <w:rPr>
          <w:rFonts w:ascii="Times New Roman" w:hAnsi="Times New Roman" w:cs="Times New Roman"/>
          <w:color w:val="0D0D0D" w:themeColor="text1" w:themeTint="F2"/>
          <w:sz w:val="24"/>
          <w:szCs w:val="24"/>
        </w:rPr>
        <w:t xml:space="preserve">has </w:t>
      </w:r>
      <w:r w:rsidR="00C25B95" w:rsidRPr="003C6DBD">
        <w:rPr>
          <w:rFonts w:ascii="Times New Roman" w:hAnsi="Times New Roman" w:cs="Times New Roman"/>
          <w:color w:val="0D0D0D" w:themeColor="text1" w:themeTint="F2"/>
          <w:sz w:val="24"/>
          <w:szCs w:val="24"/>
        </w:rPr>
        <w:t>a negative stock return</w:t>
      </w:r>
      <w:r w:rsidR="00DB0B1D" w:rsidRPr="003C6DBD">
        <w:rPr>
          <w:rFonts w:ascii="Times New Roman" w:hAnsi="Times New Roman" w:cs="Times New Roman"/>
          <w:color w:val="0D0D0D" w:themeColor="text1" w:themeTint="F2"/>
          <w:sz w:val="24"/>
          <w:szCs w:val="24"/>
        </w:rPr>
        <w:t xml:space="preserve">. In contrast, </w:t>
      </w:r>
      <w:r w:rsidR="00C25B95" w:rsidRPr="003C6DBD">
        <w:rPr>
          <w:rFonts w:ascii="Times New Roman" w:hAnsi="Times New Roman" w:cs="Times New Roman"/>
          <w:color w:val="0D0D0D" w:themeColor="text1" w:themeTint="F2"/>
          <w:sz w:val="24"/>
          <w:szCs w:val="24"/>
        </w:rPr>
        <w:t xml:space="preserve">SB and ALL portfolio have positive stock returns. </w:t>
      </w:r>
      <w:r w:rsidR="00DB0B1D" w:rsidRPr="003C6DBD">
        <w:rPr>
          <w:rFonts w:ascii="Times New Roman" w:hAnsi="Times New Roman" w:cs="Times New Roman"/>
          <w:color w:val="0D0D0D" w:themeColor="text1" w:themeTint="F2"/>
          <w:sz w:val="24"/>
          <w:szCs w:val="24"/>
        </w:rPr>
        <w:t xml:space="preserve">This result suggests that companies that are primarily involved in </w:t>
      </w:r>
      <w:r w:rsidR="007E5049" w:rsidRPr="003C6DBD">
        <w:rPr>
          <w:rFonts w:ascii="Times New Roman" w:hAnsi="Times New Roman" w:cs="Times New Roman"/>
          <w:color w:val="0D0D0D" w:themeColor="text1" w:themeTint="F2"/>
          <w:sz w:val="24"/>
          <w:szCs w:val="24"/>
        </w:rPr>
        <w:t xml:space="preserve">the </w:t>
      </w:r>
      <w:r w:rsidR="00DB0B1D" w:rsidRPr="003C6DBD">
        <w:rPr>
          <w:rFonts w:ascii="Times New Roman" w:hAnsi="Times New Roman" w:cs="Times New Roman"/>
          <w:color w:val="0D0D0D" w:themeColor="text1" w:themeTint="F2"/>
          <w:sz w:val="24"/>
          <w:szCs w:val="24"/>
        </w:rPr>
        <w:t xml:space="preserve">biofuel business are not performing well in </w:t>
      </w:r>
      <w:r w:rsidR="007E5049" w:rsidRPr="003C6DBD">
        <w:rPr>
          <w:rFonts w:ascii="Times New Roman" w:hAnsi="Times New Roman" w:cs="Times New Roman"/>
          <w:color w:val="0D0D0D" w:themeColor="text1" w:themeTint="F2"/>
          <w:sz w:val="24"/>
          <w:szCs w:val="24"/>
        </w:rPr>
        <w:t>relative to the whole market (</w:t>
      </w:r>
      <w:r w:rsidR="007C2B8F" w:rsidRPr="003C6DBD">
        <w:rPr>
          <w:rFonts w:ascii="Times New Roman" w:hAnsi="Times New Roman" w:cs="Times New Roman"/>
          <w:color w:val="0D0D0D" w:themeColor="text1" w:themeTint="F2"/>
          <w:sz w:val="24"/>
          <w:szCs w:val="24"/>
        </w:rPr>
        <w:t>i.e.,</w:t>
      </w:r>
      <w:r w:rsidR="007E5049" w:rsidRPr="003C6DBD">
        <w:rPr>
          <w:rFonts w:ascii="Times New Roman" w:hAnsi="Times New Roman" w:cs="Times New Roman"/>
          <w:color w:val="0D0D0D" w:themeColor="text1" w:themeTint="F2"/>
          <w:sz w:val="24"/>
          <w:szCs w:val="24"/>
        </w:rPr>
        <w:t xml:space="preserve"> S&amp;P 500 index)</w:t>
      </w:r>
      <w:r w:rsidR="003629D3" w:rsidRPr="003C6DBD">
        <w:rPr>
          <w:rFonts w:ascii="Times New Roman" w:hAnsi="Times New Roman" w:cs="Times New Roman"/>
          <w:color w:val="0D0D0D" w:themeColor="text1" w:themeTint="F2"/>
          <w:sz w:val="24"/>
          <w:szCs w:val="24"/>
        </w:rPr>
        <w:t xml:space="preserve"> from IPO</w:t>
      </w:r>
      <w:r w:rsidR="0054504B" w:rsidRPr="003C6DBD">
        <w:rPr>
          <w:rFonts w:ascii="Times New Roman" w:hAnsi="Times New Roman" w:cs="Times New Roman"/>
          <w:color w:val="0D0D0D" w:themeColor="text1" w:themeTint="F2"/>
          <w:sz w:val="24"/>
          <w:szCs w:val="24"/>
        </w:rPr>
        <w:t xml:space="preserve"> to date</w:t>
      </w:r>
      <w:r w:rsidR="00DB0B1D" w:rsidRPr="003C6DBD">
        <w:rPr>
          <w:rFonts w:ascii="Times New Roman" w:hAnsi="Times New Roman" w:cs="Times New Roman"/>
          <w:color w:val="0D0D0D" w:themeColor="text1" w:themeTint="F2"/>
          <w:sz w:val="24"/>
          <w:szCs w:val="24"/>
        </w:rPr>
        <w:t>.</w:t>
      </w:r>
    </w:p>
    <w:p w14:paraId="4CF1D048" w14:textId="77777777" w:rsidR="00BA557E" w:rsidRPr="003C6DBD" w:rsidRDefault="00BA557E" w:rsidP="002A7494">
      <w:pPr>
        <w:rPr>
          <w:rFonts w:ascii="Times New Roman" w:hAnsi="Times New Roman" w:cs="Times New Roman"/>
          <w:color w:val="0D0D0D" w:themeColor="text1" w:themeTint="F2"/>
          <w:sz w:val="24"/>
          <w:szCs w:val="24"/>
        </w:rPr>
      </w:pPr>
    </w:p>
    <w:p w14:paraId="56074D88" w14:textId="194CD9D0" w:rsidR="00CB19F2" w:rsidRPr="003C6DBD" w:rsidRDefault="00CB19F2" w:rsidP="00CB19F2">
      <w:pPr>
        <w:rPr>
          <w:rFonts w:ascii="Times New Roman" w:hAnsi="Times New Roman" w:cs="Times New Roman"/>
          <w:color w:val="0D0D0D" w:themeColor="text1" w:themeTint="F2"/>
          <w:sz w:val="24"/>
          <w:szCs w:val="24"/>
        </w:rPr>
      </w:pPr>
    </w:p>
    <w:p w14:paraId="344CB35D" w14:textId="7D89D677" w:rsidR="0027667E" w:rsidRPr="003C6DBD" w:rsidRDefault="0027667E" w:rsidP="00CB19F2">
      <w:pPr>
        <w:rPr>
          <w:rFonts w:ascii="Times New Roman" w:hAnsi="Times New Roman" w:cs="Times New Roman"/>
          <w:color w:val="0D0D0D" w:themeColor="text1" w:themeTint="F2"/>
          <w:sz w:val="24"/>
          <w:szCs w:val="24"/>
        </w:rPr>
      </w:pPr>
    </w:p>
    <w:p w14:paraId="2BF591B6" w14:textId="79C9A01A" w:rsidR="0027667E" w:rsidRPr="003C6DBD" w:rsidRDefault="0027667E" w:rsidP="00CB19F2">
      <w:pPr>
        <w:rPr>
          <w:rFonts w:ascii="Times New Roman" w:hAnsi="Times New Roman" w:cs="Times New Roman"/>
          <w:color w:val="0D0D0D" w:themeColor="text1" w:themeTint="F2"/>
          <w:sz w:val="24"/>
          <w:szCs w:val="24"/>
        </w:rPr>
      </w:pPr>
    </w:p>
    <w:p w14:paraId="3A7BA5DB" w14:textId="77777777" w:rsidR="003F384F" w:rsidRPr="003C6DBD" w:rsidRDefault="003F384F" w:rsidP="00CB19F2">
      <w:pPr>
        <w:rPr>
          <w:rFonts w:ascii="Times New Roman" w:hAnsi="Times New Roman" w:cs="Times New Roman"/>
          <w:color w:val="0D0D0D" w:themeColor="text1" w:themeTint="F2"/>
          <w:sz w:val="24"/>
          <w:szCs w:val="24"/>
        </w:rPr>
      </w:pPr>
    </w:p>
    <w:p w14:paraId="0D5490C3" w14:textId="77777777" w:rsidR="003F384F" w:rsidRPr="003C6DBD" w:rsidRDefault="003F384F" w:rsidP="00CB19F2">
      <w:pPr>
        <w:rPr>
          <w:rFonts w:ascii="Times New Roman" w:hAnsi="Times New Roman" w:cs="Times New Roman"/>
          <w:color w:val="0D0D0D" w:themeColor="text1" w:themeTint="F2"/>
          <w:sz w:val="24"/>
          <w:szCs w:val="24"/>
        </w:rPr>
      </w:pPr>
    </w:p>
    <w:p w14:paraId="077E27B2" w14:textId="77777777" w:rsidR="003F384F" w:rsidRPr="003C6DBD" w:rsidRDefault="003F384F" w:rsidP="00CB19F2">
      <w:pPr>
        <w:rPr>
          <w:rFonts w:ascii="Times New Roman" w:hAnsi="Times New Roman" w:cs="Times New Roman"/>
          <w:color w:val="0D0D0D" w:themeColor="text1" w:themeTint="F2"/>
          <w:sz w:val="24"/>
          <w:szCs w:val="24"/>
        </w:rPr>
      </w:pPr>
    </w:p>
    <w:p w14:paraId="652E63FA" w14:textId="77777777" w:rsidR="004931D6" w:rsidRPr="003C6DBD" w:rsidRDefault="004931D6" w:rsidP="00CB19F2">
      <w:pPr>
        <w:rPr>
          <w:rFonts w:ascii="Times New Roman" w:hAnsi="Times New Roman" w:cs="Times New Roman"/>
          <w:color w:val="0D0D0D" w:themeColor="text1" w:themeTint="F2"/>
          <w:sz w:val="24"/>
          <w:szCs w:val="24"/>
        </w:rPr>
      </w:pPr>
    </w:p>
    <w:p w14:paraId="04ACEF18" w14:textId="77777777" w:rsidR="004931D6" w:rsidRPr="003C6DBD" w:rsidRDefault="004931D6" w:rsidP="00CB19F2">
      <w:pPr>
        <w:rPr>
          <w:rFonts w:ascii="Times New Roman" w:hAnsi="Times New Roman" w:cs="Times New Roman"/>
          <w:color w:val="0D0D0D" w:themeColor="text1" w:themeTint="F2"/>
          <w:sz w:val="24"/>
          <w:szCs w:val="24"/>
        </w:rPr>
      </w:pPr>
    </w:p>
    <w:p w14:paraId="022F8D9C" w14:textId="77777777" w:rsidR="004931D6" w:rsidRPr="003C6DBD" w:rsidRDefault="004931D6" w:rsidP="00CB19F2">
      <w:pPr>
        <w:rPr>
          <w:rFonts w:ascii="Times New Roman" w:hAnsi="Times New Roman" w:cs="Times New Roman"/>
          <w:color w:val="0D0D0D" w:themeColor="text1" w:themeTint="F2"/>
          <w:sz w:val="24"/>
          <w:szCs w:val="24"/>
        </w:rPr>
      </w:pPr>
    </w:p>
    <w:p w14:paraId="58E1ED7A" w14:textId="77777777" w:rsidR="004931D6" w:rsidRPr="003C6DBD" w:rsidRDefault="004931D6" w:rsidP="00CB19F2">
      <w:pPr>
        <w:rPr>
          <w:rFonts w:ascii="Times New Roman" w:hAnsi="Times New Roman" w:cs="Times New Roman"/>
          <w:color w:val="0D0D0D" w:themeColor="text1" w:themeTint="F2"/>
          <w:sz w:val="24"/>
          <w:szCs w:val="24"/>
        </w:rPr>
      </w:pPr>
    </w:p>
    <w:p w14:paraId="6ED36B4F" w14:textId="77777777" w:rsidR="007D2980" w:rsidRPr="003C6DBD" w:rsidRDefault="007D2980" w:rsidP="00920CFD">
      <w:pPr>
        <w:pStyle w:val="Heading1"/>
        <w:spacing w:line="480" w:lineRule="auto"/>
        <w:rPr>
          <w:rFonts w:cs="Times New Roman"/>
          <w:color w:val="0D0D0D" w:themeColor="text1" w:themeTint="F2"/>
          <w:szCs w:val="24"/>
        </w:rPr>
        <w:sectPr w:rsidR="007D2980" w:rsidRPr="003C6DBD" w:rsidSect="004C0FF8">
          <w:pgSz w:w="12240" w:h="15840"/>
          <w:pgMar w:top="1440" w:right="1440" w:bottom="1440" w:left="1440" w:header="720" w:footer="720" w:gutter="0"/>
          <w:pgNumType w:start="1"/>
          <w:cols w:space="720"/>
          <w:docGrid w:linePitch="360"/>
        </w:sectPr>
      </w:pPr>
    </w:p>
    <w:p w14:paraId="1A65D66D" w14:textId="77777777" w:rsidR="001C1D3D" w:rsidRPr="003C6DBD" w:rsidRDefault="001C1D3D" w:rsidP="00920CFD">
      <w:pPr>
        <w:pStyle w:val="Heading1"/>
        <w:spacing w:line="480" w:lineRule="auto"/>
        <w:rPr>
          <w:rFonts w:cs="Times New Roman"/>
          <w:color w:val="0D0D0D" w:themeColor="text1" w:themeTint="F2"/>
          <w:szCs w:val="24"/>
        </w:rPr>
      </w:pPr>
      <w:bookmarkStart w:id="40" w:name="_Toc132761848"/>
      <w:r w:rsidRPr="003C6DBD">
        <w:rPr>
          <w:rFonts w:cs="Times New Roman"/>
          <w:color w:val="0D0D0D" w:themeColor="text1" w:themeTint="F2"/>
          <w:szCs w:val="24"/>
        </w:rPr>
        <w:lastRenderedPageBreak/>
        <w:t>CHAPTER VI</w:t>
      </w:r>
      <w:bookmarkEnd w:id="40"/>
    </w:p>
    <w:p w14:paraId="4E7C081A" w14:textId="0D90FDD0" w:rsidR="00920CFD" w:rsidRPr="003C6DBD" w:rsidRDefault="00920CFD" w:rsidP="00920CFD">
      <w:pPr>
        <w:pStyle w:val="Heading2"/>
        <w:rPr>
          <w:color w:val="0D0D0D" w:themeColor="text1" w:themeTint="F2"/>
        </w:rPr>
      </w:pPr>
      <w:bookmarkStart w:id="41" w:name="_Toc132761849"/>
      <w:r w:rsidRPr="003C6DBD">
        <w:rPr>
          <w:color w:val="0D0D0D" w:themeColor="text1" w:themeTint="F2"/>
        </w:rPr>
        <w:t>DISCUSSION</w:t>
      </w:r>
      <w:bookmarkEnd w:id="41"/>
    </w:p>
    <w:p w14:paraId="4FDFC99F" w14:textId="23FE6BF4" w:rsidR="001C1D3D" w:rsidRPr="003C6DBD" w:rsidRDefault="001C1D3D" w:rsidP="00920CFD">
      <w:pPr>
        <w:pStyle w:val="Heading3"/>
        <w:spacing w:line="480" w:lineRule="auto"/>
        <w:rPr>
          <w:rFonts w:cs="Times New Roman"/>
          <w:color w:val="0D0D0D" w:themeColor="text1" w:themeTint="F2"/>
          <w:szCs w:val="24"/>
        </w:rPr>
      </w:pPr>
      <w:bookmarkStart w:id="42" w:name="_Toc132761850"/>
      <w:r w:rsidRPr="003C6DBD">
        <w:rPr>
          <w:rFonts w:cs="Times New Roman"/>
          <w:color w:val="0D0D0D" w:themeColor="text1" w:themeTint="F2"/>
          <w:szCs w:val="24"/>
        </w:rPr>
        <w:t>6.</w:t>
      </w:r>
      <w:r w:rsidR="00920CFD" w:rsidRPr="003C6DBD">
        <w:rPr>
          <w:rFonts w:cs="Times New Roman"/>
          <w:color w:val="0D0D0D" w:themeColor="text1" w:themeTint="F2"/>
          <w:szCs w:val="24"/>
        </w:rPr>
        <w:t>1</w:t>
      </w:r>
      <w:r w:rsidRPr="003C6DBD">
        <w:rPr>
          <w:rFonts w:cs="Times New Roman"/>
          <w:color w:val="0D0D0D" w:themeColor="text1" w:themeTint="F2"/>
          <w:szCs w:val="24"/>
        </w:rPr>
        <w:t xml:space="preserve"> </w:t>
      </w:r>
      <w:r w:rsidR="00920CFD" w:rsidRPr="003C6DBD">
        <w:rPr>
          <w:rFonts w:cs="Times New Roman"/>
          <w:color w:val="0D0D0D" w:themeColor="text1" w:themeTint="F2"/>
          <w:szCs w:val="24"/>
        </w:rPr>
        <w:t xml:space="preserve">Discussion for </w:t>
      </w:r>
      <w:r w:rsidR="00B03F1F" w:rsidRPr="003C6DBD">
        <w:rPr>
          <w:rFonts w:cs="Times New Roman"/>
          <w:color w:val="0D0D0D" w:themeColor="text1" w:themeTint="F2"/>
          <w:szCs w:val="24"/>
        </w:rPr>
        <w:t>R</w:t>
      </w:r>
      <w:r w:rsidR="00920CFD" w:rsidRPr="003C6DBD">
        <w:rPr>
          <w:rFonts w:cs="Times New Roman"/>
          <w:color w:val="0D0D0D" w:themeColor="text1" w:themeTint="F2"/>
          <w:szCs w:val="24"/>
        </w:rPr>
        <w:t xml:space="preserve">isk </w:t>
      </w:r>
      <w:r w:rsidR="00B03F1F" w:rsidRPr="003C6DBD">
        <w:rPr>
          <w:rFonts w:cs="Times New Roman"/>
          <w:color w:val="0D0D0D" w:themeColor="text1" w:themeTint="F2"/>
          <w:szCs w:val="24"/>
        </w:rPr>
        <w:t>A</w:t>
      </w:r>
      <w:r w:rsidR="00920CFD" w:rsidRPr="003C6DBD">
        <w:rPr>
          <w:rFonts w:cs="Times New Roman"/>
          <w:color w:val="0D0D0D" w:themeColor="text1" w:themeTint="F2"/>
          <w:szCs w:val="24"/>
        </w:rPr>
        <w:t>nalysis</w:t>
      </w:r>
      <w:bookmarkEnd w:id="42"/>
    </w:p>
    <w:p w14:paraId="5746B12D" w14:textId="03EEBCA2" w:rsidR="001C1D3D" w:rsidRPr="003C6DBD" w:rsidRDefault="001C1D3D" w:rsidP="00920CFD">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Political risk comprises the risk related to biofuel policies and regulations, environmental regulations, international laws, and general regulations for the operation of a company. Biofuel regulation is one of the important risks in terms of prevalence and significance for </w:t>
      </w:r>
      <w:r w:rsidR="00990B79" w:rsidRPr="003C6DBD">
        <w:rPr>
          <w:rFonts w:ascii="Times New Roman" w:hAnsi="Times New Roman" w:cs="Times New Roman"/>
          <w:color w:val="0D0D0D" w:themeColor="text1" w:themeTint="F2"/>
          <w:sz w:val="24"/>
          <w:szCs w:val="24"/>
        </w:rPr>
        <w:t xml:space="preserve">the </w:t>
      </w:r>
      <w:r w:rsidRPr="003C6DBD">
        <w:rPr>
          <w:rFonts w:ascii="Times New Roman" w:hAnsi="Times New Roman" w:cs="Times New Roman"/>
          <w:color w:val="0D0D0D" w:themeColor="text1" w:themeTint="F2"/>
          <w:sz w:val="24"/>
          <w:szCs w:val="24"/>
        </w:rPr>
        <w:t>sample</w:t>
      </w:r>
      <w:r w:rsidR="00990B79" w:rsidRPr="003C6DBD">
        <w:rPr>
          <w:rFonts w:ascii="Times New Roman" w:hAnsi="Times New Roman" w:cs="Times New Roman"/>
          <w:color w:val="0D0D0D" w:themeColor="text1" w:themeTint="F2"/>
          <w:sz w:val="24"/>
          <w:szCs w:val="24"/>
        </w:rPr>
        <w:t xml:space="preserve"> of</w:t>
      </w:r>
      <w:r w:rsidRPr="003C6DBD">
        <w:rPr>
          <w:rFonts w:ascii="Times New Roman" w:hAnsi="Times New Roman" w:cs="Times New Roman"/>
          <w:color w:val="0D0D0D" w:themeColor="text1" w:themeTint="F2"/>
          <w:sz w:val="24"/>
          <w:szCs w:val="24"/>
        </w:rPr>
        <w:t xml:space="preserve"> biofuel companies</w:t>
      </w:r>
      <w:r w:rsidR="00990B79" w:rsidRPr="003C6DBD">
        <w:rPr>
          <w:rFonts w:ascii="Times New Roman" w:hAnsi="Times New Roman" w:cs="Times New Roman"/>
          <w:color w:val="0D0D0D" w:themeColor="text1" w:themeTint="F2"/>
          <w:sz w:val="24"/>
          <w:szCs w:val="24"/>
        </w:rPr>
        <w:t xml:space="preserve"> analyzed in this study</w:t>
      </w:r>
      <w:r w:rsidRPr="003C6DBD">
        <w:rPr>
          <w:rFonts w:ascii="Times New Roman" w:hAnsi="Times New Roman" w:cs="Times New Roman"/>
          <w:color w:val="0D0D0D" w:themeColor="text1" w:themeTint="F2"/>
          <w:sz w:val="24"/>
          <w:szCs w:val="24"/>
        </w:rPr>
        <w:t xml:space="preserve">. </w:t>
      </w:r>
      <w:r w:rsidR="008F0BD7" w:rsidRPr="003C6DBD">
        <w:rPr>
          <w:rFonts w:ascii="Times New Roman" w:hAnsi="Times New Roman" w:cs="Times New Roman"/>
          <w:color w:val="0D0D0D" w:themeColor="text1" w:themeTint="F2"/>
          <w:sz w:val="24"/>
          <w:szCs w:val="24"/>
        </w:rPr>
        <w:t xml:space="preserve">A similar finding was reported by </w:t>
      </w:r>
      <w:r w:rsidR="008F0BD7" w:rsidRPr="003C6DBD">
        <w:rPr>
          <w:rFonts w:ascii="Times New Roman" w:hAnsi="Times New Roman" w:cs="Times New Roman"/>
          <w:color w:val="0D0D0D" w:themeColor="text1" w:themeTint="F2"/>
          <w:sz w:val="24"/>
          <w:szCs w:val="24"/>
        </w:rPr>
        <w:fldChar w:fldCharType="begin"/>
      </w:r>
      <w:r w:rsidR="008F0BD7" w:rsidRPr="003C6DBD">
        <w:rPr>
          <w:rFonts w:ascii="Times New Roman" w:hAnsi="Times New Roman" w:cs="Times New Roman"/>
          <w:color w:val="0D0D0D" w:themeColor="text1" w:themeTint="F2"/>
          <w:sz w:val="24"/>
          <w:szCs w:val="24"/>
        </w:rPr>
        <w:instrText xml:space="preserve"> ADDIN ZOTERO_ITEM CSL_CITATION {"citationID":"43J7UIeV","properties":{"custom":"Pries et al. (2016)","formattedCitation":"Pries et al. (2016)","plainCitation":"Pries et al. (2016)","noteIndex":0},"citationItems":[{"id":251,"uris":["http://zotero.org/users/8949154/items/P6NYLUEB"],"itemData":{"id":251,"type":"article-journal","container-title":"Energy Policy","note":"publisher: Elsevier","page":"93–101","source":"Google Scholar","title":"Risks affecting the biofuels industry: A US and Canadian company perspective","title-short":"Risks affecting the biofuels industry","volume":"97","author":[{"family":"Pries","given":"Fred"},{"family":"Talebi","given":"Alireza"},{"family":"Schillo","given":"R. Sandra"},{"family":"Lemay","given":"Margaret A."}],"issued":{"date-parts":[["2016"]]}}}],"schema":"https://github.com/citation-style-language/schema/raw/master/csl-citation.json"} </w:instrText>
      </w:r>
      <w:r w:rsidR="008F0BD7" w:rsidRPr="003C6DBD">
        <w:rPr>
          <w:rFonts w:ascii="Times New Roman" w:hAnsi="Times New Roman" w:cs="Times New Roman"/>
          <w:color w:val="0D0D0D" w:themeColor="text1" w:themeTint="F2"/>
          <w:sz w:val="24"/>
          <w:szCs w:val="24"/>
        </w:rPr>
        <w:fldChar w:fldCharType="separate"/>
      </w:r>
      <w:r w:rsidR="008F0BD7" w:rsidRPr="003C6DBD">
        <w:rPr>
          <w:rFonts w:ascii="Times New Roman" w:hAnsi="Times New Roman" w:cs="Times New Roman"/>
          <w:color w:val="0D0D0D" w:themeColor="text1" w:themeTint="F2"/>
          <w:sz w:val="24"/>
        </w:rPr>
        <w:t>Pries et al. (2016)</w:t>
      </w:r>
      <w:r w:rsidR="008F0BD7" w:rsidRPr="003C6DBD">
        <w:rPr>
          <w:rFonts w:ascii="Times New Roman" w:hAnsi="Times New Roman" w:cs="Times New Roman"/>
          <w:color w:val="0D0D0D" w:themeColor="text1" w:themeTint="F2"/>
          <w:sz w:val="24"/>
          <w:szCs w:val="24"/>
        </w:rPr>
        <w:fldChar w:fldCharType="end"/>
      </w:r>
      <w:r w:rsidR="008F0BD7" w:rsidRPr="003C6DBD">
        <w:rPr>
          <w:rFonts w:ascii="Times New Roman" w:hAnsi="Times New Roman" w:cs="Times New Roman"/>
          <w:color w:val="0D0D0D" w:themeColor="text1" w:themeTint="F2"/>
          <w:sz w:val="24"/>
          <w:szCs w:val="24"/>
        </w:rPr>
        <w:t xml:space="preserve"> where biofuel regulation was found to be a prevalent and significant risk for a sample of 26 biofuel companies.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{"citationID":"dhaQKFll","properties":{"custom":"\\uc0\\u381{}ivkovi\\uc0\\u263{} et al. (2017)","formattedCitation":"\\uc0\\u381{}ivkovi\\uc0\\u263{} et al. (2017)","plainCitation":"Živković et al. (2017)","noteIndex":0},"citationItems":[{"id":519,"uris":["http://zotero.org/users/8949154/items/QUM2NY5M"],"itemData":{"id":519,"type":"article-journal","container-title":"Renewable and Sustainable Energy Reviews","note":"publisher: Elsevier","page":"222–247","source":"Google Scholar","title":"Technological, technical, economic, environmental, social, human health risk, toxicological and policy considerations of biodiesel production and use","volume":"79","author":[{"family":"Živković","given":"Snežana B."},{"family":"Veljković","given":"Milan V."},{"family":"Banković-Ilić","given":"Ivana B."},{"family":"Krstić","given":"Ivan M."},{"family":"Konstantinović","given":"Sandra S."},{"family":"Ilić","given":"Slavica B."},{"family":"Avramović","given":"Jelena M."},{"family":"Stamenković","given":"Olivera S."},{"family":"Veljković","given":"Vlada B."}],"issued":{"date-parts":[["2017"]]}}}],"schema":"https://github.com/citation-style-language/schema/raw/master/csl-citation.json"}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Živković et al. (2017)</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w:t>
      </w:r>
      <w:r w:rsidR="008F0BD7" w:rsidRPr="003C6DBD">
        <w:rPr>
          <w:rFonts w:ascii="Times New Roman" w:hAnsi="Times New Roman" w:cs="Times New Roman"/>
          <w:color w:val="0D0D0D" w:themeColor="text1" w:themeTint="F2"/>
          <w:sz w:val="24"/>
          <w:szCs w:val="24"/>
        </w:rPr>
        <w:t xml:space="preserve">also </w:t>
      </w:r>
      <w:r w:rsidRPr="003C6DBD">
        <w:rPr>
          <w:rFonts w:ascii="Times New Roman" w:hAnsi="Times New Roman" w:cs="Times New Roman"/>
          <w:color w:val="0D0D0D" w:themeColor="text1" w:themeTint="F2"/>
          <w:sz w:val="24"/>
          <w:szCs w:val="24"/>
        </w:rPr>
        <w:t xml:space="preserve">addressed the government’s </w:t>
      </w:r>
      <w:r w:rsidR="007A5136" w:rsidRPr="003C6DBD">
        <w:rPr>
          <w:rFonts w:ascii="Times New Roman" w:hAnsi="Times New Roman" w:cs="Times New Roman"/>
          <w:color w:val="0D0D0D" w:themeColor="text1" w:themeTint="F2"/>
          <w:sz w:val="24"/>
          <w:szCs w:val="24"/>
        </w:rPr>
        <w:t>inconsistent</w:t>
      </w:r>
      <w:r w:rsidRPr="003C6DBD">
        <w:rPr>
          <w:rFonts w:ascii="Times New Roman" w:hAnsi="Times New Roman" w:cs="Times New Roman"/>
          <w:color w:val="0D0D0D" w:themeColor="text1" w:themeTint="F2"/>
          <w:sz w:val="24"/>
          <w:szCs w:val="24"/>
        </w:rPr>
        <w:t xml:space="preserve"> policy for biofuels as a major problem in both the short and long term for </w:t>
      </w:r>
      <w:r w:rsidR="00E51956" w:rsidRPr="003C6DBD">
        <w:rPr>
          <w:rFonts w:ascii="Times New Roman" w:hAnsi="Times New Roman" w:cs="Times New Roman"/>
          <w:color w:val="0D0D0D" w:themeColor="text1" w:themeTint="F2"/>
          <w:sz w:val="24"/>
          <w:szCs w:val="24"/>
        </w:rPr>
        <w:t xml:space="preserve">the </w:t>
      </w:r>
      <w:r w:rsidRPr="003C6DBD">
        <w:rPr>
          <w:rFonts w:ascii="Times New Roman" w:hAnsi="Times New Roman" w:cs="Times New Roman"/>
          <w:color w:val="0D0D0D" w:themeColor="text1" w:themeTint="F2"/>
          <w:sz w:val="24"/>
          <w:szCs w:val="24"/>
        </w:rPr>
        <w:t xml:space="preserve">growth of the biofuel industry. </w:t>
      </w:r>
      <w:r w:rsidR="008F0BD7" w:rsidRPr="003C6DBD">
        <w:rPr>
          <w:rFonts w:ascii="Times New Roman" w:hAnsi="Times New Roman" w:cs="Times New Roman"/>
          <w:color w:val="0D0D0D" w:themeColor="text1" w:themeTint="F2"/>
          <w:sz w:val="24"/>
          <w:szCs w:val="24"/>
        </w:rPr>
        <w:t xml:space="preserve">Similarly,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{"citationID":"6i5eZy9z","properties":{"custom":"White et al. (2013)","formattedCitation":"White et al. (2013)","plainCitation":"White et al. (2013)","noteIndex":0},"citationItems":[{"id":527,"uris":["http://zotero.org/users/8949154/items/QA53Z6JR"],"itemData":{"id":527,"type":"article-journal","container-title":"Biomass and bioenergy","note":"publisher: Elsevier","page":"97–105","source":"Google Scholar","title":"The role of governments in renewable energy: The importance of policy consistency","title-short":"The role of governments in renewable energy","volume":"57","author":[{"family":"White","given":"William"},{"family":"Lunnan","given":"Anders"},{"family":"Nybakk","given":"Erlend"},{"family":"Kulisic","given":"Biljana"}],"issued":{"date-parts":[["2013"]]}}}],"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White et al. (2013)</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reported policy </w:t>
      </w:r>
      <w:r w:rsidR="007A5136" w:rsidRPr="003C6DBD">
        <w:rPr>
          <w:rFonts w:ascii="Times New Roman" w:hAnsi="Times New Roman" w:cs="Times New Roman"/>
          <w:color w:val="0D0D0D" w:themeColor="text1" w:themeTint="F2"/>
          <w:sz w:val="24"/>
          <w:szCs w:val="24"/>
        </w:rPr>
        <w:t>in</w:t>
      </w:r>
      <w:r w:rsidRPr="003C6DBD">
        <w:rPr>
          <w:rFonts w:ascii="Times New Roman" w:hAnsi="Times New Roman" w:cs="Times New Roman"/>
          <w:color w:val="0D0D0D" w:themeColor="text1" w:themeTint="F2"/>
          <w:sz w:val="24"/>
          <w:szCs w:val="24"/>
        </w:rPr>
        <w:t>consistency as a challenge for the renewable energy sector. Potential investors, therefore, seek the assurance of long-term stable policies that minimize uncertainty to invest in the biofuel industry</w:t>
      </w:r>
      <w:bookmarkStart w:id="43" w:name="_Hlk121583770"/>
      <w:r w:rsidRPr="003C6DBD">
        <w:rPr>
          <w:rFonts w:ascii="Times New Roman" w:hAnsi="Times New Roman" w:cs="Times New Roman"/>
          <w:color w:val="0D0D0D" w:themeColor="text1" w:themeTint="F2"/>
          <w:sz w:val="24"/>
          <w:szCs w:val="24"/>
        </w:rPr>
        <w:t xml:space="preserve">. </w:t>
      </w:r>
      <w:r w:rsidR="00333D5B" w:rsidRPr="003C6DBD">
        <w:rPr>
          <w:rFonts w:ascii="Times New Roman" w:hAnsi="Times New Roman" w:cs="Times New Roman"/>
          <w:color w:val="0D0D0D" w:themeColor="text1" w:themeTint="F2"/>
          <w:sz w:val="24"/>
          <w:szCs w:val="24"/>
        </w:rPr>
        <w:t xml:space="preserve">Biofuel policies make high-cost biofuel to be competitive in the fuel market through </w:t>
      </w:r>
      <w:r w:rsidR="008F692E" w:rsidRPr="003C6DBD">
        <w:rPr>
          <w:rFonts w:ascii="Times New Roman" w:hAnsi="Times New Roman" w:cs="Times New Roman"/>
          <w:color w:val="0D0D0D" w:themeColor="text1" w:themeTint="F2"/>
          <w:sz w:val="24"/>
          <w:szCs w:val="24"/>
        </w:rPr>
        <w:t xml:space="preserve">economic incentives including </w:t>
      </w:r>
      <w:r w:rsidR="00333D5B" w:rsidRPr="003C6DBD">
        <w:rPr>
          <w:rFonts w:ascii="Times New Roman" w:hAnsi="Times New Roman" w:cs="Times New Roman"/>
          <w:color w:val="0D0D0D" w:themeColor="text1" w:themeTint="F2"/>
          <w:sz w:val="24"/>
          <w:szCs w:val="24"/>
        </w:rPr>
        <w:t xml:space="preserve">subsidies, tariffs, </w:t>
      </w:r>
      <w:r w:rsidR="008F692E" w:rsidRPr="003C6DBD">
        <w:rPr>
          <w:rFonts w:ascii="Times New Roman" w:hAnsi="Times New Roman" w:cs="Times New Roman"/>
          <w:color w:val="0D0D0D" w:themeColor="text1" w:themeTint="F2"/>
          <w:sz w:val="24"/>
          <w:szCs w:val="24"/>
        </w:rPr>
        <w:t xml:space="preserve">and </w:t>
      </w:r>
      <w:r w:rsidR="00333D5B" w:rsidRPr="003C6DBD">
        <w:rPr>
          <w:rFonts w:ascii="Times New Roman" w:hAnsi="Times New Roman" w:cs="Times New Roman"/>
          <w:color w:val="0D0D0D" w:themeColor="text1" w:themeTint="F2"/>
          <w:sz w:val="24"/>
          <w:szCs w:val="24"/>
        </w:rPr>
        <w:t>tax incentives.</w:t>
      </w:r>
    </w:p>
    <w:p w14:paraId="4E07F213" w14:textId="687F7C42" w:rsidR="001C1D3D" w:rsidRPr="003C6DBD" w:rsidRDefault="00DA7E7E" w:rsidP="001C1D3D">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B</w:t>
      </w:r>
      <w:r w:rsidR="001C1D3D" w:rsidRPr="003C6DBD">
        <w:rPr>
          <w:rFonts w:ascii="Times New Roman" w:hAnsi="Times New Roman" w:cs="Times New Roman"/>
          <w:color w:val="0D0D0D" w:themeColor="text1" w:themeTint="F2"/>
          <w:sz w:val="24"/>
          <w:szCs w:val="24"/>
        </w:rPr>
        <w:t xml:space="preserve">iofuel advocates argue biofuel </w:t>
      </w:r>
      <w:r w:rsidR="00E51956" w:rsidRPr="003C6DBD">
        <w:rPr>
          <w:rFonts w:ascii="Times New Roman" w:hAnsi="Times New Roman" w:cs="Times New Roman"/>
          <w:color w:val="0D0D0D" w:themeColor="text1" w:themeTint="F2"/>
          <w:sz w:val="24"/>
          <w:szCs w:val="24"/>
        </w:rPr>
        <w:t>i</w:t>
      </w:r>
      <w:r w:rsidR="001C1D3D" w:rsidRPr="003C6DBD">
        <w:rPr>
          <w:rFonts w:ascii="Times New Roman" w:hAnsi="Times New Roman" w:cs="Times New Roman"/>
          <w:color w:val="0D0D0D" w:themeColor="text1" w:themeTint="F2"/>
          <w:sz w:val="24"/>
          <w:szCs w:val="24"/>
        </w:rPr>
        <w:t xml:space="preserve">s a vehicle for mitigating </w:t>
      </w:r>
      <w:r w:rsidR="005D3BF2" w:rsidRPr="003C6DBD">
        <w:rPr>
          <w:rFonts w:ascii="Times New Roman" w:hAnsi="Times New Roman" w:cs="Times New Roman"/>
          <w:color w:val="0D0D0D" w:themeColor="text1" w:themeTint="F2"/>
          <w:sz w:val="24"/>
          <w:szCs w:val="24"/>
        </w:rPr>
        <w:t xml:space="preserve">the effects of </w:t>
      </w:r>
      <w:r w:rsidR="001C1D3D" w:rsidRPr="003C6DBD">
        <w:rPr>
          <w:rFonts w:ascii="Times New Roman" w:hAnsi="Times New Roman" w:cs="Times New Roman"/>
          <w:color w:val="0D0D0D" w:themeColor="text1" w:themeTint="F2"/>
          <w:sz w:val="24"/>
          <w:szCs w:val="24"/>
        </w:rPr>
        <w:t>climate change b</w:t>
      </w:r>
      <w:r w:rsidR="00E51956" w:rsidRPr="003C6DBD">
        <w:rPr>
          <w:rFonts w:ascii="Times New Roman" w:hAnsi="Times New Roman" w:cs="Times New Roman"/>
          <w:color w:val="0D0D0D" w:themeColor="text1" w:themeTint="F2"/>
          <w:sz w:val="24"/>
          <w:szCs w:val="24"/>
        </w:rPr>
        <w:t>ecause it</w:t>
      </w:r>
      <w:r w:rsidR="001C1D3D" w:rsidRPr="003C6DBD">
        <w:rPr>
          <w:rFonts w:ascii="Times New Roman" w:hAnsi="Times New Roman" w:cs="Times New Roman"/>
          <w:color w:val="0D0D0D" w:themeColor="text1" w:themeTint="F2"/>
          <w:sz w:val="24"/>
          <w:szCs w:val="24"/>
        </w:rPr>
        <w:t xml:space="preserve"> reduc</w:t>
      </w:r>
      <w:r w:rsidR="00E51956" w:rsidRPr="003C6DBD">
        <w:rPr>
          <w:rFonts w:ascii="Times New Roman" w:hAnsi="Times New Roman" w:cs="Times New Roman"/>
          <w:color w:val="0D0D0D" w:themeColor="text1" w:themeTint="F2"/>
          <w:sz w:val="24"/>
          <w:szCs w:val="24"/>
        </w:rPr>
        <w:t>es</w:t>
      </w:r>
      <w:r w:rsidR="001C1D3D" w:rsidRPr="003C6DBD">
        <w:rPr>
          <w:rFonts w:ascii="Times New Roman" w:hAnsi="Times New Roman" w:cs="Times New Roman"/>
          <w:color w:val="0D0D0D" w:themeColor="text1" w:themeTint="F2"/>
          <w:sz w:val="24"/>
          <w:szCs w:val="24"/>
        </w:rPr>
        <w:t xml:space="preserve"> GHG emissions.</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{"citationID":"rOgBGCPK","properties":{"custom":"Van der Horst &amp; Vermeylen (2011)","formattedCitation":"Van der Horst &amp; Vermeylen (2011)","plainCitation":"Van der Horst &amp; Vermeylen (2011)","noteIndex":0},"citationItems":[{"id":525,"uris":["http://zotero.org/users/8949154/items/JZDHAWI3"],"itemData":{"id":525,"type":"article-journal","container-title":"Biomass and bioenergy","issue":"6","note":"publisher: Elsevier","page":"2435–2443","source":"Google Scholar","title":"Spatial scale and social impacts of biofuel production","volume":"35","author":[{"family":"Van der Horst","given":"Dan"},{"family":"Vermeylen","given":"Saskia"}],"issued":{"date-parts":[["2011"]]}}}],"schema":"https://github.com/citation-style-language/schema/raw/master/csl-citation.json"}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Van der Horst &amp; Vermeylen (2011)</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argue that biofuel policies are narrowly defined for energy security rather than environmental and social concerns.</w:t>
      </w:r>
      <w:r w:rsidR="001C1D3D" w:rsidRPr="003C6DBD">
        <w:rPr>
          <w:rFonts w:ascii="Times New Roman" w:hAnsi="Times New Roman" w:cs="Times New Roman"/>
          <w:color w:val="0D0D0D" w:themeColor="text1" w:themeTint="F2"/>
          <w:sz w:val="24"/>
          <w:szCs w:val="24"/>
        </w:rPr>
        <w:t xml:space="preserve"> A review study of </w:t>
      </w:r>
      <w:r w:rsidR="00E51956" w:rsidRPr="003C6DBD">
        <w:rPr>
          <w:rFonts w:ascii="Times New Roman" w:hAnsi="Times New Roman" w:cs="Times New Roman"/>
          <w:color w:val="0D0D0D" w:themeColor="text1" w:themeTint="F2"/>
          <w:sz w:val="24"/>
          <w:szCs w:val="24"/>
        </w:rPr>
        <w:t xml:space="preserve">the </w:t>
      </w:r>
      <w:r w:rsidR="001C1D3D" w:rsidRPr="003C6DBD">
        <w:rPr>
          <w:rFonts w:ascii="Times New Roman" w:hAnsi="Times New Roman" w:cs="Times New Roman"/>
          <w:color w:val="0D0D0D" w:themeColor="text1" w:themeTint="F2"/>
          <w:sz w:val="24"/>
          <w:szCs w:val="24"/>
        </w:rPr>
        <w:t xml:space="preserve">Life Cycle Assessment (LCA) of biofuels by </w:t>
      </w:r>
      <w:r w:rsidR="001C1D3D" w:rsidRPr="003C6DBD">
        <w:rPr>
          <w:rFonts w:ascii="Times New Roman" w:hAnsi="Times New Roman" w:cs="Times New Roman"/>
          <w:color w:val="0D0D0D" w:themeColor="text1" w:themeTint="F2"/>
          <w:sz w:val="24"/>
          <w:szCs w:val="24"/>
        </w:rPr>
        <w:fldChar w:fldCharType="begin"/>
      </w:r>
      <w:r w:rsidR="001C1D3D" w:rsidRPr="003C6DBD">
        <w:rPr>
          <w:rFonts w:ascii="Times New Roman" w:hAnsi="Times New Roman" w:cs="Times New Roman"/>
          <w:color w:val="0D0D0D" w:themeColor="text1" w:themeTint="F2"/>
          <w:sz w:val="24"/>
          <w:szCs w:val="24"/>
        </w:rPr>
        <w:instrText xml:space="preserve"> ADDIN ZOTERO_ITEM CSL_CITATION {"citationID":"H0uf9LoT","properties":{"custom":"Jeswani et al. (2020)","formattedCitation":"Jeswani et al. (2020)","plainCitation":"Jeswani et al. (2020)","noteIndex":0},"citationItems":[{"id":563,"uris":["http://zotero.org/users/8949154/items/KRKAUINJ"],"itemData":{"id":563,"type":"article-journal","container-title":"Proceedings of the Royal Society A","issue":"2243","note":"publisher: The Royal Society Publishing","page":"20200351","source":"Google Scholar","title":"Environmental sustainability of biofuels: a review","title-short":"Environmental sustainability of biofuels","volume":"476","author":[{"family":"Jeswani","given":"Harish K."},{"family":"Chilvers","given":"Andrew"},{"family":"Azapagic","given":"Adisa"}],"issued":{"date-parts":[["2020"]]}}}],"schema":"https://github.com/citation-style-language/schema/raw/master/csl-citation.json"} </w:instrText>
      </w:r>
      <w:r w:rsidR="001C1D3D" w:rsidRPr="003C6DBD">
        <w:rPr>
          <w:rFonts w:ascii="Times New Roman" w:hAnsi="Times New Roman" w:cs="Times New Roman"/>
          <w:color w:val="0D0D0D" w:themeColor="text1" w:themeTint="F2"/>
          <w:sz w:val="24"/>
          <w:szCs w:val="24"/>
        </w:rPr>
        <w:fldChar w:fldCharType="separate"/>
      </w:r>
      <w:r w:rsidR="001C1D3D" w:rsidRPr="003C6DBD">
        <w:rPr>
          <w:rFonts w:ascii="Times New Roman" w:hAnsi="Times New Roman" w:cs="Times New Roman"/>
          <w:color w:val="0D0D0D" w:themeColor="text1" w:themeTint="F2"/>
          <w:sz w:val="24"/>
          <w:szCs w:val="24"/>
        </w:rPr>
        <w:t>Jeswani et al. (2020)</w:t>
      </w:r>
      <w:r w:rsidR="001C1D3D" w:rsidRPr="003C6DBD">
        <w:rPr>
          <w:rFonts w:ascii="Times New Roman" w:hAnsi="Times New Roman" w:cs="Times New Roman"/>
          <w:color w:val="0D0D0D" w:themeColor="text1" w:themeTint="F2"/>
          <w:sz w:val="24"/>
          <w:szCs w:val="24"/>
        </w:rPr>
        <w:fldChar w:fldCharType="end"/>
      </w:r>
      <w:r w:rsidR="001C1D3D" w:rsidRPr="003C6DBD">
        <w:rPr>
          <w:rFonts w:ascii="Times New Roman" w:hAnsi="Times New Roman" w:cs="Times New Roman"/>
          <w:color w:val="0D0D0D" w:themeColor="text1" w:themeTint="F2"/>
          <w:sz w:val="24"/>
          <w:szCs w:val="24"/>
        </w:rPr>
        <w:t xml:space="preserve"> revealed that first and second</w:t>
      </w:r>
      <w:r w:rsidR="00E51956" w:rsidRPr="003C6DBD">
        <w:rPr>
          <w:rFonts w:ascii="Times New Roman" w:hAnsi="Times New Roman" w:cs="Times New Roman"/>
          <w:color w:val="0D0D0D" w:themeColor="text1" w:themeTint="F2"/>
          <w:sz w:val="24"/>
          <w:szCs w:val="24"/>
        </w:rPr>
        <w:t>-</w:t>
      </w:r>
      <w:r w:rsidR="001C1D3D" w:rsidRPr="003C6DBD">
        <w:rPr>
          <w:rFonts w:ascii="Times New Roman" w:hAnsi="Times New Roman" w:cs="Times New Roman"/>
          <w:color w:val="0D0D0D" w:themeColor="text1" w:themeTint="F2"/>
          <w:sz w:val="24"/>
          <w:szCs w:val="24"/>
        </w:rPr>
        <w:t>generation biofuels have lower GHG emission</w:t>
      </w:r>
      <w:r w:rsidR="00E51956" w:rsidRPr="003C6DBD">
        <w:rPr>
          <w:rFonts w:ascii="Times New Roman" w:hAnsi="Times New Roman" w:cs="Times New Roman"/>
          <w:color w:val="0D0D0D" w:themeColor="text1" w:themeTint="F2"/>
          <w:sz w:val="24"/>
          <w:szCs w:val="24"/>
        </w:rPr>
        <w:t>s</w:t>
      </w:r>
      <w:r w:rsidR="001C1D3D" w:rsidRPr="003C6DBD">
        <w:rPr>
          <w:rFonts w:ascii="Times New Roman" w:hAnsi="Times New Roman" w:cs="Times New Roman"/>
          <w:color w:val="0D0D0D" w:themeColor="text1" w:themeTint="F2"/>
          <w:sz w:val="24"/>
          <w:szCs w:val="24"/>
        </w:rPr>
        <w:t xml:space="preserve"> than fossil fuels. </w:t>
      </w:r>
      <w:r w:rsidR="007A5136" w:rsidRPr="003C6DBD">
        <w:rPr>
          <w:rFonts w:ascii="Times New Roman" w:hAnsi="Times New Roman" w:cs="Times New Roman"/>
          <w:color w:val="0D0D0D" w:themeColor="text1" w:themeTint="F2"/>
          <w:sz w:val="24"/>
          <w:szCs w:val="24"/>
        </w:rPr>
        <w:t xml:space="preserve">However, there have been discussions regarding whether promoting the use of biofuels would result in an increase in greenhouse gas (GHG) emissions. Some argue that this could be the case, </w:t>
      </w:r>
      <w:r w:rsidR="007A5136" w:rsidRPr="003C6DBD">
        <w:rPr>
          <w:rFonts w:ascii="Times New Roman" w:hAnsi="Times New Roman" w:cs="Times New Roman"/>
          <w:color w:val="0D0D0D" w:themeColor="text1" w:themeTint="F2"/>
          <w:sz w:val="24"/>
          <w:szCs w:val="24"/>
        </w:rPr>
        <w:lastRenderedPageBreak/>
        <w:t xml:space="preserve">leading to a debate on the potential effects of promoting biofuels. </w:t>
      </w:r>
      <w:r w:rsidR="001C1D3D" w:rsidRPr="003C6DBD">
        <w:rPr>
          <w:rFonts w:ascii="Times New Roman" w:hAnsi="Times New Roman" w:cs="Times New Roman"/>
          <w:color w:val="0D0D0D" w:themeColor="text1" w:themeTint="F2"/>
          <w:sz w:val="24"/>
          <w:szCs w:val="24"/>
        </w:rPr>
        <w:t xml:space="preserve">Large-scale mechanized monocultures using agrochemical inputs and, changing carbon-capturing forest land into feedstock cultivation are considered potential reasons behind increasing GHG emission that outweighs the benefits offered by biofuels </w:t>
      </w:r>
      <w:r w:rsidR="001C1D3D" w:rsidRPr="003C6DBD">
        <w:rPr>
          <w:rFonts w:ascii="Times New Roman" w:hAnsi="Times New Roman" w:cs="Times New Roman"/>
          <w:color w:val="0D0D0D" w:themeColor="text1" w:themeTint="F2"/>
          <w:sz w:val="24"/>
          <w:szCs w:val="24"/>
        </w:rPr>
        <w:fldChar w:fldCharType="begin"/>
      </w:r>
      <w:r w:rsidR="001C1D3D" w:rsidRPr="003C6DBD">
        <w:rPr>
          <w:rFonts w:ascii="Times New Roman" w:hAnsi="Times New Roman" w:cs="Times New Roman"/>
          <w:color w:val="0D0D0D" w:themeColor="text1" w:themeTint="F2"/>
          <w:sz w:val="24"/>
          <w:szCs w:val="24"/>
        </w:rPr>
        <w:instrText xml:space="preserve"> ADDIN ZOTERO_ITEM CSL_CITATION {"citationID":"HKEfv4rZ","properties":{"formattedCitation":"(Altieri &amp; Bravo, 2007)","plainCitation":"(Altieri &amp; Bravo, 2007)","noteIndex":0},"citationItems":[{"id":471,"uris":["http://zotero.org/users/8949154/items/I6TBJB6Z"],"itemData":{"id":471,"type":"article-journal","container-title":"Food First/Institute for Food &amp; Development Policy","source":"Google Scholar","title":"The ecological and social tragedy of crop-based biofuel production in the Americas","volume":"6","author":[{"family":"Altieri","given":"Miguel"},{"family":"Bravo","given":"Elizabeth"}],"issued":{"date-parts":[["2007"]]}}}],"schema":"https://github.com/citation-style-language/schema/raw/master/csl-citation.json"} </w:instrText>
      </w:r>
      <w:r w:rsidR="001C1D3D" w:rsidRPr="003C6DBD">
        <w:rPr>
          <w:rFonts w:ascii="Times New Roman" w:hAnsi="Times New Roman" w:cs="Times New Roman"/>
          <w:color w:val="0D0D0D" w:themeColor="text1" w:themeTint="F2"/>
          <w:sz w:val="24"/>
          <w:szCs w:val="24"/>
        </w:rPr>
        <w:fldChar w:fldCharType="separate"/>
      </w:r>
      <w:r w:rsidR="001C1D3D" w:rsidRPr="003C6DBD">
        <w:rPr>
          <w:rFonts w:ascii="Times New Roman" w:hAnsi="Times New Roman" w:cs="Times New Roman"/>
          <w:color w:val="0D0D0D" w:themeColor="text1" w:themeTint="F2"/>
          <w:sz w:val="24"/>
          <w:szCs w:val="24"/>
        </w:rPr>
        <w:t>(Altieri &amp; Bravo, 2007)</w:t>
      </w:r>
      <w:r w:rsidR="001C1D3D" w:rsidRPr="003C6DBD">
        <w:rPr>
          <w:rFonts w:ascii="Times New Roman" w:hAnsi="Times New Roman" w:cs="Times New Roman"/>
          <w:color w:val="0D0D0D" w:themeColor="text1" w:themeTint="F2"/>
          <w:sz w:val="24"/>
          <w:szCs w:val="24"/>
        </w:rPr>
        <w:fldChar w:fldCharType="end"/>
      </w:r>
      <w:r w:rsidR="001C1D3D" w:rsidRPr="003C6DBD">
        <w:rPr>
          <w:rFonts w:ascii="Times New Roman" w:hAnsi="Times New Roman" w:cs="Times New Roman"/>
          <w:color w:val="0D0D0D" w:themeColor="text1" w:themeTint="F2"/>
          <w:sz w:val="24"/>
          <w:szCs w:val="24"/>
        </w:rPr>
        <w:t xml:space="preserve">. </w:t>
      </w:r>
      <w:bookmarkEnd w:id="43"/>
    </w:p>
    <w:p w14:paraId="745B14C1" w14:textId="1D4183E3" w:rsidR="001C1D3D" w:rsidRPr="003C6DBD" w:rsidRDefault="007A5136" w:rsidP="002C56B1">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The attractiveness of an industry as an investment option depends on the positive economic environment in which it operates. </w:t>
      </w:r>
      <w:r w:rsidR="001C1D3D" w:rsidRPr="003C6DBD">
        <w:rPr>
          <w:rFonts w:ascii="Times New Roman" w:hAnsi="Times New Roman" w:cs="Times New Roman"/>
          <w:color w:val="0D0D0D" w:themeColor="text1" w:themeTint="F2"/>
          <w:sz w:val="24"/>
          <w:szCs w:val="24"/>
        </w:rPr>
        <w:t xml:space="preserve">Intuitively, companies choose to operate in an economically favorable industry </w:t>
      </w:r>
      <w:r w:rsidR="001C1D3D" w:rsidRPr="003C6DBD">
        <w:rPr>
          <w:rFonts w:ascii="Times New Roman" w:hAnsi="Times New Roman" w:cs="Times New Roman"/>
          <w:color w:val="0D0D0D" w:themeColor="text1" w:themeTint="F2"/>
          <w:sz w:val="24"/>
          <w:szCs w:val="24"/>
        </w:rPr>
        <w:fldChar w:fldCharType="begin"/>
      </w:r>
      <w:r w:rsidR="001C1D3D" w:rsidRPr="003C6DBD">
        <w:rPr>
          <w:rFonts w:ascii="Times New Roman" w:hAnsi="Times New Roman" w:cs="Times New Roman"/>
          <w:color w:val="0D0D0D" w:themeColor="text1" w:themeTint="F2"/>
          <w:sz w:val="24"/>
          <w:szCs w:val="24"/>
        </w:rPr>
        <w:instrText xml:space="preserve"> ADDIN ZOTERO_ITEM CSL_CITATION {"citationID":"eJh4L4IB","properties":{"formattedCitation":"(Porter, 1980)","plainCitation":"(Porter, 1980)","noteIndex":0},"citationItems":[{"id":540,"uris":["http://zotero.org/users/8949154/items/U3IA7256"],"itemData":{"id":540,"type":"article-journal","container-title":"University Of Illinois At Urbana-Champaign's, Academy For Entrepreneurial Leadership Historical Research Reference In Entrepreneurship, Available","page":"917–948","source":"Google Scholar","title":"Competitive strategy: Techniques for analyzing industries and competitors","title-short":"Competitive strategy","author":[{"family":"Porter","given":"Michael E."}],"issued":{"date-parts":[["1980"]]}}}],"schema":"https://github.com/citation-style-language/schema/raw/master/csl-citation.json"} </w:instrText>
      </w:r>
      <w:r w:rsidR="001C1D3D" w:rsidRPr="003C6DBD">
        <w:rPr>
          <w:rFonts w:ascii="Times New Roman" w:hAnsi="Times New Roman" w:cs="Times New Roman"/>
          <w:color w:val="0D0D0D" w:themeColor="text1" w:themeTint="F2"/>
          <w:sz w:val="24"/>
          <w:szCs w:val="24"/>
        </w:rPr>
        <w:fldChar w:fldCharType="separate"/>
      </w:r>
      <w:r w:rsidR="001C1D3D" w:rsidRPr="003C6DBD">
        <w:rPr>
          <w:rFonts w:ascii="Times New Roman" w:hAnsi="Times New Roman" w:cs="Times New Roman"/>
          <w:color w:val="0D0D0D" w:themeColor="text1" w:themeTint="F2"/>
          <w:sz w:val="24"/>
          <w:szCs w:val="24"/>
        </w:rPr>
        <w:t>(Porter, 1980)</w:t>
      </w:r>
      <w:r w:rsidR="001C1D3D" w:rsidRPr="003C6DBD">
        <w:rPr>
          <w:rFonts w:ascii="Times New Roman" w:hAnsi="Times New Roman" w:cs="Times New Roman"/>
          <w:color w:val="0D0D0D" w:themeColor="text1" w:themeTint="F2"/>
          <w:sz w:val="24"/>
          <w:szCs w:val="24"/>
        </w:rPr>
        <w:fldChar w:fldCharType="end"/>
      </w:r>
      <w:r w:rsidR="001C1D3D" w:rsidRPr="003C6DBD">
        <w:rPr>
          <w:rFonts w:ascii="Times New Roman" w:hAnsi="Times New Roman" w:cs="Times New Roman"/>
          <w:color w:val="0D0D0D" w:themeColor="text1" w:themeTint="F2"/>
          <w:sz w:val="24"/>
          <w:szCs w:val="24"/>
        </w:rPr>
        <w:t xml:space="preserve">. The </w:t>
      </w:r>
      <w:r w:rsidR="00490051" w:rsidRPr="003C6DBD">
        <w:rPr>
          <w:rFonts w:ascii="Times New Roman" w:hAnsi="Times New Roman" w:cs="Times New Roman"/>
          <w:color w:val="0D0D0D" w:themeColor="text1" w:themeTint="F2"/>
          <w:sz w:val="24"/>
          <w:szCs w:val="24"/>
        </w:rPr>
        <w:t xml:space="preserve">analysis identified </w:t>
      </w:r>
      <w:r w:rsidR="001C1D3D" w:rsidRPr="003C6DBD">
        <w:rPr>
          <w:rFonts w:ascii="Times New Roman" w:hAnsi="Times New Roman" w:cs="Times New Roman"/>
          <w:color w:val="0D0D0D" w:themeColor="text1" w:themeTint="F2"/>
          <w:sz w:val="24"/>
          <w:szCs w:val="24"/>
        </w:rPr>
        <w:t xml:space="preserve">risks specific </w:t>
      </w:r>
      <w:r w:rsidR="00490051" w:rsidRPr="003C6DBD">
        <w:rPr>
          <w:rFonts w:ascii="Times New Roman" w:hAnsi="Times New Roman" w:cs="Times New Roman"/>
          <w:color w:val="0D0D0D" w:themeColor="text1" w:themeTint="F2"/>
          <w:sz w:val="24"/>
          <w:szCs w:val="24"/>
        </w:rPr>
        <w:t xml:space="preserve">to biofuels like </w:t>
      </w:r>
      <w:r w:rsidR="001C1D3D" w:rsidRPr="003C6DBD">
        <w:rPr>
          <w:rFonts w:ascii="Times New Roman" w:hAnsi="Times New Roman" w:cs="Times New Roman"/>
          <w:color w:val="0D0D0D" w:themeColor="text1" w:themeTint="F2"/>
          <w:sz w:val="24"/>
          <w:szCs w:val="24"/>
        </w:rPr>
        <w:t xml:space="preserve">markets for feedstocks, biofuels, energy, competing fuels, and general economic conditions. </w:t>
      </w:r>
      <w:r w:rsidR="00CB0EC6" w:rsidRPr="003C6DBD">
        <w:rPr>
          <w:rFonts w:ascii="Times New Roman" w:hAnsi="Times New Roman" w:cs="Times New Roman"/>
          <w:color w:val="0D0D0D" w:themeColor="text1" w:themeTint="F2"/>
          <w:sz w:val="24"/>
          <w:szCs w:val="24"/>
        </w:rPr>
        <w:t xml:space="preserve">General economic conditions </w:t>
      </w:r>
      <w:r w:rsidR="007A2629" w:rsidRPr="003C6DBD">
        <w:rPr>
          <w:rFonts w:ascii="Times New Roman" w:hAnsi="Times New Roman" w:cs="Times New Roman"/>
          <w:color w:val="0D0D0D" w:themeColor="text1" w:themeTint="F2"/>
          <w:sz w:val="24"/>
          <w:szCs w:val="24"/>
        </w:rPr>
        <w:t>were</w:t>
      </w:r>
      <w:r w:rsidR="00CB0EC6" w:rsidRPr="003C6DBD">
        <w:rPr>
          <w:rFonts w:ascii="Times New Roman" w:hAnsi="Times New Roman" w:cs="Times New Roman"/>
          <w:color w:val="0D0D0D" w:themeColor="text1" w:themeTint="F2"/>
          <w:sz w:val="24"/>
          <w:szCs w:val="24"/>
        </w:rPr>
        <w:t xml:space="preserve"> found to be prevalent and significant risk in all years and markets feedstock was found to be prevalent and significant risk in 2018, 2019. </w:t>
      </w:r>
      <w:r w:rsidR="00CB0EC6" w:rsidRPr="003C6DBD">
        <w:rPr>
          <w:rFonts w:ascii="Times New Roman" w:hAnsi="Times New Roman" w:cs="Times New Roman"/>
          <w:color w:val="0D0D0D" w:themeColor="text1" w:themeTint="F2"/>
          <w:sz w:val="24"/>
          <w:szCs w:val="24"/>
        </w:rPr>
        <w:fldChar w:fldCharType="begin"/>
      </w:r>
      <w:r w:rsidR="007A2629" w:rsidRPr="003C6DBD">
        <w:rPr>
          <w:rFonts w:ascii="Times New Roman" w:hAnsi="Times New Roman" w:cs="Times New Roman"/>
          <w:color w:val="0D0D0D" w:themeColor="text1" w:themeTint="F2"/>
          <w:sz w:val="24"/>
          <w:szCs w:val="24"/>
        </w:rPr>
        <w:instrText xml:space="preserve"> ADDIN ZOTERO_ITEM CSL_CITATION {"citationID":"s0J5zRmr","properties":{"custom":"Pries et al. (2016)","formattedCitation":"Pries et al. (2016)","plainCitation":"Pries et al. (2016)","noteIndex":0},"citationItems":[{"id":251,"uris":["http://zotero.org/users/8949154/items/P6NYLUEB"],"itemData":{"id":251,"type":"article-journal","container-title":"Energy Policy","note":"publisher: Elsevier","page":"93–101","source":"Google Scholar","title":"Risks affecting the biofuels industry: A US and Canadian company perspective","title-short":"Risks affecting the biofuels industry","volume":"97","author":[{"family":"Pries","given":"Fred"},{"family":"Talebi","given":"Alireza"},{"family":"Schillo","given":"R. Sandra"},{"family":"Lemay","given":"Margaret A."}],"issued":{"date-parts":[["2016"]]}}}],"schema":"https://github.com/citation-style-language/schema/raw/master/csl-citation.json"} </w:instrText>
      </w:r>
      <w:r w:rsidR="00CB0EC6" w:rsidRPr="003C6DBD">
        <w:rPr>
          <w:rFonts w:ascii="Times New Roman" w:hAnsi="Times New Roman" w:cs="Times New Roman"/>
          <w:color w:val="0D0D0D" w:themeColor="text1" w:themeTint="F2"/>
          <w:sz w:val="24"/>
          <w:szCs w:val="24"/>
        </w:rPr>
        <w:fldChar w:fldCharType="separate"/>
      </w:r>
      <w:r w:rsidR="007A2629" w:rsidRPr="003C6DBD">
        <w:rPr>
          <w:rFonts w:ascii="Times New Roman" w:hAnsi="Times New Roman" w:cs="Times New Roman"/>
          <w:color w:val="0D0D0D" w:themeColor="text1" w:themeTint="F2"/>
          <w:sz w:val="24"/>
        </w:rPr>
        <w:t>Pries et al. (2016)</w:t>
      </w:r>
      <w:r w:rsidR="00CB0EC6" w:rsidRPr="003C6DBD">
        <w:rPr>
          <w:rFonts w:ascii="Times New Roman" w:hAnsi="Times New Roman" w:cs="Times New Roman"/>
          <w:color w:val="0D0D0D" w:themeColor="text1" w:themeTint="F2"/>
          <w:sz w:val="24"/>
          <w:szCs w:val="24"/>
        </w:rPr>
        <w:fldChar w:fldCharType="end"/>
      </w:r>
      <w:r w:rsidR="007A2629" w:rsidRPr="003C6DBD">
        <w:rPr>
          <w:rFonts w:ascii="Times New Roman" w:hAnsi="Times New Roman" w:cs="Times New Roman"/>
          <w:color w:val="0D0D0D" w:themeColor="text1" w:themeTint="F2"/>
          <w:sz w:val="24"/>
          <w:szCs w:val="24"/>
        </w:rPr>
        <w:t xml:space="preserve"> also identified market feedstock as prevalent and significant risk. However, general economic conditions were not reported as prevalent and significant risk. </w:t>
      </w:r>
      <w:r w:rsidR="001C1D3D" w:rsidRPr="003C6DBD">
        <w:rPr>
          <w:rFonts w:ascii="Times New Roman" w:hAnsi="Times New Roman" w:cs="Times New Roman"/>
          <w:color w:val="0D0D0D" w:themeColor="text1" w:themeTint="F2"/>
          <w:sz w:val="24"/>
          <w:szCs w:val="24"/>
        </w:rPr>
        <w:t xml:space="preserve">The biofuel market is driven primarily by biofuel policies. For example, the RFS mandate requires a certain amount of renewable fuel to be mixed with fossil fuel before that can be sold in the fuel market. However, market price risk is still a problem even with several policies, mandates, tax exemptions, and tax credits favoring investors in the biofuel business </w:t>
      </w:r>
      <w:r w:rsidR="001C1D3D" w:rsidRPr="003C6DBD">
        <w:rPr>
          <w:rFonts w:ascii="Times New Roman" w:hAnsi="Times New Roman" w:cs="Times New Roman"/>
          <w:color w:val="0D0D0D" w:themeColor="text1" w:themeTint="F2"/>
          <w:sz w:val="24"/>
          <w:szCs w:val="24"/>
        </w:rPr>
        <w:fldChar w:fldCharType="begin"/>
      </w:r>
      <w:r w:rsidR="001C1D3D" w:rsidRPr="003C6DBD">
        <w:rPr>
          <w:rFonts w:ascii="Times New Roman" w:hAnsi="Times New Roman" w:cs="Times New Roman"/>
          <w:color w:val="0D0D0D" w:themeColor="text1" w:themeTint="F2"/>
          <w:sz w:val="24"/>
          <w:szCs w:val="24"/>
        </w:rPr>
        <w:instrText xml:space="preserve"> ADDIN ZOTERO_ITEM CSL_CITATION {"citationID":"tTTnaNJe","properties":{"formattedCitation":"(Ghoddusi, 2017)","plainCitation":"(Ghoddusi, 2017)","noteIndex":0},"citationItems":[{"id":529,"uris":["http://zotero.org/users/8949154/items/NLLDKV2A"],"itemData":{"id":529,"type":"article-journal","container-title":"Renewable Energy","note":"publisher: Elsevier","page":"394–407","source":"Google Scholar","title":"Price risks for biofuel producers in a deregulated market","volume":"114","author":[{"family":"Ghoddusi","given":"Hamed"}],"issued":{"date-parts":[["2017"]]}}}],"schema":"https://github.com/citation-style-language/schema/raw/master/csl-citation.json"} </w:instrText>
      </w:r>
      <w:r w:rsidR="001C1D3D" w:rsidRPr="003C6DBD">
        <w:rPr>
          <w:rFonts w:ascii="Times New Roman" w:hAnsi="Times New Roman" w:cs="Times New Roman"/>
          <w:color w:val="0D0D0D" w:themeColor="text1" w:themeTint="F2"/>
          <w:sz w:val="24"/>
          <w:szCs w:val="24"/>
        </w:rPr>
        <w:fldChar w:fldCharType="separate"/>
      </w:r>
      <w:r w:rsidR="001C1D3D" w:rsidRPr="003C6DBD">
        <w:rPr>
          <w:rFonts w:ascii="Times New Roman" w:hAnsi="Times New Roman" w:cs="Times New Roman"/>
          <w:color w:val="0D0D0D" w:themeColor="text1" w:themeTint="F2"/>
          <w:sz w:val="24"/>
          <w:szCs w:val="24"/>
        </w:rPr>
        <w:t>(Ghoddusi, 2017)</w:t>
      </w:r>
      <w:r w:rsidR="001C1D3D" w:rsidRPr="003C6DBD">
        <w:rPr>
          <w:rFonts w:ascii="Times New Roman" w:hAnsi="Times New Roman" w:cs="Times New Roman"/>
          <w:color w:val="0D0D0D" w:themeColor="text1" w:themeTint="F2"/>
          <w:sz w:val="24"/>
          <w:szCs w:val="24"/>
        </w:rPr>
        <w:fldChar w:fldCharType="end"/>
      </w:r>
      <w:r w:rsidR="001C1D3D" w:rsidRPr="003C6DBD">
        <w:rPr>
          <w:rFonts w:ascii="Times New Roman" w:hAnsi="Times New Roman" w:cs="Times New Roman"/>
          <w:color w:val="0D0D0D" w:themeColor="text1" w:themeTint="F2"/>
          <w:sz w:val="24"/>
          <w:szCs w:val="24"/>
        </w:rPr>
        <w:t xml:space="preserve">. </w:t>
      </w:r>
      <w:bookmarkStart w:id="44" w:name="_Hlk121583831"/>
      <w:r w:rsidR="001C1D3D" w:rsidRPr="003C6DBD">
        <w:rPr>
          <w:rFonts w:ascii="Times New Roman" w:hAnsi="Times New Roman" w:cs="Times New Roman"/>
          <w:color w:val="0D0D0D" w:themeColor="text1" w:themeTint="F2"/>
          <w:sz w:val="24"/>
          <w:szCs w:val="24"/>
        </w:rPr>
        <w:t xml:space="preserve">First-generation biofuels like ethanol from corn and sugarcane are matured </w:t>
      </w:r>
      <w:r w:rsidR="00490051" w:rsidRPr="003C6DBD">
        <w:rPr>
          <w:rFonts w:ascii="Times New Roman" w:hAnsi="Times New Roman" w:cs="Times New Roman"/>
          <w:color w:val="0D0D0D" w:themeColor="text1" w:themeTint="F2"/>
          <w:sz w:val="24"/>
          <w:szCs w:val="24"/>
        </w:rPr>
        <w:t xml:space="preserve">technologies </w:t>
      </w:r>
      <w:r w:rsidR="001C1D3D" w:rsidRPr="003C6DBD">
        <w:rPr>
          <w:rFonts w:ascii="Times New Roman" w:hAnsi="Times New Roman" w:cs="Times New Roman"/>
          <w:color w:val="0D0D0D" w:themeColor="text1" w:themeTint="F2"/>
          <w:sz w:val="24"/>
          <w:szCs w:val="24"/>
        </w:rPr>
        <w:t>and are competitive with gasoline prices. But, in case of the second and third</w:t>
      </w:r>
      <w:r w:rsidR="00E51956" w:rsidRPr="003C6DBD">
        <w:rPr>
          <w:rFonts w:ascii="Times New Roman" w:hAnsi="Times New Roman" w:cs="Times New Roman"/>
          <w:color w:val="0D0D0D" w:themeColor="text1" w:themeTint="F2"/>
          <w:sz w:val="24"/>
          <w:szCs w:val="24"/>
        </w:rPr>
        <w:t>-</w:t>
      </w:r>
      <w:r w:rsidR="001C1D3D" w:rsidRPr="003C6DBD">
        <w:rPr>
          <w:rFonts w:ascii="Times New Roman" w:hAnsi="Times New Roman" w:cs="Times New Roman"/>
          <w:color w:val="0D0D0D" w:themeColor="text1" w:themeTint="F2"/>
          <w:sz w:val="24"/>
          <w:szCs w:val="24"/>
        </w:rPr>
        <w:t xml:space="preserve">generation biofuels, </w:t>
      </w:r>
      <w:r w:rsidR="00E51956" w:rsidRPr="003C6DBD">
        <w:rPr>
          <w:rFonts w:ascii="Times New Roman" w:hAnsi="Times New Roman" w:cs="Times New Roman"/>
          <w:color w:val="0D0D0D" w:themeColor="text1" w:themeTint="F2"/>
          <w:sz w:val="24"/>
          <w:szCs w:val="24"/>
        </w:rPr>
        <w:t xml:space="preserve">the </w:t>
      </w:r>
      <w:r w:rsidR="001C1D3D" w:rsidRPr="003C6DBD">
        <w:rPr>
          <w:rFonts w:ascii="Times New Roman" w:hAnsi="Times New Roman" w:cs="Times New Roman"/>
          <w:color w:val="0D0D0D" w:themeColor="text1" w:themeTint="F2"/>
          <w:sz w:val="24"/>
          <w:szCs w:val="24"/>
        </w:rPr>
        <w:t xml:space="preserve">high cost of production is often cited as the primary issue for not attaining profitability </w:t>
      </w:r>
      <w:r w:rsidR="001C1D3D" w:rsidRPr="003C6DBD">
        <w:rPr>
          <w:rFonts w:ascii="Times New Roman" w:hAnsi="Times New Roman" w:cs="Times New Roman"/>
          <w:color w:val="0D0D0D" w:themeColor="text1" w:themeTint="F2"/>
          <w:sz w:val="24"/>
          <w:szCs w:val="24"/>
        </w:rPr>
        <w:fldChar w:fldCharType="begin"/>
      </w:r>
      <w:r w:rsidR="001C1D3D" w:rsidRPr="003C6DBD">
        <w:rPr>
          <w:rFonts w:ascii="Times New Roman" w:hAnsi="Times New Roman" w:cs="Times New Roman"/>
          <w:color w:val="0D0D0D" w:themeColor="text1" w:themeTint="F2"/>
          <w:sz w:val="24"/>
          <w:szCs w:val="24"/>
        </w:rPr>
        <w:instrText xml:space="preserve"> ADDIN ZOTERO_ITEM CSL_CITATION {"citationID":"Gn0y7LoD","properties":{"formattedCitation":"(Peng et al., 2020; \\uc0\\u381{}ivkovi\\uc0\\u263{} et al., 2017)","plainCitation":"(Peng et al., 2020; Živković et al., 2017)","noteIndex":0},"citationItems":[{"id":517,"uris":["http://zotero.org/users/8949154/items/BUWDUEQU"],"itemData":{"id":517,"type":"article-journal","container-title":"Environmental Chemistry Letters","issue":"2","note":"publisher: Springer","page":"285–297","source":"Google Scholar","title":"Biofuel production from microalgae: a review","title-short":"Biofuel production from microalgae","volume":"18","author":[{"family":"Peng","given":"Licheng"},{"family":"Fu","given":"Dongdong"},{"family":"Chu","given":"Huaqiang"},{"family":"Wang","given":"Zezheng"},{"family":"Qi","given":"Huaiyuan"}],"issued":{"date-parts":[["2020"]]}}},{"id":519,"uris":["http://zotero.org/users/8949154/items/QUM2NY5M"],"itemData":{"id":519,"type":"article-journal","container-title":"Renewable and Sustainable Energy Reviews","note":"publisher: Elsevier","page":"222–247","source":"Google Scholar","title":"Technological, technical, economic, environmental, social, human health risk, toxicological and policy considerations of biodiesel production and use","volume":"79","author":[{"family":"Živković","given":"Snežana B."},{"family":"Veljković","given":"Milan V."},{"family":"Banković-Ilić","given":"Ivana B."},{"family":"Krstić","given":"Ivan M."},{"family":"Konstantinović","given":"Sandra S."},{"family":"Ilić","given":"Slavica B."},{"family":"Avramović","given":"Jelena M."},{"family":"Stamenković","given":"Olivera S."},{"family":"Veljković","given":"Vlada B."}],"issued":{"date-parts":[["2017"]]}}}],"schema":"https://github.com/citation-style-language/schema/raw/master/csl-citation.json"} </w:instrText>
      </w:r>
      <w:r w:rsidR="001C1D3D" w:rsidRPr="003C6DBD">
        <w:rPr>
          <w:rFonts w:ascii="Times New Roman" w:hAnsi="Times New Roman" w:cs="Times New Roman"/>
          <w:color w:val="0D0D0D" w:themeColor="text1" w:themeTint="F2"/>
          <w:sz w:val="24"/>
          <w:szCs w:val="24"/>
        </w:rPr>
        <w:fldChar w:fldCharType="separate"/>
      </w:r>
      <w:r w:rsidR="001C1D3D" w:rsidRPr="003C6DBD">
        <w:rPr>
          <w:rFonts w:ascii="Times New Roman" w:hAnsi="Times New Roman" w:cs="Times New Roman"/>
          <w:color w:val="0D0D0D" w:themeColor="text1" w:themeTint="F2"/>
          <w:sz w:val="24"/>
          <w:szCs w:val="24"/>
        </w:rPr>
        <w:t>(Peng et al., 2020; Živković et al., 2017)</w:t>
      </w:r>
      <w:r w:rsidR="001C1D3D" w:rsidRPr="003C6DBD">
        <w:rPr>
          <w:rFonts w:ascii="Times New Roman" w:hAnsi="Times New Roman" w:cs="Times New Roman"/>
          <w:color w:val="0D0D0D" w:themeColor="text1" w:themeTint="F2"/>
          <w:sz w:val="24"/>
          <w:szCs w:val="24"/>
        </w:rPr>
        <w:fldChar w:fldCharType="end"/>
      </w:r>
      <w:r w:rsidR="001C1D3D" w:rsidRPr="003C6DBD">
        <w:rPr>
          <w:rFonts w:ascii="Times New Roman" w:hAnsi="Times New Roman" w:cs="Times New Roman"/>
          <w:color w:val="0D0D0D" w:themeColor="text1" w:themeTint="F2"/>
          <w:sz w:val="24"/>
          <w:szCs w:val="24"/>
        </w:rPr>
        <w:t xml:space="preserve">. </w:t>
      </w:r>
      <w:bookmarkEnd w:id="44"/>
      <w:r w:rsidR="001C1D3D" w:rsidRPr="003C6DBD">
        <w:rPr>
          <w:rFonts w:ascii="Times New Roman" w:hAnsi="Times New Roman" w:cs="Times New Roman"/>
          <w:color w:val="0D0D0D" w:themeColor="text1" w:themeTint="F2"/>
          <w:sz w:val="24"/>
          <w:szCs w:val="24"/>
        </w:rPr>
        <w:t xml:space="preserve">Even though several subsidy programs, biofuel mandates, tax credits, and incentives are provided to the biofuel industry, advanced biofuel has not been profitable for investors. The cost </w:t>
      </w:r>
      <w:r w:rsidR="00E51956" w:rsidRPr="003C6DBD">
        <w:rPr>
          <w:rFonts w:ascii="Times New Roman" w:hAnsi="Times New Roman" w:cs="Times New Roman"/>
          <w:color w:val="0D0D0D" w:themeColor="text1" w:themeTint="F2"/>
          <w:sz w:val="24"/>
          <w:szCs w:val="24"/>
        </w:rPr>
        <w:t xml:space="preserve">of </w:t>
      </w:r>
      <w:r w:rsidR="001C1D3D" w:rsidRPr="003C6DBD">
        <w:rPr>
          <w:rFonts w:ascii="Times New Roman" w:hAnsi="Times New Roman" w:cs="Times New Roman"/>
          <w:color w:val="0D0D0D" w:themeColor="text1" w:themeTint="F2"/>
          <w:sz w:val="24"/>
          <w:szCs w:val="24"/>
        </w:rPr>
        <w:t xml:space="preserve">current technology adopted for feedstock cultivation and conversion to biofuel is </w:t>
      </w:r>
      <w:r w:rsidR="002C56B1" w:rsidRPr="003C6DBD">
        <w:rPr>
          <w:rFonts w:ascii="Times New Roman" w:hAnsi="Times New Roman" w:cs="Times New Roman"/>
          <w:color w:val="0D0D0D" w:themeColor="text1" w:themeTint="F2"/>
          <w:sz w:val="24"/>
          <w:szCs w:val="24"/>
        </w:rPr>
        <w:t xml:space="preserve">also </w:t>
      </w:r>
      <w:r w:rsidR="001C1D3D" w:rsidRPr="003C6DBD">
        <w:rPr>
          <w:rFonts w:ascii="Times New Roman" w:hAnsi="Times New Roman" w:cs="Times New Roman"/>
          <w:color w:val="0D0D0D" w:themeColor="text1" w:themeTint="F2"/>
          <w:sz w:val="24"/>
          <w:szCs w:val="24"/>
        </w:rPr>
        <w:t xml:space="preserve">too high compared to fossil fuels, so biofuels fail to compete with fossil fuels in current market </w:t>
      </w:r>
      <w:r w:rsidR="001C1D3D" w:rsidRPr="003C6DBD">
        <w:rPr>
          <w:rFonts w:ascii="Times New Roman" w:hAnsi="Times New Roman" w:cs="Times New Roman"/>
          <w:color w:val="0D0D0D" w:themeColor="text1" w:themeTint="F2"/>
          <w:sz w:val="24"/>
          <w:szCs w:val="24"/>
        </w:rPr>
        <w:lastRenderedPageBreak/>
        <w:t>conditions. Previous studies have therefore suggested future efforts to be directed towards research and development of low-cost, non-food feedstocks, efficient conversion technologies, etc. to reduce the biofuel production cost</w:t>
      </w:r>
      <w:r w:rsidR="00490051" w:rsidRPr="003C6DBD">
        <w:rPr>
          <w:rFonts w:ascii="Times New Roman" w:hAnsi="Times New Roman" w:cs="Times New Roman"/>
          <w:color w:val="0D0D0D" w:themeColor="text1" w:themeTint="F2"/>
          <w:sz w:val="24"/>
          <w:szCs w:val="24"/>
        </w:rPr>
        <w:t xml:space="preserve"> </w:t>
      </w:r>
      <w:r w:rsidR="00490051" w:rsidRPr="003C6DBD">
        <w:rPr>
          <w:rFonts w:ascii="Times New Roman" w:hAnsi="Times New Roman" w:cs="Times New Roman"/>
          <w:color w:val="0D0D0D" w:themeColor="text1" w:themeTint="F2"/>
          <w:sz w:val="24"/>
          <w:szCs w:val="24"/>
        </w:rPr>
        <w:fldChar w:fldCharType="begin"/>
      </w:r>
      <w:r w:rsidR="008F0BD7" w:rsidRPr="003C6DBD">
        <w:rPr>
          <w:rFonts w:ascii="Times New Roman" w:hAnsi="Times New Roman" w:cs="Times New Roman"/>
          <w:color w:val="0D0D0D" w:themeColor="text1" w:themeTint="F2"/>
          <w:sz w:val="24"/>
          <w:szCs w:val="24"/>
        </w:rPr>
        <w:instrText xml:space="preserve"> ADDIN ZOTERO_ITEM CSL_CITATION {"citationID":"OR9lFmG1","properties":{"formattedCitation":"(Peng et al., 2020; \\uc0\\u381{}ivkovi\\uc0\\u263{} et al., 2017)","plainCitation":"(Peng et al., 2020; Živković et al., 2017)","noteIndex":0},"citationItems":[{"id":517,"uris":["http://zotero.org/users/8949154/items/BUWDUEQU"],"itemData":{"id":517,"type":"article-journal","container-title":"Environmental Chemistry Letters","issue":"2","note":"publisher: Springer","page":"285–297","source":"Google Scholar","title":"Biofuel production from microalgae: a review","title-short":"Biofuel production from microalgae","volume":"18","author":[{"family":"Peng","given":"Licheng"},{"family":"Fu","given":"Dongdong"},{"family":"Chu","given":"Huaqiang"},{"family":"Wang","given":"Zezheng"},{"family":"Qi","given":"Huaiyuan"}],"issued":{"date-parts":[["2020"]]}}},{"id":519,"uris":["http://zotero.org/users/8949154/items/QUM2NY5M"],"itemData":{"id":519,"type":"article-journal","container-title":"Renewable and Sustainable Energy Reviews","note":"publisher: Elsevier","page":"222–247","source":"Google Scholar","title":"Technological, technical, economic, environmental, social, human health risk, toxicological and policy considerations of biodiesel production and use","volume":"79","author":[{"family":"Živković","given":"Snežana B."},{"family":"Veljković","given":"Milan V."},{"family":"Banković-Ilić","given":"Ivana B."},{"family":"Krstić","given":"Ivan M."},{"family":"Konstantinović","given":"Sandra S."},{"family":"Ilić","given":"Slavica B."},{"family":"Avramović","given":"Jelena M."},{"family":"Stamenković","given":"Olivera S."},{"family":"Veljković","given":"Vlada B."}],"issued":{"date-parts":[["2017"]]}}}],"schema":"https://github.com/citation-style-language/schema/raw/master/csl-citation.json"} </w:instrText>
      </w:r>
      <w:r w:rsidR="00490051" w:rsidRPr="003C6DBD">
        <w:rPr>
          <w:rFonts w:ascii="Times New Roman" w:hAnsi="Times New Roman" w:cs="Times New Roman"/>
          <w:color w:val="0D0D0D" w:themeColor="text1" w:themeTint="F2"/>
          <w:sz w:val="24"/>
          <w:szCs w:val="24"/>
        </w:rPr>
        <w:fldChar w:fldCharType="separate"/>
      </w:r>
      <w:r w:rsidR="00490051" w:rsidRPr="003C6DBD">
        <w:rPr>
          <w:rFonts w:ascii="Times New Roman" w:hAnsi="Times New Roman" w:cs="Times New Roman"/>
          <w:color w:val="0D0D0D" w:themeColor="text1" w:themeTint="F2"/>
          <w:sz w:val="24"/>
          <w:szCs w:val="24"/>
        </w:rPr>
        <w:t>(Peng et al., 2020; Živković et al., 2017)</w:t>
      </w:r>
      <w:r w:rsidR="00490051" w:rsidRPr="003C6DBD">
        <w:rPr>
          <w:rFonts w:ascii="Times New Roman" w:hAnsi="Times New Roman" w:cs="Times New Roman"/>
          <w:color w:val="0D0D0D" w:themeColor="text1" w:themeTint="F2"/>
          <w:sz w:val="24"/>
          <w:szCs w:val="24"/>
        </w:rPr>
        <w:fldChar w:fldCharType="end"/>
      </w:r>
      <w:r w:rsidR="001C1D3D" w:rsidRPr="003C6DBD">
        <w:rPr>
          <w:rFonts w:ascii="Times New Roman" w:hAnsi="Times New Roman" w:cs="Times New Roman"/>
          <w:color w:val="0D0D0D" w:themeColor="text1" w:themeTint="F2"/>
          <w:sz w:val="24"/>
          <w:szCs w:val="24"/>
        </w:rPr>
        <w:t xml:space="preserve">. </w:t>
      </w:r>
    </w:p>
    <w:p w14:paraId="65381869" w14:textId="6C1F8841" w:rsidR="001C1D3D" w:rsidRPr="003C6DBD" w:rsidRDefault="001C1D3D" w:rsidP="001C1D3D">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Our study </w:t>
      </w:r>
      <w:r w:rsidR="000A0CE6" w:rsidRPr="003C6DBD">
        <w:rPr>
          <w:rFonts w:ascii="Times New Roman" w:hAnsi="Times New Roman" w:cs="Times New Roman"/>
          <w:color w:val="0D0D0D" w:themeColor="text1" w:themeTint="F2"/>
          <w:sz w:val="24"/>
          <w:szCs w:val="24"/>
        </w:rPr>
        <w:t>identified</w:t>
      </w:r>
      <w:r w:rsidRPr="003C6DBD">
        <w:rPr>
          <w:rFonts w:ascii="Times New Roman" w:hAnsi="Times New Roman" w:cs="Times New Roman"/>
          <w:color w:val="0D0D0D" w:themeColor="text1" w:themeTint="F2"/>
          <w:sz w:val="24"/>
          <w:szCs w:val="24"/>
        </w:rPr>
        <w:t xml:space="preserve"> technological risks as </w:t>
      </w:r>
      <w:r w:rsidR="000A0CE6" w:rsidRPr="003C6DBD">
        <w:rPr>
          <w:rFonts w:ascii="Times New Roman" w:hAnsi="Times New Roman" w:cs="Times New Roman"/>
          <w:color w:val="0D0D0D" w:themeColor="text1" w:themeTint="F2"/>
          <w:sz w:val="24"/>
          <w:szCs w:val="24"/>
        </w:rPr>
        <w:t xml:space="preserve">less </w:t>
      </w:r>
      <w:r w:rsidRPr="003C6DBD">
        <w:rPr>
          <w:rFonts w:ascii="Times New Roman" w:hAnsi="Times New Roman" w:cs="Times New Roman"/>
          <w:color w:val="0D0D0D" w:themeColor="text1" w:themeTint="F2"/>
          <w:sz w:val="24"/>
          <w:szCs w:val="24"/>
        </w:rPr>
        <w:t>important risks to the biofuel industry and rather emphasized support activities risks, political risks, and economic risks as important risks in the industry.</w:t>
      </w:r>
      <w:r w:rsidR="007A2629" w:rsidRPr="003C6DBD">
        <w:rPr>
          <w:rFonts w:ascii="Times New Roman" w:hAnsi="Times New Roman" w:cs="Times New Roman"/>
          <w:color w:val="0D0D0D" w:themeColor="text1" w:themeTint="F2"/>
          <w:sz w:val="24"/>
          <w:szCs w:val="24"/>
        </w:rPr>
        <w:t xml:space="preserve"> </w:t>
      </w:r>
      <w:r w:rsidR="007A2629" w:rsidRPr="003C6DBD">
        <w:rPr>
          <w:rFonts w:ascii="Times New Roman" w:hAnsi="Times New Roman" w:cs="Times New Roman"/>
          <w:color w:val="0D0D0D" w:themeColor="text1" w:themeTint="F2"/>
          <w:sz w:val="24"/>
          <w:szCs w:val="24"/>
        </w:rPr>
        <w:fldChar w:fldCharType="begin"/>
      </w:r>
      <w:r w:rsidR="00375D18" w:rsidRPr="003C6DBD">
        <w:rPr>
          <w:rFonts w:ascii="Times New Roman" w:hAnsi="Times New Roman" w:cs="Times New Roman"/>
          <w:color w:val="0D0D0D" w:themeColor="text1" w:themeTint="F2"/>
          <w:sz w:val="24"/>
          <w:szCs w:val="24"/>
        </w:rPr>
        <w:instrText xml:space="preserve"> ADDIN ZOTERO_ITEM CSL_CITATION {"citationID":"jyjm0LUj","properties":{"custom":"Pries et al. (2016)","formattedCitation":"Pries et al. (2016)","plainCitation":"Pries et al. (2016)","noteIndex":0},"citationItems":[{"id":251,"uris":["http://zotero.org/users/8949154/items/P6NYLUEB"],"itemData":{"id":251,"type":"article-journal","container-title":"Energy Policy","note":"publisher: Elsevier","page":"93–101","source":"Google Scholar","title":"Risks affecting the biofuels industry: A US and Canadian company perspective","title-short":"Risks affecting the biofuels industry","volume":"97","author":[{"family":"Pries","given":"Fred"},{"family":"Talebi","given":"Alireza"},{"family":"Schillo","given":"R. Sandra"},{"family":"Lemay","given":"Margaret A."}],"issued":{"date-parts":[["2016"]]}}}],"schema":"https://github.com/citation-style-language/schema/raw/master/csl-citation.json"} </w:instrText>
      </w:r>
      <w:r w:rsidR="007A2629" w:rsidRPr="003C6DBD">
        <w:rPr>
          <w:rFonts w:ascii="Times New Roman" w:hAnsi="Times New Roman" w:cs="Times New Roman"/>
          <w:color w:val="0D0D0D" w:themeColor="text1" w:themeTint="F2"/>
          <w:sz w:val="24"/>
          <w:szCs w:val="24"/>
        </w:rPr>
        <w:fldChar w:fldCharType="separate"/>
      </w:r>
      <w:r w:rsidR="007A2629" w:rsidRPr="003C6DBD">
        <w:rPr>
          <w:rFonts w:ascii="Times New Roman" w:hAnsi="Times New Roman" w:cs="Times New Roman"/>
          <w:color w:val="0D0D0D" w:themeColor="text1" w:themeTint="F2"/>
          <w:sz w:val="24"/>
        </w:rPr>
        <w:t>Pries et al. (2016)</w:t>
      </w:r>
      <w:r w:rsidR="007A2629" w:rsidRPr="003C6DBD">
        <w:rPr>
          <w:rFonts w:ascii="Times New Roman" w:hAnsi="Times New Roman" w:cs="Times New Roman"/>
          <w:color w:val="0D0D0D" w:themeColor="text1" w:themeTint="F2"/>
          <w:sz w:val="24"/>
          <w:szCs w:val="24"/>
        </w:rPr>
        <w:fldChar w:fldCharType="end"/>
      </w:r>
      <w:r w:rsidR="007A2629" w:rsidRPr="003C6DBD">
        <w:rPr>
          <w:rFonts w:ascii="Times New Roman" w:hAnsi="Times New Roman" w:cs="Times New Roman"/>
          <w:color w:val="0D0D0D" w:themeColor="text1" w:themeTint="F2"/>
          <w:sz w:val="24"/>
          <w:szCs w:val="24"/>
        </w:rPr>
        <w:t xml:space="preserve"> also found technological risks as less important risks because the study did not report any risk that was both prevalent and significant.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{"citationID":"7kBKXdwN","properties":{"custom":"Hargadon (2011)","formattedCitation":"Hargadon (2011)","plainCitation":"Hargadon (2011)","noteIndex":0},"citationItems":[{"id":523,"uris":["http://zotero.org/users/8949154/items/UFFRJFDJ"],"itemData":{"id":523,"type":"book","publisher":"Pew Center on Global Climate Change","source":"Google Scholar","title":"The business of innovating: Bringing low-carbon solutions to market","title-short":"The business of innovating","author":[{"family":"Hargadon","given":"Andrew"}],"issued":{"date-parts":[["2011"]]}}}],"schema":"https://github.com/citation-style-language/schema/raw/master/csl-citation.json"}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Hargadon (2011)</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observed similar results in a survey of 35 companies related to low-carbon innovation where risks in order of importance were policy uncertainty, market uncertainty, business feasibility, and technical uncertainty. The relative higher importance of political risks over technological risks could be attributed to subsidies, biofuel policies, and tax incentives provided by the government that reduces the cost of biofuel significantly and thus reduces the investment risk in biofuel venture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{"citationID":"kBx65Iab","properties":{"formattedCitation":"(Sharma et al., 2020; Su et al., 2015)","plainCitation":"(Sharma et al., 2020; Su et al., 2015)","noteIndex":0},"citationItems":[{"id":521,"uris":["http://zotero.org/users/8949154/items/IATTGYF8"],"itemData":{"id":521,"type":"article-journal","container-title":"Energy Policy","note":"publisher: Elsevier","page":"111737","source":"Google Scholar","title":"Impact of government subsidies on a cellulosic biofuel sector with diverse risk preferences toward feedstock uncertainty","volume":"146","author":[{"family":"Sharma","given":"Bijay P."},{"family":"Yu","given":"T. Edward"},{"family":"English","given":"Burton C."},{"family":"Boyer","given":"Christopher N."},{"family":"Larson","given":"James A."}],"issued":{"date-parts":[["2020"]]}}},{"id":522,"uris":["http://zotero.org/users/8949154/items/9YFLNLMZ"],"itemData":{"id":522,"type":"article-journal","container-title":"Renewable and Sustainable Energy Reviews","note":"publisher: Elsevier","page":"991–1003","source":"Google Scholar","title":"An overview of biofuels policies and industrialization in the major biofuel producing countries","volume":"50","author":[{"family":"Su","given":"Yujie"},{"family":"Zhang","given":"Peidong"},{"family":"Su","given":"Yuqing"}],"issued":{"date-parts":[["2015"]]}}}],"schema":"https://github.com/citation-style-language/schema/raw/master/csl-citation.json"}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(Sharma et al., 2020; Su et al., 2015)</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w:t>
      </w:r>
    </w:p>
    <w:p w14:paraId="3B16FF18" w14:textId="43B8991C" w:rsidR="00A361F2" w:rsidRPr="003C6DBD" w:rsidRDefault="00A361F2" w:rsidP="00A361F2">
      <w:pPr>
        <w:spacing w:line="480" w:lineRule="auto"/>
        <w:ind w:firstLine="720"/>
        <w:rPr>
          <w:rFonts w:ascii="Times New Roman" w:hAnsi="Times New Roman" w:cs="Times New Roman"/>
          <w:color w:val="0D0D0D" w:themeColor="text1" w:themeTint="F2"/>
          <w:sz w:val="24"/>
          <w:szCs w:val="24"/>
        </w:rPr>
      </w:pPr>
      <w:bookmarkStart w:id="45" w:name="_Hlk121584002"/>
      <w:r w:rsidRPr="003C6DBD">
        <w:rPr>
          <w:rFonts w:ascii="Times New Roman" w:hAnsi="Times New Roman" w:cs="Times New Roman"/>
          <w:color w:val="0D0D0D" w:themeColor="text1" w:themeTint="F2"/>
          <w:sz w:val="24"/>
          <w:szCs w:val="24"/>
        </w:rPr>
        <w:t xml:space="preserve">The results of the study suggested social risks like public perception, and public opposition towards biofuel was relatively less important. </w:t>
      </w:r>
      <w:r w:rsidRPr="003C6DBD">
        <w:rPr>
          <w:rFonts w:ascii="Times New Roman" w:hAnsi="Times New Roman" w:cs="Times New Roman"/>
          <w:color w:val="0D0D0D" w:themeColor="text1" w:themeTint="F2"/>
          <w:sz w:val="24"/>
          <w:szCs w:val="24"/>
        </w:rPr>
        <w:fldChar w:fldCharType="begin"/>
      </w:r>
      <w:r w:rsidR="00375D18" w:rsidRPr="003C6DBD">
        <w:rPr>
          <w:rFonts w:ascii="Times New Roman" w:hAnsi="Times New Roman" w:cs="Times New Roman"/>
          <w:color w:val="0D0D0D" w:themeColor="text1" w:themeTint="F2"/>
          <w:sz w:val="24"/>
          <w:szCs w:val="24"/>
        </w:rPr>
        <w:instrText xml:space="preserve"> ADDIN ZOTERO_ITEM CSL_CITATION {"citationID":"LH2Yv2BI","properties":{"custom":"Pries et al. (2016)","formattedCitation":"Pries et al. (2016)","plainCitation":"Pries et al. (2016)","noteIndex":0},"citationItems":[{"id":251,"uris":["http://zotero.org/users/8949154/items/P6NYLUEB"],"itemData":{"id":251,"type":"article-journal","container-title":"Energy Policy","note":"publisher: Elsevier","page":"93–101","source":"Google Scholar","title":"Risks affecting the biofuels industry: A US and Canadian company perspective","title-short":"Risks affecting the biofuels industry","volume":"97","author":[{"family":"Pries","given":"Fred"},{"family":"Talebi","given":"Alireza"},{"family":"Schillo","given":"R. Sandra"},{"family":"Lemay","given":"Margaret A."}],"issued":{"date-parts":[["2016"]]}}}],"schema":"https://github.com/citation-style-language/schema/raw/master/csl-citation.json"}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rPr>
        <w:t>Pries et al. (2016)</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also revealed that social risks are relatively less important. The food vs. fuel debate was considered the least important driver in the scale-up process of the US cellulosic biofuel industry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{"citationID":"zWCfUqX4","properties":{"formattedCitation":"(Chen &amp; Smith, 2017)","plainCitation":"(Chen &amp; Smith, 2017)","noteIndex":0},"citationItems":[{"id":552,"uris":["http://zotero.org/users/8949154/items/34QKKQE3"],"itemData":{"id":552,"type":"article-journal","container-title":"Biomass and Bioenergy","note":"publisher: Elsevier","page":"52–61","source":"Google Scholar","title":"The US cellulosic biofuels industry: Expert views on commercialization drivers and barriers","title-short":"The US cellulosic biofuels industry","volume":"102","author":[{"family":"Chen","given":"Min"},{"family":"Smith","given":"Paul M."}],"issued":{"date-parts":[["2017"]]}}}],"schema":"https://github.com/citation-style-language/schema/raw/master/csl-citation.json"}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(Chen &amp; Smith, 2017)</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w:t>
      </w:r>
      <w:bookmarkEnd w:id="45"/>
      <w:r w:rsidRPr="003C6DBD">
        <w:rPr>
          <w:rFonts w:ascii="Times New Roman" w:hAnsi="Times New Roman" w:cs="Times New Roman"/>
          <w:color w:val="0D0D0D" w:themeColor="text1" w:themeTint="F2"/>
          <w:sz w:val="24"/>
          <w:szCs w:val="24"/>
        </w:rPr>
        <w:t xml:space="preserve">However, extreme land and income concentration, bulk unemployment, food insecurity, rural poverty, and mass migration are major social threats posed by the change in land-use patterns from food purposes to fuel purposes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{"citationID":"dy7ddFE4","properties":{"formattedCitation":"(Altieri &amp; Bravo, 2007)","plainCitation":"(Altieri &amp; Bravo, 2007)","noteIndex":0},"citationItems":[{"id":471,"uris":["http://zotero.org/users/8949154/items/I6TBJB6Z"],"itemData":{"id":471,"type":"article-journal","container-title":"Food First/Institute for Food &amp; Development Policy","source":"Google Scholar","title":"The ecological and social tragedy of crop-based biofuel production in the Americas","volume":"6","author":[{"family":"Altieri","given":"Miguel"},{"family":"Bravo","given":"Elizabeth"}],"issued":{"date-parts":[["2007"]]}}}],"schema":"https://github.com/citation-style-language/schema/raw/master/csl-citation.json"}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(Altieri &amp; Bravo, 2007)</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The social impact of biofuel products and consumption in developed countries is relatively low because of the social policies designed to mitigate social issues. On the other hand, developing countries have established large-scale, export-oriented production systems which could yield positive social </w:t>
      </w:r>
      <w:r w:rsidRPr="003C6DBD">
        <w:rPr>
          <w:rFonts w:ascii="Times New Roman" w:hAnsi="Times New Roman" w:cs="Times New Roman"/>
          <w:color w:val="0D0D0D" w:themeColor="text1" w:themeTint="F2"/>
          <w:sz w:val="24"/>
          <w:szCs w:val="24"/>
        </w:rPr>
        <w:lastRenderedPageBreak/>
        <w:t xml:space="preserve">impacts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{"citationID":"zaWGjWi8","properties":{"formattedCitation":"(Van der Horst &amp; Vermeylen, 2011)","plainCitation":"(Van der Horst &amp; Vermeylen, 2011)","noteIndex":0},"citationItems":[{"id":525,"uris":["http://zotero.org/users/8949154/items/JZDHAWI3"],"itemData":{"id":525,"type":"article-journal","container-title":"Biomass and bioenergy","issue":"6","note":"publisher: Elsevier","page":"2435–2443","source":"Google Scholar","title":"Spatial scale and social impacts of biofuel production","volume":"35","author":[{"family":"Van der Horst","given":"Dan"},{"family":"Vermeylen","given":"Saskia"}],"issued":{"date-parts":[["2011"]]}}}],"schema":"https://github.com/citation-style-language/schema/raw/master/csl-citation.json"}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(Van der Horst &amp; Vermeylen, 2011)</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It is thus reasonable that social risks were not reported as important risks because most of the companies in the study sample are operating in developed countries rather than developing countries.</w:t>
      </w:r>
    </w:p>
    <w:p w14:paraId="340D6E5B" w14:textId="5123172F" w:rsidR="001C1D3D" w:rsidRPr="003C6DBD" w:rsidRDefault="00A361F2" w:rsidP="001C1D3D">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The biofuel industry is still immature and has several managerial challenges ahead. </w:t>
      </w:r>
      <w:r w:rsidR="001C1D3D" w:rsidRPr="003C6DBD">
        <w:rPr>
          <w:rFonts w:ascii="Times New Roman" w:hAnsi="Times New Roman" w:cs="Times New Roman"/>
          <w:color w:val="0D0D0D" w:themeColor="text1" w:themeTint="F2"/>
          <w:sz w:val="24"/>
          <w:szCs w:val="24"/>
        </w:rPr>
        <w:t xml:space="preserve">The lack of capable managers to lead the biofuel industry by setting up the appropriate organizational structure, risk management, contracting and agreements, mergers and acquisitions, financing, etc. is potentially impeding the growth of the industry </w:t>
      </w:r>
      <w:r w:rsidR="001C1D3D" w:rsidRPr="003C6DBD">
        <w:rPr>
          <w:rFonts w:ascii="Times New Roman" w:hAnsi="Times New Roman" w:cs="Times New Roman"/>
          <w:color w:val="0D0D0D" w:themeColor="text1" w:themeTint="F2"/>
          <w:sz w:val="24"/>
          <w:szCs w:val="24"/>
        </w:rPr>
        <w:fldChar w:fldCharType="begin"/>
      </w:r>
      <w:r w:rsidR="001C1D3D" w:rsidRPr="003C6DBD">
        <w:rPr>
          <w:rFonts w:ascii="Times New Roman" w:hAnsi="Times New Roman" w:cs="Times New Roman"/>
          <w:color w:val="0D0D0D" w:themeColor="text1" w:themeTint="F2"/>
          <w:sz w:val="24"/>
          <w:szCs w:val="24"/>
        </w:rPr>
        <w:instrText xml:space="preserve"> ADDIN ZOTERO_ITEM CSL_CITATION {"citationID":"sryVmk7Q","properties":{"formattedCitation":"(Pries et al., 2016)","plainCitation":"(Pries et al., 2016)","noteIndex":0},"citationItems":[{"id":251,"uris":["http://zotero.org/users/8949154/items/P6NYLUEB"],"itemData":{"id":251,"type":"article-journal","container-title":"Energy Policy","note":"publisher: Elsevier","page":"93–101","source":"Google Scholar","title":"Risks affecting the biofuels industry: A US and Canadian company perspective","title-short":"Risks affecting the biofuels industry","volume":"97","author":[{"family":"Pries","given":"Fred"},{"family":"Talebi","given":"Alireza"},{"family":"Schillo","given":"R. Sandra"},{"family":"Lemay","given":"Margaret A."}],"issued":{"date-parts":[["2016"]]}}}],"schema":"https://github.com/citation-style-language/schema/raw/master/csl-citation.json"} </w:instrText>
      </w:r>
      <w:r w:rsidR="001C1D3D" w:rsidRPr="003C6DBD">
        <w:rPr>
          <w:rFonts w:ascii="Times New Roman" w:hAnsi="Times New Roman" w:cs="Times New Roman"/>
          <w:color w:val="0D0D0D" w:themeColor="text1" w:themeTint="F2"/>
          <w:sz w:val="24"/>
          <w:szCs w:val="24"/>
        </w:rPr>
        <w:fldChar w:fldCharType="separate"/>
      </w:r>
      <w:r w:rsidR="001C1D3D" w:rsidRPr="003C6DBD">
        <w:rPr>
          <w:rFonts w:ascii="Times New Roman" w:hAnsi="Times New Roman" w:cs="Times New Roman"/>
          <w:color w:val="0D0D0D" w:themeColor="text1" w:themeTint="F2"/>
          <w:sz w:val="24"/>
          <w:szCs w:val="24"/>
        </w:rPr>
        <w:t>(Pries et al., 2016)</w:t>
      </w:r>
      <w:r w:rsidR="001C1D3D" w:rsidRPr="003C6DBD">
        <w:rPr>
          <w:rFonts w:ascii="Times New Roman" w:hAnsi="Times New Roman" w:cs="Times New Roman"/>
          <w:color w:val="0D0D0D" w:themeColor="text1" w:themeTint="F2"/>
          <w:sz w:val="24"/>
          <w:szCs w:val="24"/>
        </w:rPr>
        <w:fldChar w:fldCharType="end"/>
      </w:r>
      <w:r w:rsidR="001C1D3D" w:rsidRPr="003C6DBD">
        <w:rPr>
          <w:rFonts w:ascii="Times New Roman" w:hAnsi="Times New Roman" w:cs="Times New Roman"/>
          <w:color w:val="0D0D0D" w:themeColor="text1" w:themeTint="F2"/>
          <w:sz w:val="24"/>
          <w:szCs w:val="24"/>
        </w:rPr>
        <w:t xml:space="preserve">. </w:t>
      </w:r>
      <w:r w:rsidR="0001253C" w:rsidRPr="003C6DBD">
        <w:rPr>
          <w:rFonts w:ascii="Times New Roman" w:hAnsi="Times New Roman" w:cs="Times New Roman"/>
          <w:color w:val="0D0D0D" w:themeColor="text1" w:themeTint="F2"/>
          <w:sz w:val="24"/>
          <w:szCs w:val="24"/>
        </w:rPr>
        <w:t>The findings from the</w:t>
      </w:r>
      <w:r w:rsidR="001C1D3D" w:rsidRPr="003C6DBD">
        <w:rPr>
          <w:rFonts w:ascii="Times New Roman" w:hAnsi="Times New Roman" w:cs="Times New Roman"/>
          <w:color w:val="0D0D0D" w:themeColor="text1" w:themeTint="F2"/>
          <w:sz w:val="24"/>
          <w:szCs w:val="24"/>
        </w:rPr>
        <w:t xml:space="preserve"> study </w:t>
      </w:r>
      <w:r w:rsidR="0001253C" w:rsidRPr="003C6DBD">
        <w:rPr>
          <w:rFonts w:ascii="Times New Roman" w:hAnsi="Times New Roman" w:cs="Times New Roman"/>
          <w:color w:val="0D0D0D" w:themeColor="text1" w:themeTint="F2"/>
          <w:sz w:val="24"/>
          <w:szCs w:val="24"/>
        </w:rPr>
        <w:t>suggests</w:t>
      </w:r>
      <w:r w:rsidR="002C56B1" w:rsidRPr="003C6DBD">
        <w:rPr>
          <w:rFonts w:ascii="Times New Roman" w:hAnsi="Times New Roman" w:cs="Times New Roman"/>
          <w:color w:val="0D0D0D" w:themeColor="text1" w:themeTint="F2"/>
          <w:sz w:val="24"/>
          <w:szCs w:val="24"/>
        </w:rPr>
        <w:t xml:space="preserve"> </w:t>
      </w:r>
      <w:r w:rsidR="001C1D3D" w:rsidRPr="003C6DBD">
        <w:rPr>
          <w:rFonts w:ascii="Times New Roman" w:hAnsi="Times New Roman" w:cs="Times New Roman"/>
          <w:color w:val="0D0D0D" w:themeColor="text1" w:themeTint="F2"/>
          <w:sz w:val="24"/>
          <w:szCs w:val="24"/>
        </w:rPr>
        <w:t xml:space="preserve">risk management, contracting, and financing </w:t>
      </w:r>
      <w:r w:rsidR="0001253C" w:rsidRPr="003C6DBD">
        <w:rPr>
          <w:rFonts w:ascii="Times New Roman" w:hAnsi="Times New Roman" w:cs="Times New Roman"/>
          <w:color w:val="0D0D0D" w:themeColor="text1" w:themeTint="F2"/>
          <w:sz w:val="24"/>
          <w:szCs w:val="24"/>
        </w:rPr>
        <w:t>as</w:t>
      </w:r>
      <w:r w:rsidR="001C1D3D" w:rsidRPr="003C6DBD">
        <w:rPr>
          <w:rFonts w:ascii="Times New Roman" w:hAnsi="Times New Roman" w:cs="Times New Roman"/>
          <w:color w:val="0D0D0D" w:themeColor="text1" w:themeTint="F2"/>
          <w:sz w:val="24"/>
          <w:szCs w:val="24"/>
        </w:rPr>
        <w:t xml:space="preserve"> important risks for the sample companies both in terms of prevalence and significance. </w:t>
      </w:r>
      <w:r w:rsidR="0001253C" w:rsidRPr="003C6DBD">
        <w:rPr>
          <w:rFonts w:ascii="Times New Roman" w:hAnsi="Times New Roman" w:cs="Times New Roman"/>
          <w:color w:val="0D0D0D" w:themeColor="text1" w:themeTint="F2"/>
          <w:sz w:val="24"/>
          <w:szCs w:val="24"/>
        </w:rPr>
        <w:fldChar w:fldCharType="begin"/>
      </w:r>
      <w:r w:rsidR="00375D18" w:rsidRPr="003C6DBD">
        <w:rPr>
          <w:rFonts w:ascii="Times New Roman" w:hAnsi="Times New Roman" w:cs="Times New Roman"/>
          <w:color w:val="0D0D0D" w:themeColor="text1" w:themeTint="F2"/>
          <w:sz w:val="24"/>
          <w:szCs w:val="24"/>
        </w:rPr>
        <w:instrText xml:space="preserve"> ADDIN ZOTERO_ITEM CSL_CITATION {"citationID":"9X2nFcJO","properties":{"custom":"Pries et al. (2016)","formattedCitation":"Pries et al. (2016)","plainCitation":"Pries et al. (2016)","noteIndex":0},"citationItems":[{"id":251,"uris":["http://zotero.org/users/8949154/items/P6NYLUEB"],"itemData":{"id":251,"type":"article-journal","container-title":"Energy Policy","note":"publisher: Elsevier","page":"93–101","source":"Google Scholar","title":"Risks affecting the biofuels industry: A US and Canadian company perspective","title-short":"Risks affecting the biofuels industry","volume":"97","author":[{"family":"Pries","given":"Fred"},{"family":"Talebi","given":"Alireza"},{"family":"Schillo","given":"R. Sandra"},{"family":"Lemay","given":"Margaret A."}],"issued":{"date-parts":[["2016"]]}}}],"schema":"https://github.com/citation-style-language/schema/raw/master/csl-citation.json"} </w:instrText>
      </w:r>
      <w:r w:rsidR="0001253C" w:rsidRPr="003C6DBD">
        <w:rPr>
          <w:rFonts w:ascii="Times New Roman" w:hAnsi="Times New Roman" w:cs="Times New Roman"/>
          <w:color w:val="0D0D0D" w:themeColor="text1" w:themeTint="F2"/>
          <w:sz w:val="24"/>
          <w:szCs w:val="24"/>
        </w:rPr>
        <w:fldChar w:fldCharType="separate"/>
      </w:r>
      <w:r w:rsidR="0001253C" w:rsidRPr="003C6DBD">
        <w:rPr>
          <w:rFonts w:ascii="Times New Roman" w:hAnsi="Times New Roman" w:cs="Times New Roman"/>
          <w:color w:val="0D0D0D" w:themeColor="text1" w:themeTint="F2"/>
          <w:sz w:val="24"/>
        </w:rPr>
        <w:t>Pries et al. (2016)</w:t>
      </w:r>
      <w:r w:rsidR="0001253C" w:rsidRPr="003C6DBD">
        <w:rPr>
          <w:rFonts w:ascii="Times New Roman" w:hAnsi="Times New Roman" w:cs="Times New Roman"/>
          <w:color w:val="0D0D0D" w:themeColor="text1" w:themeTint="F2"/>
          <w:sz w:val="24"/>
          <w:szCs w:val="24"/>
        </w:rPr>
        <w:fldChar w:fldCharType="end"/>
      </w:r>
      <w:r w:rsidR="0001253C" w:rsidRPr="003C6DBD">
        <w:rPr>
          <w:rFonts w:ascii="Times New Roman" w:hAnsi="Times New Roman" w:cs="Times New Roman"/>
          <w:color w:val="0D0D0D" w:themeColor="text1" w:themeTint="F2"/>
          <w:sz w:val="24"/>
          <w:szCs w:val="24"/>
        </w:rPr>
        <w:t xml:space="preserve"> reported general management as prevalent and significant risk in addition to risk management, contracting, and financing. </w:t>
      </w:r>
      <w:r w:rsidR="001C1D3D" w:rsidRPr="003C6DBD">
        <w:rPr>
          <w:rFonts w:ascii="Times New Roman" w:hAnsi="Times New Roman" w:cs="Times New Roman"/>
          <w:color w:val="0D0D0D" w:themeColor="text1" w:themeTint="F2"/>
          <w:sz w:val="24"/>
          <w:szCs w:val="24"/>
        </w:rPr>
        <w:fldChar w:fldCharType="begin"/>
      </w:r>
      <w:r w:rsidR="001C1D3D" w:rsidRPr="003C6DBD">
        <w:rPr>
          <w:rFonts w:ascii="Times New Roman" w:hAnsi="Times New Roman" w:cs="Times New Roman"/>
          <w:color w:val="0D0D0D" w:themeColor="text1" w:themeTint="F2"/>
          <w:sz w:val="24"/>
          <w:szCs w:val="24"/>
        </w:rPr>
        <w:instrText xml:space="preserve"> ADDIN ZOTERO_ITEM CSL_CITATION {"citationID":"umkPckwJ","properties":{"custom":"Miller et al. (2013)","formattedCitation":"Miller et al. (2013)","plainCitation":"Miller et al. (2013)","noteIndex":0},"citationItems":[{"id":7,"uris":["http://zotero.org/users/8949154/items/VHMNS63T"],"itemData":{"id":7,"type":"article-journal","container-title":"The International Council on Clean Transportation: Washington, DC","source":"Google Scholar","title":"Measuring and addressing investment risk in the second-generation biofuels industry","author":[{"family":"Miller","given":"Nathan"},{"family":"Christensen","given":"Adam"},{"family":"Park","given":"Ji Eun"},{"family":"Baral","given":"A."},{"family":"Malins","given":"C."},{"family":"Searle","given":"S."}],"issued":{"date-parts":[["2013"]]}}}],"schema":"https://github.com/citation-style-language/schema/raw/master/csl-citation.json"} </w:instrText>
      </w:r>
      <w:r w:rsidR="001C1D3D" w:rsidRPr="003C6DBD">
        <w:rPr>
          <w:rFonts w:ascii="Times New Roman" w:hAnsi="Times New Roman" w:cs="Times New Roman"/>
          <w:color w:val="0D0D0D" w:themeColor="text1" w:themeTint="F2"/>
          <w:sz w:val="24"/>
          <w:szCs w:val="24"/>
        </w:rPr>
        <w:fldChar w:fldCharType="separate"/>
      </w:r>
      <w:r w:rsidR="001C1D3D" w:rsidRPr="003C6DBD">
        <w:rPr>
          <w:rFonts w:ascii="Times New Roman" w:hAnsi="Times New Roman" w:cs="Times New Roman"/>
          <w:color w:val="0D0D0D" w:themeColor="text1" w:themeTint="F2"/>
          <w:sz w:val="24"/>
          <w:szCs w:val="24"/>
        </w:rPr>
        <w:t>Miller et al. (2013)</w:t>
      </w:r>
      <w:r w:rsidR="001C1D3D" w:rsidRPr="003C6DBD">
        <w:rPr>
          <w:rFonts w:ascii="Times New Roman" w:hAnsi="Times New Roman" w:cs="Times New Roman"/>
          <w:color w:val="0D0D0D" w:themeColor="text1" w:themeTint="F2"/>
          <w:sz w:val="24"/>
          <w:szCs w:val="24"/>
        </w:rPr>
        <w:fldChar w:fldCharType="end"/>
      </w:r>
      <w:r w:rsidR="001C1D3D" w:rsidRPr="003C6DBD">
        <w:rPr>
          <w:rFonts w:ascii="Times New Roman" w:hAnsi="Times New Roman" w:cs="Times New Roman"/>
          <w:color w:val="0D0D0D" w:themeColor="text1" w:themeTint="F2"/>
          <w:sz w:val="24"/>
          <w:szCs w:val="24"/>
        </w:rPr>
        <w:t xml:space="preserve"> </w:t>
      </w:r>
      <w:r w:rsidR="0001253C" w:rsidRPr="003C6DBD">
        <w:rPr>
          <w:rFonts w:ascii="Times New Roman" w:hAnsi="Times New Roman" w:cs="Times New Roman"/>
          <w:color w:val="0D0D0D" w:themeColor="text1" w:themeTint="F2"/>
          <w:sz w:val="24"/>
          <w:szCs w:val="24"/>
        </w:rPr>
        <w:t xml:space="preserve">also </w:t>
      </w:r>
      <w:r w:rsidR="001C1D3D" w:rsidRPr="003C6DBD">
        <w:rPr>
          <w:rFonts w:ascii="Times New Roman" w:hAnsi="Times New Roman" w:cs="Times New Roman"/>
          <w:color w:val="0D0D0D" w:themeColor="text1" w:themeTint="F2"/>
          <w:sz w:val="24"/>
          <w:szCs w:val="24"/>
        </w:rPr>
        <w:t xml:space="preserve">believe the success of second-generation biofuel companies depends significantly on external financing since these are relatively in an immature stage. </w:t>
      </w:r>
      <w:r w:rsidR="002C56B1" w:rsidRPr="003C6DBD">
        <w:rPr>
          <w:rFonts w:ascii="Times New Roman" w:hAnsi="Times New Roman" w:cs="Times New Roman"/>
          <w:color w:val="0D0D0D" w:themeColor="text1" w:themeTint="F2"/>
          <w:sz w:val="24"/>
          <w:szCs w:val="24"/>
        </w:rPr>
        <w:t>H</w:t>
      </w:r>
      <w:r w:rsidR="001C1D3D" w:rsidRPr="003C6DBD">
        <w:rPr>
          <w:rFonts w:ascii="Times New Roman" w:hAnsi="Times New Roman" w:cs="Times New Roman"/>
          <w:color w:val="0D0D0D" w:themeColor="text1" w:themeTint="F2"/>
          <w:sz w:val="24"/>
          <w:szCs w:val="24"/>
        </w:rPr>
        <w:t xml:space="preserve">ighly profitable </w:t>
      </w:r>
      <w:r w:rsidR="00E51956" w:rsidRPr="003C6DBD">
        <w:rPr>
          <w:rFonts w:ascii="Times New Roman" w:hAnsi="Times New Roman" w:cs="Times New Roman"/>
          <w:color w:val="0D0D0D" w:themeColor="text1" w:themeTint="F2"/>
          <w:sz w:val="24"/>
          <w:szCs w:val="24"/>
        </w:rPr>
        <w:t xml:space="preserve">firms that </w:t>
      </w:r>
      <w:r w:rsidR="001C1D3D" w:rsidRPr="003C6DBD">
        <w:rPr>
          <w:rFonts w:ascii="Times New Roman" w:hAnsi="Times New Roman" w:cs="Times New Roman"/>
          <w:color w:val="0D0D0D" w:themeColor="text1" w:themeTint="F2"/>
          <w:sz w:val="24"/>
          <w:szCs w:val="24"/>
        </w:rPr>
        <w:t xml:space="preserve">have internally generated funds do not rely much on external financing </w:t>
      </w:r>
      <w:r w:rsidR="001C1D3D" w:rsidRPr="003C6DBD">
        <w:rPr>
          <w:rFonts w:ascii="Times New Roman" w:hAnsi="Times New Roman" w:cs="Times New Roman"/>
          <w:color w:val="0D0D0D" w:themeColor="text1" w:themeTint="F2"/>
          <w:sz w:val="24"/>
          <w:szCs w:val="24"/>
        </w:rPr>
        <w:fldChar w:fldCharType="begin"/>
      </w:r>
      <w:r w:rsidR="001C1D3D" w:rsidRPr="003C6DBD">
        <w:rPr>
          <w:rFonts w:ascii="Times New Roman" w:hAnsi="Times New Roman" w:cs="Times New Roman"/>
          <w:color w:val="0D0D0D" w:themeColor="text1" w:themeTint="F2"/>
          <w:sz w:val="24"/>
          <w:szCs w:val="24"/>
        </w:rPr>
        <w:instrText xml:space="preserve"> ADDIN ZOTERO_ITEM CSL_CITATION {"citationID":"yQhD4LSK","properties":{"formattedCitation":"(Demirg\\uc0\\u252{}\\uc0\\u231{}-Kunt &amp; Maksimovic, 1998)","plainCitation":"(Demirgüç-Kunt &amp; Maksimovic, 1998)","noteIndex":0},"citationItems":[{"id":531,"uris":["http://zotero.org/users/8949154/items/CTFPVGX7"],"itemData":{"id":531,"type":"article-journal","container-title":"The journal of finance","issue":"6","note":"publisher: Wiley Online Library","page":"2107–2137","source":"Google Scholar","title":"Law, finance, and firm growth","volume":"53","author":[{"family":"Demirgüç-Kunt","given":"Asli"},{"family":"Maksimovic","given":"Vojislav"}],"issued":{"date-parts":[["1998"]]}}}],"schema":"https://github.com/citation-style-language/schema/raw/master/csl-citation.json"} </w:instrText>
      </w:r>
      <w:r w:rsidR="001C1D3D" w:rsidRPr="003C6DBD">
        <w:rPr>
          <w:rFonts w:ascii="Times New Roman" w:hAnsi="Times New Roman" w:cs="Times New Roman"/>
          <w:color w:val="0D0D0D" w:themeColor="text1" w:themeTint="F2"/>
          <w:sz w:val="24"/>
          <w:szCs w:val="24"/>
        </w:rPr>
        <w:fldChar w:fldCharType="separate"/>
      </w:r>
      <w:r w:rsidR="001C1D3D" w:rsidRPr="003C6DBD">
        <w:rPr>
          <w:rFonts w:ascii="Times New Roman" w:hAnsi="Times New Roman" w:cs="Times New Roman"/>
          <w:color w:val="0D0D0D" w:themeColor="text1" w:themeTint="F2"/>
          <w:sz w:val="24"/>
          <w:szCs w:val="24"/>
        </w:rPr>
        <w:t>(Demirgüç-Kunt &amp; Maksimovic, 1998)</w:t>
      </w:r>
      <w:r w:rsidR="001C1D3D" w:rsidRPr="003C6DBD">
        <w:rPr>
          <w:rFonts w:ascii="Times New Roman" w:hAnsi="Times New Roman" w:cs="Times New Roman"/>
          <w:color w:val="0D0D0D" w:themeColor="text1" w:themeTint="F2"/>
          <w:sz w:val="24"/>
          <w:szCs w:val="24"/>
        </w:rPr>
        <w:fldChar w:fldCharType="end"/>
      </w:r>
      <w:r w:rsidR="001C1D3D" w:rsidRPr="003C6DBD">
        <w:rPr>
          <w:rFonts w:ascii="Times New Roman" w:hAnsi="Times New Roman" w:cs="Times New Roman"/>
          <w:color w:val="0D0D0D" w:themeColor="text1" w:themeTint="F2"/>
          <w:sz w:val="24"/>
          <w:szCs w:val="24"/>
        </w:rPr>
        <w:t xml:space="preserve"> </w:t>
      </w:r>
      <w:r w:rsidR="002C56B1" w:rsidRPr="003C6DBD">
        <w:rPr>
          <w:rFonts w:ascii="Times New Roman" w:hAnsi="Times New Roman" w:cs="Times New Roman"/>
          <w:color w:val="0D0D0D" w:themeColor="text1" w:themeTint="F2"/>
          <w:sz w:val="24"/>
          <w:szCs w:val="24"/>
        </w:rPr>
        <w:t>but</w:t>
      </w:r>
      <w:r w:rsidR="001C1D3D" w:rsidRPr="003C6DBD">
        <w:rPr>
          <w:rFonts w:ascii="Times New Roman" w:hAnsi="Times New Roman" w:cs="Times New Roman"/>
          <w:color w:val="0D0D0D" w:themeColor="text1" w:themeTint="F2"/>
          <w:sz w:val="24"/>
          <w:szCs w:val="24"/>
        </w:rPr>
        <w:t xml:space="preserve"> immature and unprofitable firms like biofuel firms probably need external financing for growth and development. </w:t>
      </w:r>
    </w:p>
    <w:p w14:paraId="493E9798" w14:textId="6AA6C929" w:rsidR="00CE4493" w:rsidRPr="003C6DBD" w:rsidRDefault="001C1D3D" w:rsidP="009D289D">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The inability of biofuel firms to obtain feedstocks in proper quantity and quality is one of the challenges for a profitable biofuel business.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{"citationID":"gLlD8U2d","properties":{"custom":"Bijman et al. (2009)","formattedCitation":"Bijman et al. (2009)","plainCitation":"Bijman et al. (2009)","noteIndex":0},"citationItems":[{"id":533,"uris":["http://zotero.org/users/8949154/items/NIREKWS2"],"itemData":{"id":533,"type":"paper-conference","container-title":"VII international PENSA conference, Sao Paulo, Brazil","source":"Google Scholar","title":"Contractual arrangements for smallholders in biofuel chains: A case study of jatropha in Mozambique","title-short":"Contractual arrangements for smallholders in biofuel chains","author":[{"family":"Bijman","given":"Jos"},{"family":"Slingerland","given":"Maja"},{"family":"Baren","given":"Sander","non-dropping-particle":"van"}],"issued":{"date-parts":[["2009"]]}}}],"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Bijman et al. (2009)</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w:t>
      </w:r>
      <w:r w:rsidR="000A0CE6" w:rsidRPr="003C6DBD">
        <w:rPr>
          <w:rFonts w:ascii="Times New Roman" w:hAnsi="Times New Roman" w:cs="Times New Roman"/>
          <w:color w:val="0D0D0D" w:themeColor="text1" w:themeTint="F2"/>
          <w:sz w:val="24"/>
          <w:szCs w:val="24"/>
        </w:rPr>
        <w:t xml:space="preserve">identified contract farming as an option for reducing transaction costs and transaction risks for the supply chain of jatropha, an emerging biofuel crop, in Mozambique's biofuel industry. </w:t>
      </w:r>
      <w:r w:rsidRPr="003C6DBD">
        <w:rPr>
          <w:rFonts w:ascii="Times New Roman" w:hAnsi="Times New Roman" w:cs="Times New Roman"/>
          <w:color w:val="0D0D0D" w:themeColor="text1" w:themeTint="F2"/>
          <w:sz w:val="24"/>
          <w:szCs w:val="24"/>
        </w:rPr>
        <w:t>A similar assertion</w:t>
      </w:r>
      <w:r w:rsidR="00E4388B" w:rsidRPr="003C6DBD">
        <w:rPr>
          <w:rFonts w:ascii="Times New Roman" w:hAnsi="Times New Roman" w:cs="Times New Roman"/>
          <w:color w:val="0D0D0D" w:themeColor="text1" w:themeTint="F2"/>
          <w:sz w:val="24"/>
          <w:szCs w:val="24"/>
        </w:rPr>
        <w:t>,</w:t>
      </w:r>
      <w:r w:rsidRPr="003C6DBD">
        <w:rPr>
          <w:rFonts w:ascii="Times New Roman" w:hAnsi="Times New Roman" w:cs="Times New Roman"/>
          <w:color w:val="0D0D0D" w:themeColor="text1" w:themeTint="F2"/>
          <w:sz w:val="24"/>
          <w:szCs w:val="24"/>
        </w:rPr>
        <w:t xml:space="preserve"> by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{"citationID":"nx8snqPy","properties":{"custom":"Yang et al. (2016)","formattedCitation":"Yang et al. (2016)","plainCitation":"Yang et al. (2016)","noteIndex":0},"citationItems":[{"id":535,"uris":["http://zotero.org/users/8949154/items/4CXPW5D4"],"itemData":{"id":535,"type":"article-journal","container-title":"Applied Economic Perspectives and Policy","issue":"4","note":"publisher: Wiley Online Library","page":"632–654","source":"Google Scholar","title":"Optimal mix of vertical integration and contracting for energy crops: Effect of risk preferences and land quality","title-short":"Optimal mix of vertical integration and contracting for energy crops","volume":"38","author":[{"family":"Yang","given":"Xi"},{"family":"Paulson","given":"Nicholas D."},{"family":"Khanna","given":"Madhu"}],"issued":{"date-parts":[["2016"]]}}}],"schema":"https://github.com/citation-style-language/schema/raw/master/csl-citation.json"}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Yang et al. (2016)</w:t>
      </w:r>
      <w:r w:rsidRPr="003C6DBD">
        <w:rPr>
          <w:rFonts w:ascii="Times New Roman" w:hAnsi="Times New Roman" w:cs="Times New Roman"/>
          <w:color w:val="0D0D0D" w:themeColor="text1" w:themeTint="F2"/>
          <w:sz w:val="24"/>
          <w:szCs w:val="24"/>
        </w:rPr>
        <w:fldChar w:fldCharType="end"/>
      </w:r>
      <w:r w:rsidR="00E4388B" w:rsidRPr="003C6DBD">
        <w:rPr>
          <w:rFonts w:ascii="Times New Roman" w:hAnsi="Times New Roman" w:cs="Times New Roman"/>
          <w:color w:val="0D0D0D" w:themeColor="text1" w:themeTint="F2"/>
          <w:sz w:val="24"/>
          <w:szCs w:val="24"/>
        </w:rPr>
        <w:t>, is</w:t>
      </w:r>
      <w:r w:rsidRPr="003C6DBD">
        <w:rPr>
          <w:rFonts w:ascii="Times New Roman" w:hAnsi="Times New Roman" w:cs="Times New Roman"/>
          <w:color w:val="0D0D0D" w:themeColor="text1" w:themeTint="F2"/>
          <w:sz w:val="24"/>
          <w:szCs w:val="24"/>
        </w:rPr>
        <w:t xml:space="preserve"> that long-term contracts with farmers are critical to establishing perennial energy crops as feedstocks for the cellulosic biofuel industry.</w:t>
      </w:r>
      <w:r w:rsidRPr="003C6DBD">
        <w:rPr>
          <w:rFonts w:ascii="Times New Roman" w:hAnsi="Times New Roman" w:cs="Times New Roman"/>
          <w:color w:val="0D0D0D" w:themeColor="text1" w:themeTint="F2"/>
          <w:sz w:val="24"/>
          <w:szCs w:val="24"/>
          <w:shd w:val="clear" w:color="auto" w:fill="FFFFFF"/>
        </w:rPr>
        <w:t xml:space="preserve"> Vertical integration and contract with the independent farmer is a risk mitigation strategy resulting from risk-sharing in production and marketing, technological progress and innovation dissemination, consumer demand for a quality </w:t>
      </w:r>
      <w:r w:rsidRPr="003C6DBD">
        <w:rPr>
          <w:rFonts w:ascii="Times New Roman" w:hAnsi="Times New Roman" w:cs="Times New Roman"/>
          <w:color w:val="0D0D0D" w:themeColor="text1" w:themeTint="F2"/>
          <w:sz w:val="24"/>
          <w:szCs w:val="24"/>
          <w:shd w:val="clear" w:color="auto" w:fill="FFFFFF"/>
        </w:rPr>
        <w:lastRenderedPageBreak/>
        <w:t xml:space="preserve">product, and access to capital </w:t>
      </w:r>
      <w:r w:rsidRPr="003C6DBD">
        <w:rPr>
          <w:rFonts w:ascii="Times New Roman" w:hAnsi="Times New Roman" w:cs="Times New Roman"/>
          <w:color w:val="0D0D0D" w:themeColor="text1" w:themeTint="F2"/>
          <w:sz w:val="24"/>
          <w:szCs w:val="24"/>
          <w:shd w:val="clear" w:color="auto" w:fill="FFFFFF"/>
        </w:rPr>
        <w:fldChar w:fldCharType="begin"/>
      </w:r>
      <w:r w:rsidRPr="003C6DBD">
        <w:rPr>
          <w:rFonts w:ascii="Times New Roman" w:hAnsi="Times New Roman" w:cs="Times New Roman"/>
          <w:color w:val="0D0D0D" w:themeColor="text1" w:themeTint="F2"/>
          <w:sz w:val="24"/>
          <w:szCs w:val="24"/>
          <w:shd w:val="clear" w:color="auto" w:fill="FFFFFF"/>
        </w:rPr>
        <w:instrText xml:space="preserve"> ADDIN ZOTERO_ITEM CSL_CITATION {"citationID":"3A7DUXQF","properties":{"formattedCitation":"(Vukina, 2001)","plainCitation":"(Vukina, 2001)","noteIndex":0},"citationItems":[{"id":537,"uris":["http://zotero.org/users/8949154/items/6IJMZ567"],"itemData":{"id":537,"type":"article-journal","container-title":"Journal of Food Distribution Research","issue":"856-2016-56380","page":"29–38","source":"Google Scholar","title":"Vertical integration and contracting in the US poultry sector","volume":"32","author":[{"family":"Vukina","given":"Tomislav"}],"issued":{"date-parts":[["2001"]]}}}],"schema":"https://github.com/citation-style-language/schema/raw/master/csl-citation.json"} </w:instrText>
      </w:r>
      <w:r w:rsidRPr="003C6DBD">
        <w:rPr>
          <w:rFonts w:ascii="Times New Roman" w:hAnsi="Times New Roman" w:cs="Times New Roman"/>
          <w:color w:val="0D0D0D" w:themeColor="text1" w:themeTint="F2"/>
          <w:sz w:val="24"/>
          <w:szCs w:val="24"/>
          <w:shd w:val="clear" w:color="auto" w:fill="FFFFFF"/>
        </w:rPr>
        <w:fldChar w:fldCharType="separate"/>
      </w:r>
      <w:r w:rsidRPr="003C6DBD">
        <w:rPr>
          <w:rFonts w:ascii="Times New Roman" w:hAnsi="Times New Roman" w:cs="Times New Roman"/>
          <w:color w:val="0D0D0D" w:themeColor="text1" w:themeTint="F2"/>
          <w:sz w:val="24"/>
          <w:szCs w:val="24"/>
        </w:rPr>
        <w:t>(Vukina, 2001)</w:t>
      </w:r>
      <w:r w:rsidRPr="003C6DBD">
        <w:rPr>
          <w:rFonts w:ascii="Times New Roman" w:hAnsi="Times New Roman" w:cs="Times New Roman"/>
          <w:color w:val="0D0D0D" w:themeColor="text1" w:themeTint="F2"/>
          <w:sz w:val="24"/>
          <w:szCs w:val="24"/>
          <w:shd w:val="clear" w:color="auto" w:fill="FFFFFF"/>
        </w:rPr>
        <w:fldChar w:fldCharType="end"/>
      </w:r>
      <w:r w:rsidRPr="003C6DBD">
        <w:rPr>
          <w:rFonts w:ascii="Times New Roman" w:hAnsi="Times New Roman" w:cs="Times New Roman"/>
          <w:color w:val="0D0D0D" w:themeColor="text1" w:themeTint="F2"/>
          <w:sz w:val="24"/>
          <w:szCs w:val="24"/>
          <w:shd w:val="clear" w:color="auto" w:fill="FFFFFF"/>
        </w:rPr>
        <w:t>.</w:t>
      </w:r>
      <w:r w:rsidRPr="003C6DBD">
        <w:rPr>
          <w:rFonts w:ascii="Times New Roman" w:hAnsi="Times New Roman" w:cs="Times New Roman"/>
          <w:color w:val="0D0D0D" w:themeColor="text1" w:themeTint="F2"/>
          <w:sz w:val="24"/>
          <w:szCs w:val="24"/>
        </w:rPr>
        <w:t xml:space="preserve"> Although major efforts are aimed at achieving profitable business conditions, the biofuel industry should parallelly study the social concerns and try to solve those issues.</w:t>
      </w:r>
    </w:p>
    <w:p w14:paraId="645335A1" w14:textId="28A7F766" w:rsidR="009D7111" w:rsidRPr="003C6DBD" w:rsidRDefault="00CE4493" w:rsidP="006D74CB">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The categorization of biofuel companies into PB and SB has provided valuable insights into the different types of risks that these companies face. PB companies are those with a higher percentage of biofuel revenues, while SB companies have a lower percentage of biofuel revenues. The </w:t>
      </w:r>
      <w:r w:rsidR="002635CF" w:rsidRPr="003C6DBD">
        <w:rPr>
          <w:rFonts w:ascii="Times New Roman" w:hAnsi="Times New Roman" w:cs="Times New Roman"/>
          <w:color w:val="0D0D0D" w:themeColor="text1" w:themeTint="F2"/>
          <w:sz w:val="24"/>
          <w:szCs w:val="24"/>
        </w:rPr>
        <w:t xml:space="preserve">analysis </w:t>
      </w:r>
      <w:r w:rsidRPr="003C6DBD">
        <w:rPr>
          <w:rFonts w:ascii="Times New Roman" w:hAnsi="Times New Roman" w:cs="Times New Roman"/>
          <w:color w:val="0D0D0D" w:themeColor="text1" w:themeTint="F2"/>
          <w:sz w:val="24"/>
          <w:szCs w:val="24"/>
        </w:rPr>
        <w:t>has revealed that PB companies are more susceptible to risks directly related to biofuels. These risks include factors such as biofuel regulation, markets for biofuels, and conversion technologies. Because PB companies rely heavily on biofuels for revenue, any changes in these factors can significantly affect their operations and profitability. On the other hand, SB companies are more vulnerable to general risks that affect businesses across industries. These risks include factors such as general regulation, economic conditions, and cybersecurity. While these risks may also affect PB companies, SB companies may be more susceptible to them because they have a smaller portion of their revenue coming from biofuels</w:t>
      </w:r>
      <w:r w:rsidR="006D74CB" w:rsidRPr="003C6DBD">
        <w:rPr>
          <w:rFonts w:ascii="Times New Roman" w:hAnsi="Times New Roman" w:cs="Times New Roman"/>
          <w:color w:val="0D0D0D" w:themeColor="text1" w:themeTint="F2"/>
          <w:sz w:val="24"/>
          <w:szCs w:val="24"/>
        </w:rPr>
        <w:t>.</w:t>
      </w:r>
      <w:r w:rsidR="00EB575A" w:rsidRPr="003C6DBD">
        <w:rPr>
          <w:rFonts w:ascii="Times New Roman" w:hAnsi="Times New Roman" w:cs="Times New Roman"/>
          <w:color w:val="0D0D0D" w:themeColor="text1" w:themeTint="F2"/>
          <w:sz w:val="24"/>
          <w:szCs w:val="24"/>
        </w:rPr>
        <w:t xml:space="preserve"> Overall, these findings suggest that the level of vulnerability to risks differs between PB and SB companies, with PB companies being more severely affected by risks directly related to biofuels. This categorization can help companies and investors better understand the risks associated with different types of biofuel companies and make more informed decisions about investments and operations.</w:t>
      </w:r>
    </w:p>
    <w:p w14:paraId="66D7F91E" w14:textId="60BDB271" w:rsidR="001C1D3D" w:rsidRPr="003C6DBD" w:rsidRDefault="00920CFD" w:rsidP="00920CFD">
      <w:pPr>
        <w:pStyle w:val="Heading3"/>
        <w:spacing w:line="480" w:lineRule="auto"/>
        <w:rPr>
          <w:rFonts w:cs="Times New Roman"/>
          <w:color w:val="0D0D0D" w:themeColor="text1" w:themeTint="F2"/>
          <w:szCs w:val="24"/>
        </w:rPr>
      </w:pPr>
      <w:bookmarkStart w:id="46" w:name="_Toc132761851"/>
      <w:r w:rsidRPr="003C6DBD">
        <w:rPr>
          <w:rFonts w:cs="Times New Roman"/>
          <w:color w:val="0D0D0D" w:themeColor="text1" w:themeTint="F2"/>
          <w:szCs w:val="24"/>
        </w:rPr>
        <w:t xml:space="preserve">6.2 Discussion </w:t>
      </w:r>
      <w:r w:rsidR="00B03F1F" w:rsidRPr="003C6DBD">
        <w:rPr>
          <w:rFonts w:cs="Times New Roman"/>
          <w:color w:val="0D0D0D" w:themeColor="text1" w:themeTint="F2"/>
          <w:szCs w:val="24"/>
        </w:rPr>
        <w:t>for Financial Analysis</w:t>
      </w:r>
      <w:bookmarkEnd w:id="46"/>
    </w:p>
    <w:p w14:paraId="079B4F8E" w14:textId="33C86613" w:rsidR="00144D8B" w:rsidRPr="003C6DBD" w:rsidRDefault="00A02E1E" w:rsidP="000A0CE6">
      <w:pPr>
        <w:pStyle w:val="BodyTextIndent"/>
        <w:ind w:firstLine="720"/>
        <w:rPr>
          <w:color w:val="0D0D0D" w:themeColor="text1" w:themeTint="F2"/>
        </w:rPr>
      </w:pPr>
      <w:r w:rsidRPr="003C6DBD">
        <w:rPr>
          <w:color w:val="0D0D0D" w:themeColor="text1" w:themeTint="F2"/>
        </w:rPr>
        <w:t xml:space="preserve">The financial analysis of the biofuel companies revealed that the median profitability estimates, ROA and ROE, of the </w:t>
      </w:r>
      <w:r w:rsidR="00976B5E" w:rsidRPr="003C6DBD">
        <w:rPr>
          <w:color w:val="0D0D0D" w:themeColor="text1" w:themeTint="F2"/>
        </w:rPr>
        <w:t>sample</w:t>
      </w:r>
      <w:r w:rsidR="000433AB" w:rsidRPr="003C6DBD">
        <w:rPr>
          <w:color w:val="0D0D0D" w:themeColor="text1" w:themeTint="F2"/>
        </w:rPr>
        <w:t xml:space="preserve"> of</w:t>
      </w:r>
      <w:r w:rsidR="00976B5E" w:rsidRPr="003C6DBD">
        <w:rPr>
          <w:color w:val="0D0D0D" w:themeColor="text1" w:themeTint="F2"/>
        </w:rPr>
        <w:t xml:space="preserve"> </w:t>
      </w:r>
      <w:r w:rsidRPr="003C6DBD">
        <w:rPr>
          <w:color w:val="0D0D0D" w:themeColor="text1" w:themeTint="F2"/>
        </w:rPr>
        <w:t xml:space="preserve">biofuel companies </w:t>
      </w:r>
      <w:r w:rsidR="00976B5E" w:rsidRPr="003C6DBD">
        <w:rPr>
          <w:color w:val="0D0D0D" w:themeColor="text1" w:themeTint="F2"/>
        </w:rPr>
        <w:t xml:space="preserve">used in our study </w:t>
      </w:r>
      <w:r w:rsidRPr="003C6DBD">
        <w:rPr>
          <w:color w:val="0D0D0D" w:themeColor="text1" w:themeTint="F2"/>
        </w:rPr>
        <w:t xml:space="preserve">are higher compared to </w:t>
      </w:r>
      <w:r w:rsidR="000433AB" w:rsidRPr="003C6DBD">
        <w:rPr>
          <w:color w:val="0D0D0D" w:themeColor="text1" w:themeTint="F2"/>
        </w:rPr>
        <w:t xml:space="preserve">the profitability of </w:t>
      </w:r>
      <w:r w:rsidRPr="003C6DBD">
        <w:rPr>
          <w:color w:val="0D0D0D" w:themeColor="text1" w:themeTint="F2"/>
        </w:rPr>
        <w:t xml:space="preserve">publicly traded agribusinesses and all firms </w:t>
      </w:r>
      <w:r w:rsidRPr="003C6DBD">
        <w:rPr>
          <w:color w:val="0D0D0D" w:themeColor="text1" w:themeTint="F2"/>
        </w:rPr>
        <w:fldChar w:fldCharType="begin"/>
      </w:r>
      <w:r w:rsidRPr="003C6DBD">
        <w:rPr>
          <w:color w:val="0D0D0D" w:themeColor="text1" w:themeTint="F2"/>
        </w:rPr>
        <w:instrText xml:space="preserve"> ADDIN ZOTERO_ITEM CSL_CITATION {"citationID":"0Cz9EE58","properties":{"formattedCitation":"(Katchova &amp; Enlow, 2013)","plainCitation":"(Katchova &amp; Enlow, 2013)","noteIndex":0},"citationItems":[{"id":219,"uris":["http://zotero.org/users/8949154/items/SUB5H9EB"],"itemData":{"id":219,"type":"article-journal","container-title":"Agricultural Finance Review","note":"publisher: Emerald Group Publishing Limited","source":"Google Scholar","title":"Financial performance of publicly-traded agribusinesses","author":[{"family":"Katchova","given":"Ani L."},{"family":"Enlow","given":"Sierra J."}],"issued":{"date-parts":[["2013"]]}}}],"schema":"https://github.com/citation-style-language/schema/raw/master/csl-citation.json"} </w:instrText>
      </w:r>
      <w:r w:rsidRPr="003C6DBD">
        <w:rPr>
          <w:color w:val="0D0D0D" w:themeColor="text1" w:themeTint="F2"/>
        </w:rPr>
        <w:fldChar w:fldCharType="separate"/>
      </w:r>
      <w:r w:rsidRPr="003C6DBD">
        <w:rPr>
          <w:color w:val="0D0D0D" w:themeColor="text1" w:themeTint="F2"/>
        </w:rPr>
        <w:t xml:space="preserve">(Katchova &amp; Enlow, </w:t>
      </w:r>
      <w:r w:rsidRPr="003C6DBD">
        <w:rPr>
          <w:color w:val="0D0D0D" w:themeColor="text1" w:themeTint="F2"/>
        </w:rPr>
        <w:lastRenderedPageBreak/>
        <w:t>2013)</w:t>
      </w:r>
      <w:r w:rsidRPr="003C6DBD">
        <w:rPr>
          <w:color w:val="0D0D0D" w:themeColor="text1" w:themeTint="F2"/>
        </w:rPr>
        <w:fldChar w:fldCharType="end"/>
      </w:r>
      <w:r w:rsidRPr="003C6DBD">
        <w:rPr>
          <w:color w:val="0D0D0D" w:themeColor="text1" w:themeTint="F2"/>
        </w:rPr>
        <w:t xml:space="preserve">. However, </w:t>
      </w:r>
      <w:r w:rsidR="00C41564" w:rsidRPr="003C6DBD">
        <w:rPr>
          <w:color w:val="0D0D0D" w:themeColor="text1" w:themeTint="F2"/>
        </w:rPr>
        <w:t xml:space="preserve">a caveat of this comparison is that </w:t>
      </w:r>
      <w:r w:rsidRPr="003C6DBD">
        <w:rPr>
          <w:color w:val="0D0D0D" w:themeColor="text1" w:themeTint="F2"/>
        </w:rPr>
        <w:t xml:space="preserve">the estimates of profitability of biofuel companies </w:t>
      </w:r>
      <w:r w:rsidR="00976B5E" w:rsidRPr="003C6DBD">
        <w:rPr>
          <w:color w:val="0D0D0D" w:themeColor="text1" w:themeTint="F2"/>
        </w:rPr>
        <w:t xml:space="preserve">used in our study </w:t>
      </w:r>
      <w:r w:rsidRPr="003C6DBD">
        <w:rPr>
          <w:color w:val="0D0D0D" w:themeColor="text1" w:themeTint="F2"/>
        </w:rPr>
        <w:t>are from 201</w:t>
      </w:r>
      <w:r w:rsidR="00976B5E" w:rsidRPr="003C6DBD">
        <w:rPr>
          <w:color w:val="0D0D0D" w:themeColor="text1" w:themeTint="F2"/>
        </w:rPr>
        <w:t>8</w:t>
      </w:r>
      <w:r w:rsidRPr="003C6DBD">
        <w:rPr>
          <w:color w:val="0D0D0D" w:themeColor="text1" w:themeTint="F2"/>
        </w:rPr>
        <w:t>-202</w:t>
      </w:r>
      <w:r w:rsidR="00976B5E" w:rsidRPr="003C6DBD">
        <w:rPr>
          <w:color w:val="0D0D0D" w:themeColor="text1" w:themeTint="F2"/>
        </w:rPr>
        <w:t>1</w:t>
      </w:r>
      <w:r w:rsidRPr="003C6DBD">
        <w:rPr>
          <w:color w:val="0D0D0D" w:themeColor="text1" w:themeTint="F2"/>
        </w:rPr>
        <w:t xml:space="preserve">, </w:t>
      </w:r>
      <w:r w:rsidR="00C404F2" w:rsidRPr="003C6DBD">
        <w:rPr>
          <w:color w:val="0D0D0D" w:themeColor="text1" w:themeTint="F2"/>
        </w:rPr>
        <w:t xml:space="preserve">while </w:t>
      </w:r>
      <w:r w:rsidRPr="003C6DBD">
        <w:rPr>
          <w:color w:val="0D0D0D" w:themeColor="text1" w:themeTint="F2"/>
        </w:rPr>
        <w:t xml:space="preserve">for </w:t>
      </w:r>
      <w:r w:rsidR="00C404F2" w:rsidRPr="003C6DBD">
        <w:rPr>
          <w:color w:val="0D0D0D" w:themeColor="text1" w:themeTint="F2"/>
        </w:rPr>
        <w:t xml:space="preserve">the </w:t>
      </w:r>
      <w:r w:rsidRPr="003C6DBD">
        <w:rPr>
          <w:color w:val="0D0D0D" w:themeColor="text1" w:themeTint="F2"/>
        </w:rPr>
        <w:t xml:space="preserve">publicly traded agribusinesses are </w:t>
      </w:r>
      <w:r w:rsidR="00C404F2" w:rsidRPr="003C6DBD">
        <w:rPr>
          <w:color w:val="0D0D0D" w:themeColor="text1" w:themeTint="F2"/>
        </w:rPr>
        <w:t xml:space="preserve">from the </w:t>
      </w:r>
      <w:r w:rsidRPr="003C6DBD">
        <w:rPr>
          <w:color w:val="0D0D0D" w:themeColor="text1" w:themeTint="F2"/>
        </w:rPr>
        <w:t>2008-2011</w:t>
      </w:r>
      <w:r w:rsidR="00976B5E" w:rsidRPr="003C6DBD">
        <w:rPr>
          <w:color w:val="0D0D0D" w:themeColor="text1" w:themeTint="F2"/>
        </w:rPr>
        <w:t xml:space="preserve"> </w:t>
      </w:r>
      <w:r w:rsidR="00C404F2" w:rsidRPr="003C6DBD">
        <w:rPr>
          <w:color w:val="0D0D0D" w:themeColor="text1" w:themeTint="F2"/>
        </w:rPr>
        <w:t xml:space="preserve">period, as reported </w:t>
      </w:r>
      <w:r w:rsidR="00A74D32" w:rsidRPr="003C6DBD">
        <w:rPr>
          <w:color w:val="0D0D0D" w:themeColor="text1" w:themeTint="F2"/>
        </w:rPr>
        <w:t xml:space="preserve">by </w:t>
      </w:r>
      <w:r w:rsidR="00A74D32" w:rsidRPr="003C6DBD">
        <w:rPr>
          <w:color w:val="0D0D0D" w:themeColor="text1" w:themeTint="F2"/>
        </w:rPr>
        <w:fldChar w:fldCharType="begin"/>
      </w:r>
      <w:r w:rsidR="00A74D32" w:rsidRPr="003C6DBD">
        <w:rPr>
          <w:color w:val="0D0D0D" w:themeColor="text1" w:themeTint="F2"/>
        </w:rPr>
        <w:instrText xml:space="preserve"> ADDIN ZOTERO_ITEM CSL_CITATION {"citationID":"2wIbFAzB","properties":{"custom":"Katchova &amp; Enlow (2013)","formattedCitation":"Katchova &amp; Enlow (2013)","plainCitation":"Katchova &amp; Enlow (2013)","noteIndex":0},"citationItems":[{"id":219,"uris":["http://zotero.org/users/8949154/items/SUB5H9EB"],"itemData":{"id":219,"type":"article-journal","container-title":"Agricultural Finance Review","note":"publisher: Emerald Group Publishing Limited","source":"Google Scholar","title":"Financial performance of publicly-traded agribusinesses","author":[{"family":"Katchova","given":"Ani L."},{"family":"Enlow","given":"Sierra J."}],"issued":{"date-parts":[["2013"]]}}}],"schema":"https://github.com/citation-style-language/schema/raw/master/csl-citation.json"} </w:instrText>
      </w:r>
      <w:r w:rsidR="00A74D32" w:rsidRPr="003C6DBD">
        <w:rPr>
          <w:color w:val="0D0D0D" w:themeColor="text1" w:themeTint="F2"/>
        </w:rPr>
        <w:fldChar w:fldCharType="separate"/>
      </w:r>
      <w:r w:rsidR="00A74D32" w:rsidRPr="003C6DBD">
        <w:rPr>
          <w:color w:val="0D0D0D" w:themeColor="text1" w:themeTint="F2"/>
        </w:rPr>
        <w:t>Katchova &amp; Enlow (2013)</w:t>
      </w:r>
      <w:r w:rsidR="00A74D32" w:rsidRPr="003C6DBD">
        <w:rPr>
          <w:color w:val="0D0D0D" w:themeColor="text1" w:themeTint="F2"/>
        </w:rPr>
        <w:fldChar w:fldCharType="end"/>
      </w:r>
      <w:r w:rsidRPr="003C6DBD">
        <w:rPr>
          <w:color w:val="0D0D0D" w:themeColor="text1" w:themeTint="F2"/>
        </w:rPr>
        <w:t xml:space="preserve">. </w:t>
      </w:r>
      <w:r w:rsidR="00252860" w:rsidRPr="003C6DBD">
        <w:rPr>
          <w:color w:val="0D0D0D" w:themeColor="text1" w:themeTint="F2"/>
        </w:rPr>
        <w:t>Future studies may compare di</w:t>
      </w:r>
      <w:r w:rsidR="00892744" w:rsidRPr="003C6DBD">
        <w:rPr>
          <w:color w:val="0D0D0D" w:themeColor="text1" w:themeTint="F2"/>
        </w:rPr>
        <w:t xml:space="preserve">rectly biofuel to other agribusinesses. </w:t>
      </w:r>
      <w:r w:rsidRPr="003C6DBD">
        <w:rPr>
          <w:color w:val="0D0D0D" w:themeColor="text1" w:themeTint="F2"/>
        </w:rPr>
        <w:t xml:space="preserve">A study by </w:t>
      </w:r>
      <w:r w:rsidRPr="003C6DBD">
        <w:rPr>
          <w:color w:val="0D0D0D" w:themeColor="text1" w:themeTint="F2"/>
        </w:rPr>
        <w:fldChar w:fldCharType="begin"/>
      </w:r>
      <w:r w:rsidRPr="003C6DBD">
        <w:rPr>
          <w:color w:val="0D0D0D" w:themeColor="text1" w:themeTint="F2"/>
        </w:rPr>
        <w:instrText xml:space="preserve"> ADDIN ZOTERO_ITEM CSL_CITATION {"citationID":"h9I0B78s","properties":{"custom":"Bacho &amp; Murova (2017)","formattedCitation":"Bacho &amp; Murova (2017)","plainCitation":"Bacho &amp; Murova (2017)","noteIndex":0},"citationItems":[{"id":797,"uris":["http://zotero.org/users/8949154/items/EU24IEZQ"],"itemData":{"id":797,"type":"report","source":"Google Scholar","title":"Financial Performance Analysis of Corn-based Ethanol Enterprises in the 1 US","author":[{"family":"Bacho","given":"Allan"},{"family":"Murova","given":"Olga"}],"issued":{"date-parts":[["2017"]]}}}],"schema":"https://github.com/citation-style-language/schema/raw/master/csl-citation.json"} </w:instrText>
      </w:r>
      <w:r w:rsidRPr="003C6DBD">
        <w:rPr>
          <w:color w:val="0D0D0D" w:themeColor="text1" w:themeTint="F2"/>
        </w:rPr>
        <w:fldChar w:fldCharType="separate"/>
      </w:r>
      <w:r w:rsidRPr="003C6DBD">
        <w:rPr>
          <w:color w:val="0D0D0D" w:themeColor="text1" w:themeTint="F2"/>
        </w:rPr>
        <w:t>Bacho &amp; Murova (2017)</w:t>
      </w:r>
      <w:r w:rsidRPr="003C6DBD">
        <w:rPr>
          <w:color w:val="0D0D0D" w:themeColor="text1" w:themeTint="F2"/>
        </w:rPr>
        <w:fldChar w:fldCharType="end"/>
      </w:r>
      <w:r w:rsidRPr="003C6DBD">
        <w:rPr>
          <w:color w:val="0D0D0D" w:themeColor="text1" w:themeTint="F2"/>
        </w:rPr>
        <w:t xml:space="preserve"> examined the financial performance of 12 corn-based ethanol companies in the US from 2009-2014. The small (50 MGY) and large (100 MGY) ethanol enterprises had </w:t>
      </w:r>
      <w:r w:rsidR="00892744" w:rsidRPr="003C6DBD">
        <w:rPr>
          <w:color w:val="0D0D0D" w:themeColor="text1" w:themeTint="F2"/>
        </w:rPr>
        <w:t xml:space="preserve">an average </w:t>
      </w:r>
      <w:r w:rsidRPr="003C6DBD">
        <w:rPr>
          <w:color w:val="0D0D0D" w:themeColor="text1" w:themeTint="F2"/>
        </w:rPr>
        <w:t xml:space="preserve">ROE of </w:t>
      </w:r>
      <w:r w:rsidR="00B16C33" w:rsidRPr="003C6DBD">
        <w:rPr>
          <w:color w:val="0D0D0D" w:themeColor="text1" w:themeTint="F2"/>
        </w:rPr>
        <w:t>10.2%</w:t>
      </w:r>
      <w:r w:rsidRPr="003C6DBD">
        <w:rPr>
          <w:color w:val="0D0D0D" w:themeColor="text1" w:themeTint="F2"/>
        </w:rPr>
        <w:t xml:space="preserve"> and </w:t>
      </w:r>
      <w:r w:rsidR="00B16C33" w:rsidRPr="003C6DBD">
        <w:rPr>
          <w:color w:val="0D0D0D" w:themeColor="text1" w:themeTint="F2"/>
        </w:rPr>
        <w:t>5.5%</w:t>
      </w:r>
      <w:r w:rsidRPr="003C6DBD">
        <w:rPr>
          <w:color w:val="0D0D0D" w:themeColor="text1" w:themeTint="F2"/>
        </w:rPr>
        <w:t xml:space="preserve"> respectively. Th</w:t>
      </w:r>
      <w:r w:rsidR="00976B5E" w:rsidRPr="003C6DBD">
        <w:rPr>
          <w:color w:val="0D0D0D" w:themeColor="text1" w:themeTint="F2"/>
        </w:rPr>
        <w:t>e</w:t>
      </w:r>
      <w:r w:rsidRPr="003C6DBD">
        <w:rPr>
          <w:color w:val="0D0D0D" w:themeColor="text1" w:themeTint="F2"/>
        </w:rPr>
        <w:t xml:space="preserve"> result </w:t>
      </w:r>
      <w:r w:rsidR="00976B5E" w:rsidRPr="003C6DBD">
        <w:rPr>
          <w:color w:val="0D0D0D" w:themeColor="text1" w:themeTint="F2"/>
        </w:rPr>
        <w:t>from our study revealed a higher me</w:t>
      </w:r>
      <w:r w:rsidR="00144D8B" w:rsidRPr="003C6DBD">
        <w:rPr>
          <w:color w:val="0D0D0D" w:themeColor="text1" w:themeTint="F2"/>
        </w:rPr>
        <w:t>an</w:t>
      </w:r>
      <w:r w:rsidR="00976B5E" w:rsidRPr="003C6DBD">
        <w:rPr>
          <w:color w:val="0D0D0D" w:themeColor="text1" w:themeTint="F2"/>
        </w:rPr>
        <w:t xml:space="preserve"> ROE than these for all three portfolios. </w:t>
      </w:r>
      <w:r w:rsidR="00144D8B" w:rsidRPr="003C6DBD">
        <w:rPr>
          <w:color w:val="0D0D0D" w:themeColor="text1" w:themeTint="F2"/>
        </w:rPr>
        <w:t xml:space="preserve">The mean ROE in our study is 16.5%, 12.3%, and 13.65% for PB, SB and ALL portfolios respectively. </w:t>
      </w:r>
      <w:r w:rsidR="00976B5E" w:rsidRPr="003C6DBD">
        <w:rPr>
          <w:color w:val="0D0D0D" w:themeColor="text1" w:themeTint="F2"/>
        </w:rPr>
        <w:t xml:space="preserve">This </w:t>
      </w:r>
      <w:r w:rsidRPr="003C6DBD">
        <w:rPr>
          <w:color w:val="0D0D0D" w:themeColor="text1" w:themeTint="F2"/>
        </w:rPr>
        <w:t xml:space="preserve">suggests that biofuel companies are </w:t>
      </w:r>
      <w:r w:rsidR="00976B5E" w:rsidRPr="003C6DBD">
        <w:rPr>
          <w:color w:val="0D0D0D" w:themeColor="text1" w:themeTint="F2"/>
        </w:rPr>
        <w:t>gradually getting</w:t>
      </w:r>
      <w:r w:rsidRPr="003C6DBD">
        <w:rPr>
          <w:color w:val="0D0D0D" w:themeColor="text1" w:themeTint="F2"/>
        </w:rPr>
        <w:t xml:space="preserve"> more profitable compared to the past. The me</w:t>
      </w:r>
      <w:r w:rsidR="00144D8B" w:rsidRPr="003C6DBD">
        <w:rPr>
          <w:color w:val="0D0D0D" w:themeColor="text1" w:themeTint="F2"/>
        </w:rPr>
        <w:t>an</w:t>
      </w:r>
      <w:r w:rsidRPr="003C6DBD">
        <w:rPr>
          <w:color w:val="0D0D0D" w:themeColor="text1" w:themeTint="F2"/>
        </w:rPr>
        <w:t xml:space="preserve"> asset turnover ratio in our study is </w:t>
      </w:r>
      <w:r w:rsidR="00144D8B" w:rsidRPr="003C6DBD">
        <w:rPr>
          <w:color w:val="0D0D0D" w:themeColor="text1" w:themeTint="F2"/>
        </w:rPr>
        <w:t>1.083</w:t>
      </w:r>
      <w:r w:rsidR="00976B5E" w:rsidRPr="003C6DBD">
        <w:rPr>
          <w:color w:val="0D0D0D" w:themeColor="text1" w:themeTint="F2"/>
        </w:rPr>
        <w:t>, 1.3</w:t>
      </w:r>
      <w:r w:rsidR="00144D8B" w:rsidRPr="003C6DBD">
        <w:rPr>
          <w:color w:val="0D0D0D" w:themeColor="text1" w:themeTint="F2"/>
        </w:rPr>
        <w:t>05</w:t>
      </w:r>
      <w:r w:rsidR="00976B5E" w:rsidRPr="003C6DBD">
        <w:rPr>
          <w:color w:val="0D0D0D" w:themeColor="text1" w:themeTint="F2"/>
        </w:rPr>
        <w:t>, and 1.</w:t>
      </w:r>
      <w:r w:rsidR="00144D8B" w:rsidRPr="003C6DBD">
        <w:rPr>
          <w:color w:val="0D0D0D" w:themeColor="text1" w:themeTint="F2"/>
        </w:rPr>
        <w:t>155</w:t>
      </w:r>
      <w:r w:rsidR="00976B5E" w:rsidRPr="003C6DBD">
        <w:rPr>
          <w:color w:val="0D0D0D" w:themeColor="text1" w:themeTint="F2"/>
        </w:rPr>
        <w:t xml:space="preserve"> for </w:t>
      </w:r>
      <w:r w:rsidRPr="003C6DBD">
        <w:rPr>
          <w:color w:val="0D0D0D" w:themeColor="text1" w:themeTint="F2"/>
        </w:rPr>
        <w:t>PB</w:t>
      </w:r>
      <w:r w:rsidR="00144D8B" w:rsidRPr="003C6DBD">
        <w:rPr>
          <w:color w:val="0D0D0D" w:themeColor="text1" w:themeTint="F2"/>
        </w:rPr>
        <w:t>, SB</w:t>
      </w:r>
      <w:r w:rsidR="00976B5E" w:rsidRPr="003C6DBD">
        <w:rPr>
          <w:color w:val="0D0D0D" w:themeColor="text1" w:themeTint="F2"/>
        </w:rPr>
        <w:t xml:space="preserve"> </w:t>
      </w:r>
      <w:r w:rsidRPr="003C6DBD">
        <w:rPr>
          <w:color w:val="0D0D0D" w:themeColor="text1" w:themeTint="F2"/>
        </w:rPr>
        <w:t xml:space="preserve">and </w:t>
      </w:r>
      <w:r w:rsidR="00976B5E" w:rsidRPr="003C6DBD">
        <w:rPr>
          <w:color w:val="0D0D0D" w:themeColor="text1" w:themeTint="F2"/>
        </w:rPr>
        <w:t>ALL portfolios</w:t>
      </w:r>
      <w:r w:rsidR="00144D8B" w:rsidRPr="003C6DBD">
        <w:rPr>
          <w:color w:val="0D0D0D" w:themeColor="text1" w:themeTint="F2"/>
        </w:rPr>
        <w:t xml:space="preserve"> respectively</w:t>
      </w:r>
      <w:r w:rsidRPr="003C6DBD">
        <w:rPr>
          <w:color w:val="0D0D0D" w:themeColor="text1" w:themeTint="F2"/>
        </w:rPr>
        <w:t xml:space="preserve">. The mean asset turnover in the study by </w:t>
      </w:r>
      <w:r w:rsidRPr="003C6DBD">
        <w:rPr>
          <w:color w:val="0D0D0D" w:themeColor="text1" w:themeTint="F2"/>
        </w:rPr>
        <w:fldChar w:fldCharType="begin"/>
      </w:r>
      <w:r w:rsidRPr="003C6DBD">
        <w:rPr>
          <w:color w:val="0D0D0D" w:themeColor="text1" w:themeTint="F2"/>
        </w:rPr>
        <w:instrText xml:space="preserve"> ADDIN ZOTERO_ITEM CSL_CITATION {"citationID":"7CGGZ7Zx","properties":{"custom":"Bacho &amp; Murova (2017)","formattedCitation":"Bacho &amp; Murova (2017)","plainCitation":"Bacho &amp; Murova (2017)","noteIndex":0},"citationItems":[{"id":797,"uris":["http://zotero.org/users/8949154/items/EU24IEZQ"],"itemData":{"id":797,"type":"report","source":"Google Scholar","title":"Financial Performance Analysis of Corn-based Ethanol Enterprises in the 1 US","author":[{"family":"Bacho","given":"Allan"},{"family":"Murova","given":"Olga"}],"issued":{"date-parts":[["2017"]]}}}],"schema":"https://github.com/citation-style-language/schema/raw/master/csl-citation.json"} </w:instrText>
      </w:r>
      <w:r w:rsidRPr="003C6DBD">
        <w:rPr>
          <w:color w:val="0D0D0D" w:themeColor="text1" w:themeTint="F2"/>
        </w:rPr>
        <w:fldChar w:fldCharType="separate"/>
      </w:r>
      <w:r w:rsidRPr="003C6DBD">
        <w:rPr>
          <w:color w:val="0D0D0D" w:themeColor="text1" w:themeTint="F2"/>
        </w:rPr>
        <w:t>Bacho &amp; Murova (2017)</w:t>
      </w:r>
      <w:r w:rsidRPr="003C6DBD">
        <w:rPr>
          <w:color w:val="0D0D0D" w:themeColor="text1" w:themeTint="F2"/>
        </w:rPr>
        <w:fldChar w:fldCharType="end"/>
      </w:r>
      <w:r w:rsidRPr="003C6DBD">
        <w:rPr>
          <w:color w:val="0D0D0D" w:themeColor="text1" w:themeTint="F2"/>
        </w:rPr>
        <w:t xml:space="preserve"> is 1.9497 and 1.9619 for small and large ethanol enterprises. This result suggests a lower asset turnover rate compared to the past. </w:t>
      </w:r>
    </w:p>
    <w:p w14:paraId="5D702F4C" w14:textId="43B0B321" w:rsidR="00A405E5" w:rsidRPr="003C6DBD" w:rsidRDefault="0041750B" w:rsidP="00D87A0D">
      <w:pPr>
        <w:pStyle w:val="BodyTextIndent"/>
        <w:ind w:firstLine="720"/>
        <w:rPr>
          <w:color w:val="0D0D0D" w:themeColor="text1" w:themeTint="F2"/>
        </w:rPr>
      </w:pPr>
      <w:r w:rsidRPr="003C6DBD">
        <w:rPr>
          <w:color w:val="0D0D0D" w:themeColor="text1" w:themeTint="F2"/>
        </w:rPr>
        <w:t xml:space="preserve">Upon conducting a trend analysis of selected financial ratios, an intriguing pattern emerged, which showed a sudden surge in profitability ratios of primary biofuel (PB) companies between the years 2020 and 2021, followed by a sharp decline. </w:t>
      </w:r>
      <w:r w:rsidR="00922C68" w:rsidRPr="003C6DBD">
        <w:rPr>
          <w:color w:val="0D0D0D" w:themeColor="text1" w:themeTint="F2"/>
        </w:rPr>
        <w:t xml:space="preserve">The results are consistent with the higher profits generated by ethanol and biodiesel plants during the early 2020 and </w:t>
      </w:r>
      <w:r w:rsidR="009363D5" w:rsidRPr="003C6DBD">
        <w:rPr>
          <w:color w:val="0D0D0D" w:themeColor="text1" w:themeTint="F2"/>
        </w:rPr>
        <w:t xml:space="preserve">the </w:t>
      </w:r>
      <w:r w:rsidR="00922C68" w:rsidRPr="003C6DBD">
        <w:rPr>
          <w:color w:val="0D0D0D" w:themeColor="text1" w:themeTint="F2"/>
        </w:rPr>
        <w:t xml:space="preserve">decline at the end of 2020 </w:t>
      </w:r>
      <w:r w:rsidR="00922C68" w:rsidRPr="003C6DBD">
        <w:rPr>
          <w:color w:val="0D0D0D" w:themeColor="text1" w:themeTint="F2"/>
        </w:rPr>
        <w:fldChar w:fldCharType="begin"/>
      </w:r>
      <w:r w:rsidR="00922C68" w:rsidRPr="003C6DBD">
        <w:rPr>
          <w:color w:val="0D0D0D" w:themeColor="text1" w:themeTint="F2"/>
        </w:rPr>
        <w:instrText xml:space="preserve"> ADDIN ZOTERO_ITEM CSL_CITATION {"citationID":"evVGzcwB","properties":{"formattedCitation":"(Irwin, 2021b, 2021a)","plainCitation":"(Irwin, 2021b, 2021a)","noteIndex":0},"citationItems":[{"id":832,"uris":["http://zotero.org/users/8949154/items/RA5L3CWI"],"itemData":{"id":832,"type":"article-journal","container-title":"farmdoc daily","issue":"13","source":"Google Scholar","title":"Ethanol Production Profits in 2020: A Year Like No Other","title-short":"Ethanol Production Profits in 2020","volume":"11","author":[{"family":"Irwin","given":"Scott"}],"issued":{"date-parts":[["2021"]]}},"label":"page"},{"id":833,"uris":["http://zotero.org/users/8949154/items/QZMB86X7"],"itemData":{"id":833,"type":"article-journal","container-title":"farmdoc daily","issue":"17","source":"Google Scholar","title":"Biodiesel Production Profits in 2020: A Real Rollercoaster Ride","title-short":"Biodiesel Production Profits in 2020","volume":"11","author":[{"family":"Irwin","given":"Scott"}],"issued":{"date-parts":[["2021"]]}},"label":"page"}],"schema":"https://github.com/citation-style-language/schema/raw/master/csl-citation.json"} </w:instrText>
      </w:r>
      <w:r w:rsidR="00922C68" w:rsidRPr="003C6DBD">
        <w:rPr>
          <w:color w:val="0D0D0D" w:themeColor="text1" w:themeTint="F2"/>
        </w:rPr>
        <w:fldChar w:fldCharType="separate"/>
      </w:r>
      <w:r w:rsidR="00922C68" w:rsidRPr="003C6DBD">
        <w:rPr>
          <w:color w:val="0D0D0D" w:themeColor="text1" w:themeTint="F2"/>
        </w:rPr>
        <w:t>(Irwin, 2021b, 2021a)</w:t>
      </w:r>
      <w:r w:rsidR="00922C68" w:rsidRPr="003C6DBD">
        <w:rPr>
          <w:color w:val="0D0D0D" w:themeColor="text1" w:themeTint="F2"/>
        </w:rPr>
        <w:fldChar w:fldCharType="end"/>
      </w:r>
      <w:r w:rsidR="00922C68" w:rsidRPr="003C6DBD">
        <w:rPr>
          <w:color w:val="0D0D0D" w:themeColor="text1" w:themeTint="F2"/>
        </w:rPr>
        <w:t xml:space="preserve">. </w:t>
      </w:r>
      <w:r w:rsidRPr="003C6DBD">
        <w:rPr>
          <w:color w:val="0D0D0D" w:themeColor="text1" w:themeTint="F2"/>
        </w:rPr>
        <w:t>This observation</w:t>
      </w:r>
      <w:r w:rsidR="00922C68" w:rsidRPr="003C6DBD">
        <w:rPr>
          <w:color w:val="0D0D0D" w:themeColor="text1" w:themeTint="F2"/>
        </w:rPr>
        <w:t xml:space="preserve"> seems</w:t>
      </w:r>
      <w:r w:rsidRPr="003C6DBD">
        <w:rPr>
          <w:color w:val="0D0D0D" w:themeColor="text1" w:themeTint="F2"/>
        </w:rPr>
        <w:t xml:space="preserve"> surprising given the adverse impact of the COVID-19 pandemic on many industries, including fossil fuel and biofuel businesses. Numerous studies have reported that the pandemic caused a significant reduction in demand and prices for biofuels and fossil fuels, primarily due to the temporary shutdown of a vast majority of businesses, and governments worldwide imposing lockdowns to mitigate the spread of the virus. As a result, transportation fuel consumption significantly decreased, leading </w:t>
      </w:r>
      <w:r w:rsidRPr="003C6DBD">
        <w:rPr>
          <w:color w:val="0D0D0D" w:themeColor="text1" w:themeTint="F2"/>
        </w:rPr>
        <w:lastRenderedPageBreak/>
        <w:t>to a decrease in demand for biofuels and fossil fuels alike</w:t>
      </w:r>
      <w:r w:rsidR="00A405E5" w:rsidRPr="003C6DBD">
        <w:rPr>
          <w:color w:val="0D0D0D" w:themeColor="text1" w:themeTint="F2"/>
        </w:rPr>
        <w:t xml:space="preserve"> </w:t>
      </w:r>
      <w:r w:rsidR="00A405E5" w:rsidRPr="003C6DBD">
        <w:rPr>
          <w:color w:val="0D0D0D" w:themeColor="text1" w:themeTint="F2"/>
        </w:rPr>
        <w:fldChar w:fldCharType="begin"/>
      </w:r>
      <w:r w:rsidR="00A405E5" w:rsidRPr="003C6DBD">
        <w:rPr>
          <w:color w:val="0D0D0D" w:themeColor="text1" w:themeTint="F2"/>
        </w:rPr>
        <w:instrText xml:space="preserve"> ADDIN ZOTERO_ITEM CSL_CITATION {"citationID":"7OVDUqI1","properties":{"formattedCitation":"(Elleby et al., 2020; Irwin, 2020; Shadidi &amp; Najafi, 2021)","plainCitation":"(Elleby et al., 2020; Irwin, 2020; Shadidi &amp; Najafi, 2021)","noteIndex":0},"citationItems":[{"id":804,"uris":["http://zotero.org/users/8949154/items/BH2NTGU8"],"itemData":{"id":804,"type":"article-journal","container-title":"Environmental and Resource Economics","issue":"4","note":"publisher: Springer","page":"1067–1079","source":"Google Scholar","title":"Impacts of the COVID-19 pandemic on the global agricultural markets","volume":"76","author":[{"family":"Elleby","given":"Christian"},{"family":"Domínguez","given":"Ignacio Pérez"},{"family":"Adenauer","given":"Marcel"},{"family":"Genovese","given":"Giampiero"}],"issued":{"date-parts":[["2020"]]}}},{"id":802,"uris":["http://zotero.org/users/8949154/items/KP8NQYYF"],"itemData":{"id":802,"type":"article-journal","container-title":"farmdoc daily","issue":"148","source":"Google Scholar","title":"Ethanol Production Profits during the COVID Pandemic","volume":"10","author":[{"family":"Irwin","given":"Scott"}],"issued":{"date-parts":[["2020"]]}}},{"id":806,"uris":["http://zotero.org/users/8949154/items/HRPSE3FZ"],"itemData":{"id":806,"type":"article-journal","container-title":"Energy Equipment and Systems","issue":"4","note":"publisher: University of Tehran","page":"371–382","source":"Google Scholar","title":"Impact of covid-19 on biofuels global market and their utilization necessity during pandemic","volume":"9","author":[{"family":"Shadidi","given":"Behdad"},{"family":"Najafi","given":"Gholamhassan"}],"issued":{"date-parts":[["2021"]]}}}],"schema":"https://github.com/citation-style-language/schema/raw/master/csl-citation.json"} </w:instrText>
      </w:r>
      <w:r w:rsidR="00A405E5" w:rsidRPr="003C6DBD">
        <w:rPr>
          <w:color w:val="0D0D0D" w:themeColor="text1" w:themeTint="F2"/>
        </w:rPr>
        <w:fldChar w:fldCharType="separate"/>
      </w:r>
      <w:r w:rsidR="00A405E5" w:rsidRPr="003C6DBD">
        <w:rPr>
          <w:color w:val="0D0D0D" w:themeColor="text1" w:themeTint="F2"/>
        </w:rPr>
        <w:t>(Elleby et al., 2020; Irwin, 2020; Shadidi &amp; Najafi, 2021)</w:t>
      </w:r>
      <w:r w:rsidR="00A405E5" w:rsidRPr="003C6DBD">
        <w:rPr>
          <w:color w:val="0D0D0D" w:themeColor="text1" w:themeTint="F2"/>
        </w:rPr>
        <w:fldChar w:fldCharType="end"/>
      </w:r>
      <w:r w:rsidR="00A405E5" w:rsidRPr="003C6DBD">
        <w:rPr>
          <w:color w:val="0D0D0D" w:themeColor="text1" w:themeTint="F2"/>
        </w:rPr>
        <w:t xml:space="preserve">. </w:t>
      </w:r>
    </w:p>
    <w:p w14:paraId="422AA8B5" w14:textId="4111FE10" w:rsidR="00F64B6F" w:rsidRPr="003C6DBD" w:rsidRDefault="00F64B6F" w:rsidP="00CE0635">
      <w:pPr>
        <w:pStyle w:val="BodyTextIndent"/>
        <w:ind w:firstLine="720"/>
        <w:rPr>
          <w:color w:val="0D0D0D" w:themeColor="text1" w:themeTint="F2"/>
        </w:rPr>
      </w:pPr>
      <w:r w:rsidRPr="003C6DBD">
        <w:rPr>
          <w:color w:val="0D0D0D" w:themeColor="text1" w:themeTint="F2"/>
        </w:rPr>
        <w:t xml:space="preserve">The analysis of the stock returns of three portfolios comprising PB, SB, and ALL companies has revealed some interesting trends. First, PB companies displayed a significantly higher degree of volatility in their weighted stock returns as compared to SB and ALL portfolios. A similar result was obtained by </w:t>
      </w:r>
      <w:r w:rsidRPr="003C6DBD">
        <w:rPr>
          <w:color w:val="0D0D0D" w:themeColor="text1" w:themeTint="F2"/>
        </w:rPr>
        <w:fldChar w:fldCharType="begin"/>
      </w:r>
      <w:r w:rsidRPr="003C6DBD">
        <w:rPr>
          <w:color w:val="0D0D0D" w:themeColor="text1" w:themeTint="F2"/>
        </w:rPr>
        <w:instrText xml:space="preserve"> ADDIN ZOTERO_ITEM CSL_CITATION {"citationID":"3dOBZNPF","properties":{"custom":"Ellinger (2007)","formattedCitation":"Ellinger (2007)","plainCitation":"Ellinger (2007)","noteIndex":0},"citationItems":[{"id":800,"uris":["http://zotero.org/users/8949154/items/KGW8NMAQ"],"itemData":{"id":800,"type":"article-journal","container-title":"Corn-Based Ethanol in Illinois and the US: A Report from the Department of Agricultural and Consumer Economics, University of Illinois","note":"publisher: Citeseer","page":"37–62","source":"Google Scholar","title":"Assessing the financial performance and returns of ethanol production: a case study analysis","title-short":"Assessing the financial performance and returns of ethanol production","author":[{"family":"Ellinger","given":"Paul N."}],"issued":{"date-parts":[["2007"]]}}}],"schema":"https://github.com/citation-style-language/schema/raw/master/csl-citation.json"} </w:instrText>
      </w:r>
      <w:r w:rsidRPr="003C6DBD">
        <w:rPr>
          <w:color w:val="0D0D0D" w:themeColor="text1" w:themeTint="F2"/>
        </w:rPr>
        <w:fldChar w:fldCharType="separate"/>
      </w:r>
      <w:r w:rsidRPr="003C6DBD">
        <w:rPr>
          <w:color w:val="0D0D0D" w:themeColor="text1" w:themeTint="F2"/>
        </w:rPr>
        <w:t>Ellinger (2007)</w:t>
      </w:r>
      <w:r w:rsidRPr="003C6DBD">
        <w:rPr>
          <w:color w:val="0D0D0D" w:themeColor="text1" w:themeTint="F2"/>
        </w:rPr>
        <w:fldChar w:fldCharType="end"/>
      </w:r>
      <w:r w:rsidRPr="003C6DBD">
        <w:rPr>
          <w:color w:val="0D0D0D" w:themeColor="text1" w:themeTint="F2"/>
        </w:rPr>
        <w:t xml:space="preserve"> where 7 publicly traded ethanol companies had very volatile stock returns. Additionally, our study showed that PB companies have had negative weighted stock returns from their initial public offering (IPO) until January 1, 2022. This trend is consistent with a previous study conducted by </w:t>
      </w:r>
      <w:r w:rsidRPr="003C6DBD">
        <w:rPr>
          <w:color w:val="0D0D0D" w:themeColor="text1" w:themeTint="F2"/>
        </w:rPr>
        <w:fldChar w:fldCharType="begin"/>
      </w:r>
      <w:r w:rsidRPr="003C6DBD">
        <w:rPr>
          <w:color w:val="0D0D0D" w:themeColor="text1" w:themeTint="F2"/>
        </w:rPr>
        <w:instrText xml:space="preserve"> ADDIN ZOTERO_ITEM CSL_CITATION {"citationID":"0V2tYH3h","properties":{"custom":"Miller et al. (2013)","formattedCitation":"Miller et al. (2013)","plainCitation":"Miller et al. (2013)","noteIndex":0},"citationItems":[{"id":7,"uris":["http://zotero.org/users/8949154/items/VHMNS63T"],"itemData":{"id":7,"type":"article-journal","container-title":"The International Council on Clean Transportation: Washington, DC","source":"Google Scholar","title":"Measuring and addressing investment risk in the second-generation biofuels industry","author":[{"family":"Miller","given":"Nathan"},{"family":"Christensen","given":"Adam"},{"family":"Park","given":"Ji Eun"},{"family":"Baral","given":"A."},{"family":"Malins","given":"C."},{"family":"Searle","given":"S."}],"issued":{"date-parts":[["2013"]]}}}],"schema":"https://github.com/citation-style-language/schema/raw/master/csl-citation.json"} </w:instrText>
      </w:r>
      <w:r w:rsidRPr="003C6DBD">
        <w:rPr>
          <w:color w:val="0D0D0D" w:themeColor="text1" w:themeTint="F2"/>
        </w:rPr>
        <w:fldChar w:fldCharType="separate"/>
      </w:r>
      <w:r w:rsidRPr="003C6DBD">
        <w:rPr>
          <w:color w:val="0D0D0D" w:themeColor="text1" w:themeTint="F2"/>
        </w:rPr>
        <w:t>Miller et al. (2013)</w:t>
      </w:r>
      <w:r w:rsidRPr="003C6DBD">
        <w:rPr>
          <w:color w:val="0D0D0D" w:themeColor="text1" w:themeTint="F2"/>
        </w:rPr>
        <w:fldChar w:fldCharType="end"/>
      </w:r>
      <w:r w:rsidRPr="003C6DBD">
        <w:rPr>
          <w:color w:val="0D0D0D" w:themeColor="text1" w:themeTint="F2"/>
        </w:rPr>
        <w:t>, which found that eight sample biofuel companies had negative stock returns from their IPO until September 4, 2013. The reason for this negative trend could be due to the use of second-generation biofuel technology, which was still in its nascent stage and required further development to improve its efficiency.</w:t>
      </w:r>
      <w:r w:rsidR="00CE0635" w:rsidRPr="003C6DBD">
        <w:rPr>
          <w:color w:val="0D0D0D" w:themeColor="text1" w:themeTint="F2"/>
        </w:rPr>
        <w:t xml:space="preserve"> </w:t>
      </w:r>
      <w:r w:rsidRPr="003C6DBD">
        <w:rPr>
          <w:color w:val="0D0D0D" w:themeColor="text1" w:themeTint="F2"/>
        </w:rPr>
        <w:t>Interestingly, a peculiar phenomenon emerged during the 2020-2021 period. The PB companies, which had previously shown negative weighted stock returns, experienced a sharp reversal in their fortunes and displayed very positive weighted stock returns. In contrast, SB and ALL portfolios showed negative weighted stock returns during this period. One of the probable reasons for this could be COVID-19 pandemic which occurred at the same period. The reason for this sudden shift in trend is not immediately clear, but it could also be attributed to various factors, such as changes in market dynamics, policy changes, or advancements in technology. Overall, these findings highlight the importance of closely monitoring the stock returns of companies operating in the biofuel industry, as they can exhibit significant fluctuations and trends over time.</w:t>
      </w:r>
    </w:p>
    <w:p w14:paraId="2A65424A" w14:textId="77777777" w:rsidR="00101E5B" w:rsidRPr="003C6DBD" w:rsidRDefault="00101E5B" w:rsidP="001C1D3D">
      <w:pPr>
        <w:rPr>
          <w:rFonts w:ascii="Times New Roman" w:hAnsi="Times New Roman" w:cs="Times New Roman"/>
          <w:color w:val="0D0D0D" w:themeColor="text1" w:themeTint="F2"/>
          <w:sz w:val="24"/>
          <w:szCs w:val="24"/>
        </w:rPr>
      </w:pPr>
    </w:p>
    <w:p w14:paraId="0D351256" w14:textId="77777777" w:rsidR="00E179DB" w:rsidRPr="003C6DBD" w:rsidRDefault="00E179DB" w:rsidP="001C1D3D">
      <w:pPr>
        <w:rPr>
          <w:rFonts w:ascii="Times New Roman" w:hAnsi="Times New Roman" w:cs="Times New Roman"/>
          <w:color w:val="0D0D0D" w:themeColor="text1" w:themeTint="F2"/>
          <w:sz w:val="24"/>
          <w:szCs w:val="24"/>
        </w:rPr>
      </w:pPr>
    </w:p>
    <w:p w14:paraId="4972398C" w14:textId="77777777" w:rsidR="001C1D3D" w:rsidRPr="003C6DBD" w:rsidRDefault="001C1D3D" w:rsidP="00D81C4B">
      <w:pPr>
        <w:pStyle w:val="Heading1"/>
        <w:spacing w:line="480" w:lineRule="auto"/>
        <w:rPr>
          <w:rFonts w:cs="Times New Roman"/>
          <w:color w:val="0D0D0D" w:themeColor="text1" w:themeTint="F2"/>
          <w:szCs w:val="24"/>
        </w:rPr>
      </w:pPr>
      <w:bookmarkStart w:id="47" w:name="_Toc132761852"/>
      <w:bookmarkStart w:id="48" w:name="_Toc102229904"/>
      <w:r w:rsidRPr="003C6DBD">
        <w:rPr>
          <w:rFonts w:cs="Times New Roman"/>
          <w:color w:val="0D0D0D" w:themeColor="text1" w:themeTint="F2"/>
          <w:szCs w:val="24"/>
        </w:rPr>
        <w:lastRenderedPageBreak/>
        <w:t>CHAPTER VII</w:t>
      </w:r>
      <w:bookmarkEnd w:id="47"/>
    </w:p>
    <w:p w14:paraId="3E168846" w14:textId="456C7437" w:rsidR="001C1D3D" w:rsidRPr="003C6DBD" w:rsidRDefault="001C1D3D" w:rsidP="00D81C4B">
      <w:pPr>
        <w:pStyle w:val="Heading2"/>
        <w:rPr>
          <w:color w:val="0D0D0D" w:themeColor="text1" w:themeTint="F2"/>
        </w:rPr>
      </w:pPr>
      <w:bookmarkStart w:id="49" w:name="_Toc102229905"/>
      <w:bookmarkStart w:id="50" w:name="_Toc132761853"/>
      <w:r w:rsidRPr="003C6DBD">
        <w:rPr>
          <w:color w:val="0D0D0D" w:themeColor="text1" w:themeTint="F2"/>
        </w:rPr>
        <w:t>CONCLUSION AND POLICY RECOMMENDATION</w:t>
      </w:r>
      <w:bookmarkEnd w:id="49"/>
      <w:bookmarkEnd w:id="50"/>
    </w:p>
    <w:bookmarkEnd w:id="48"/>
    <w:p w14:paraId="07852193" w14:textId="7AAE6015" w:rsidR="006F4649" w:rsidRPr="003C6DBD" w:rsidRDefault="006F4649" w:rsidP="006F4649">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This study focuses on the financial and risk analysis of a sample of publicly traded biofuel companie</w:t>
      </w:r>
      <w:r w:rsidR="0087466A" w:rsidRPr="003C6DBD">
        <w:rPr>
          <w:rFonts w:ascii="Times New Roman" w:hAnsi="Times New Roman" w:cs="Times New Roman"/>
          <w:color w:val="0D0D0D" w:themeColor="text1" w:themeTint="F2"/>
          <w:sz w:val="24"/>
          <w:szCs w:val="24"/>
        </w:rPr>
        <w:t>s. The study specifically</w:t>
      </w:r>
      <w:r w:rsidRPr="003C6DBD">
        <w:rPr>
          <w:rFonts w:ascii="Times New Roman" w:hAnsi="Times New Roman" w:cs="Times New Roman"/>
          <w:color w:val="0D0D0D" w:themeColor="text1" w:themeTint="F2"/>
          <w:sz w:val="24"/>
          <w:szCs w:val="24"/>
        </w:rPr>
        <w:t xml:space="preserve"> evaluated </w:t>
      </w:r>
      <w:r w:rsidR="0026337A" w:rsidRPr="003C6DBD">
        <w:rPr>
          <w:rFonts w:ascii="Times New Roman" w:hAnsi="Times New Roman" w:cs="Times New Roman"/>
          <w:color w:val="0D0D0D" w:themeColor="text1" w:themeTint="F2"/>
          <w:sz w:val="24"/>
          <w:szCs w:val="24"/>
        </w:rPr>
        <w:t>(</w:t>
      </w:r>
      <w:proofErr w:type="spellStart"/>
      <w:r w:rsidR="0026337A" w:rsidRPr="003C6DBD">
        <w:rPr>
          <w:rFonts w:ascii="Times New Roman" w:hAnsi="Times New Roman" w:cs="Times New Roman"/>
          <w:color w:val="0D0D0D" w:themeColor="text1" w:themeTint="F2"/>
          <w:sz w:val="24"/>
          <w:szCs w:val="24"/>
        </w:rPr>
        <w:t>i</w:t>
      </w:r>
      <w:proofErr w:type="spellEnd"/>
      <w:r w:rsidR="0026337A"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t>the significance and prevalence of risks in the industry</w:t>
      </w:r>
      <w:r w:rsidR="0026337A" w:rsidRPr="003C6DBD">
        <w:rPr>
          <w:rFonts w:ascii="Times New Roman" w:hAnsi="Times New Roman" w:cs="Times New Roman"/>
          <w:color w:val="0D0D0D" w:themeColor="text1" w:themeTint="F2"/>
          <w:sz w:val="24"/>
          <w:szCs w:val="24"/>
        </w:rPr>
        <w:t xml:space="preserve">, and (ii) </w:t>
      </w:r>
      <w:r w:rsidR="0098790F" w:rsidRPr="003C6DBD">
        <w:rPr>
          <w:rFonts w:ascii="Times New Roman" w:hAnsi="Times New Roman" w:cs="Times New Roman"/>
          <w:color w:val="0D0D0D" w:themeColor="text1" w:themeTint="F2"/>
          <w:sz w:val="24"/>
          <w:szCs w:val="24"/>
        </w:rPr>
        <w:t>various financial metrics related to financial performance</w:t>
      </w:r>
      <w:r w:rsidRPr="003C6DBD">
        <w:rPr>
          <w:rFonts w:ascii="Times New Roman" w:hAnsi="Times New Roman" w:cs="Times New Roman"/>
          <w:color w:val="0D0D0D" w:themeColor="text1" w:themeTint="F2"/>
          <w:sz w:val="24"/>
          <w:szCs w:val="24"/>
        </w:rPr>
        <w:t>. The analysis of risk factors revealed that biofuel regulation, market biofuel, profitable operations, risk management, financing, and contracting were prominent</w:t>
      </w:r>
      <w:r w:rsidR="0087466A" w:rsidRPr="003C6DBD">
        <w:rPr>
          <w:rFonts w:ascii="Times New Roman" w:hAnsi="Times New Roman" w:cs="Times New Roman"/>
          <w:color w:val="0D0D0D" w:themeColor="text1" w:themeTint="F2"/>
          <w:sz w:val="24"/>
          <w:szCs w:val="24"/>
        </w:rPr>
        <w:t xml:space="preserve"> sources of</w:t>
      </w:r>
      <w:r w:rsidRPr="003C6DBD">
        <w:rPr>
          <w:rFonts w:ascii="Times New Roman" w:hAnsi="Times New Roman" w:cs="Times New Roman"/>
          <w:color w:val="0D0D0D" w:themeColor="text1" w:themeTint="F2"/>
          <w:sz w:val="24"/>
          <w:szCs w:val="24"/>
        </w:rPr>
        <w:t xml:space="preserve"> risk in the biofuel industry. The categorization of biofuel companies as PB or SB based on their percentage of biofuel revenues has revealed that PB companies are more vulnerable to risks directly related to biofuels, such as biofuel regulation and markets for biofuels, while SB companies are more susceptible to general business risks, such as economic conditions and cybersecurity. These findings can aid companies and investors in understanding the varying risks associated with different types of biofuel companies and making informed decisions about investments and operations.</w:t>
      </w:r>
      <w:r w:rsidR="00EC6CD2"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t>To address these risks, collaborative efforts could be made between government stakeholders, industry stakeholders, and researchers to establish stable and long-term policies and create market safety for biofuels. Moreover, stakeholders such as private equity investors, banks, and financing institutions could work together to minimize financing risks for biofuel production. These findings can provide a basis for developing policies that can mitigate risks and encourage the growth of the biofuel industry.</w:t>
      </w:r>
    </w:p>
    <w:p w14:paraId="0F18FA3C" w14:textId="70E1A398" w:rsidR="006F4649" w:rsidRPr="003C6DBD" w:rsidRDefault="006F4649" w:rsidP="006F4649">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However, the </w:t>
      </w:r>
      <w:r w:rsidR="00B30ACC" w:rsidRPr="003C6DBD">
        <w:rPr>
          <w:rFonts w:ascii="Times New Roman" w:hAnsi="Times New Roman" w:cs="Times New Roman"/>
          <w:color w:val="0D0D0D" w:themeColor="text1" w:themeTint="F2"/>
          <w:sz w:val="24"/>
          <w:szCs w:val="24"/>
        </w:rPr>
        <w:t xml:space="preserve">study’s </w:t>
      </w:r>
      <w:r w:rsidRPr="003C6DBD">
        <w:rPr>
          <w:rFonts w:ascii="Times New Roman" w:hAnsi="Times New Roman" w:cs="Times New Roman"/>
          <w:color w:val="0D0D0D" w:themeColor="text1" w:themeTint="F2"/>
          <w:sz w:val="24"/>
          <w:szCs w:val="24"/>
        </w:rPr>
        <w:t xml:space="preserve">limitations must be considered. The sample consists only of publicly traded biofuel companies, which can lead to a sample selection bias, known as survivorship bias, as private companies may face different risks and have different financial conditions. To overcome this limitation, future research could encompass both publicly traded </w:t>
      </w:r>
      <w:r w:rsidRPr="003C6DBD">
        <w:rPr>
          <w:rFonts w:ascii="Times New Roman" w:hAnsi="Times New Roman" w:cs="Times New Roman"/>
          <w:color w:val="0D0D0D" w:themeColor="text1" w:themeTint="F2"/>
          <w:sz w:val="24"/>
          <w:szCs w:val="24"/>
        </w:rPr>
        <w:lastRenderedPageBreak/>
        <w:t xml:space="preserve">and private biofuel companies to provide a more comprehensive assessment of the </w:t>
      </w:r>
      <w:r w:rsidR="00B30ACC" w:rsidRPr="003C6DBD">
        <w:rPr>
          <w:rFonts w:ascii="Times New Roman" w:hAnsi="Times New Roman" w:cs="Times New Roman"/>
          <w:color w:val="0D0D0D" w:themeColor="text1" w:themeTint="F2"/>
          <w:sz w:val="24"/>
          <w:szCs w:val="24"/>
        </w:rPr>
        <w:t xml:space="preserve">industry’s </w:t>
      </w:r>
      <w:r w:rsidRPr="003C6DBD">
        <w:rPr>
          <w:rFonts w:ascii="Times New Roman" w:hAnsi="Times New Roman" w:cs="Times New Roman"/>
          <w:color w:val="0D0D0D" w:themeColor="text1" w:themeTint="F2"/>
          <w:sz w:val="24"/>
          <w:szCs w:val="24"/>
        </w:rPr>
        <w:t>risks</w:t>
      </w:r>
      <w:r w:rsidR="00B30ACC" w:rsidRPr="003C6DBD">
        <w:rPr>
          <w:rFonts w:ascii="Times New Roman" w:hAnsi="Times New Roman" w:cs="Times New Roman"/>
          <w:color w:val="0D0D0D" w:themeColor="text1" w:themeTint="F2"/>
          <w:sz w:val="24"/>
          <w:szCs w:val="24"/>
        </w:rPr>
        <w:t xml:space="preserve"> and profitability</w:t>
      </w:r>
      <w:r w:rsidRPr="003C6DBD">
        <w:rPr>
          <w:rFonts w:ascii="Times New Roman" w:hAnsi="Times New Roman" w:cs="Times New Roman"/>
          <w:color w:val="0D0D0D" w:themeColor="text1" w:themeTint="F2"/>
          <w:sz w:val="24"/>
          <w:szCs w:val="24"/>
        </w:rPr>
        <w:t>. Finally, the risk scores generated from this study can be used to understand the relationship with other financial ratios, and further research could explore these relationships.</w:t>
      </w:r>
    </w:p>
    <w:p w14:paraId="7DDDD2F4" w14:textId="2CE0A476" w:rsidR="006F4649" w:rsidRPr="003C6DBD" w:rsidRDefault="006F4649" w:rsidP="00E87A46">
      <w:pPr>
        <w:spacing w:line="480" w:lineRule="auto"/>
        <w:ind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The present study utilized the financial ratios analysis commonly used in the finance literature to assess the historical </w:t>
      </w:r>
      <w:r w:rsidR="00D52642" w:rsidRPr="003C6DBD">
        <w:rPr>
          <w:rFonts w:ascii="Times New Roman" w:hAnsi="Times New Roman" w:cs="Times New Roman"/>
          <w:color w:val="0D0D0D" w:themeColor="text1" w:themeTint="F2"/>
          <w:sz w:val="24"/>
          <w:szCs w:val="24"/>
        </w:rPr>
        <w:t xml:space="preserve">economic </w:t>
      </w:r>
      <w:r w:rsidRPr="003C6DBD">
        <w:rPr>
          <w:rFonts w:ascii="Times New Roman" w:hAnsi="Times New Roman" w:cs="Times New Roman"/>
          <w:color w:val="0D0D0D" w:themeColor="text1" w:themeTint="F2"/>
          <w:sz w:val="24"/>
          <w:szCs w:val="24"/>
        </w:rPr>
        <w:t xml:space="preserve">performance of biofuel companies. The investigation focused on comparing the financial performance of companies with a dominant share of biofuel revenues (PB companies) to those with a smaller percentage of biofuel revenues (SB companies) by utilizing SB companies as a benchmark. </w:t>
      </w:r>
      <w:r w:rsidR="00D52642" w:rsidRPr="003C6DBD">
        <w:rPr>
          <w:rFonts w:ascii="Times New Roman" w:hAnsi="Times New Roman" w:cs="Times New Roman"/>
          <w:color w:val="0D0D0D" w:themeColor="text1" w:themeTint="F2"/>
          <w:sz w:val="24"/>
          <w:szCs w:val="24"/>
        </w:rPr>
        <w:t xml:space="preserve">The S&amp;P 500 market index was </w:t>
      </w:r>
      <w:r w:rsidR="000A5412" w:rsidRPr="003C6DBD">
        <w:rPr>
          <w:rFonts w:ascii="Times New Roman" w:hAnsi="Times New Roman" w:cs="Times New Roman"/>
          <w:color w:val="0D0D0D" w:themeColor="text1" w:themeTint="F2"/>
          <w:sz w:val="24"/>
          <w:szCs w:val="24"/>
        </w:rPr>
        <w:t>also used as a benchmark</w:t>
      </w:r>
      <w:r w:rsidR="004D4674" w:rsidRPr="003C6DBD">
        <w:rPr>
          <w:rFonts w:ascii="Times New Roman" w:hAnsi="Times New Roman" w:cs="Times New Roman"/>
          <w:color w:val="0D0D0D" w:themeColor="text1" w:themeTint="F2"/>
          <w:sz w:val="24"/>
          <w:szCs w:val="24"/>
        </w:rPr>
        <w:t xml:space="preserve"> for examining the stock returns</w:t>
      </w:r>
      <w:r w:rsidR="000A5412"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t>The objective was to determine whether companies with higher biofuel revenues performed better financially than their counterparts with lower biofuel revenues. Descriptive statistics were employed to examine the financial ratios of the two groups of companies, revealing that PB companies outperformed SB companies in terms of profitability, liquidity, and efficiency ratios. A trend analysis of selected financial ratios indicated that most of the ratios were highly volatile, except for the total debt to equity and assets to equity ratios, which remained relatively stable compared to the other financial metrics used in the study. An abrupt increase in profitability ratios was identified in PB companies during 2020-2021, followed by a significant declin</w:t>
      </w:r>
      <w:r w:rsidR="00922C68" w:rsidRPr="003C6DBD">
        <w:rPr>
          <w:rFonts w:ascii="Times New Roman" w:hAnsi="Times New Roman" w:cs="Times New Roman"/>
          <w:color w:val="0D0D0D" w:themeColor="text1" w:themeTint="F2"/>
          <w:sz w:val="24"/>
          <w:szCs w:val="24"/>
        </w:rPr>
        <w:t xml:space="preserve">e. </w:t>
      </w:r>
      <w:r w:rsidRPr="003C6DBD">
        <w:rPr>
          <w:rFonts w:ascii="Times New Roman" w:hAnsi="Times New Roman" w:cs="Times New Roman"/>
          <w:color w:val="0D0D0D" w:themeColor="text1" w:themeTint="F2"/>
          <w:sz w:val="24"/>
          <w:szCs w:val="24"/>
        </w:rPr>
        <w:t xml:space="preserve">The analysis of stock returns revealed that primary biofuel companies had negative weighted stock returns from their initial public offering until January 1, 2022, but experienced a sharp reversal in their fortunes during the 2020-2021 period. These counterintuitive results coincide with a major global event, the COVID-19 pandemic. The investigation highlights the importance of further exploring the performance of biofuel </w:t>
      </w:r>
      <w:r w:rsidRPr="003C6DBD">
        <w:rPr>
          <w:rFonts w:ascii="Times New Roman" w:hAnsi="Times New Roman" w:cs="Times New Roman"/>
          <w:color w:val="0D0D0D" w:themeColor="text1" w:themeTint="F2"/>
          <w:sz w:val="24"/>
          <w:szCs w:val="24"/>
        </w:rPr>
        <w:lastRenderedPageBreak/>
        <w:t>companies during the pandemic period, as PB companies displayed comparatively better performance than other portfolios despite the volatility that could be attributed to several factors.</w:t>
      </w:r>
    </w:p>
    <w:p w14:paraId="10ECA16D" w14:textId="77777777" w:rsidR="00811872" w:rsidRPr="003C6DBD" w:rsidRDefault="00811872" w:rsidP="002A7494">
      <w:pPr>
        <w:spacing w:line="480" w:lineRule="auto"/>
        <w:rPr>
          <w:rFonts w:ascii="Times New Roman" w:hAnsi="Times New Roman" w:cs="Times New Roman"/>
          <w:color w:val="0D0D0D" w:themeColor="text1" w:themeTint="F2"/>
          <w:sz w:val="24"/>
          <w:szCs w:val="24"/>
        </w:rPr>
      </w:pPr>
    </w:p>
    <w:p w14:paraId="60F98E04" w14:textId="77777777" w:rsidR="00811872" w:rsidRPr="003C6DBD" w:rsidRDefault="00811872" w:rsidP="002A7494">
      <w:pPr>
        <w:spacing w:line="480" w:lineRule="auto"/>
        <w:rPr>
          <w:rFonts w:ascii="Times New Roman" w:hAnsi="Times New Roman" w:cs="Times New Roman"/>
          <w:color w:val="0D0D0D" w:themeColor="text1" w:themeTint="F2"/>
          <w:sz w:val="24"/>
          <w:szCs w:val="24"/>
        </w:rPr>
      </w:pPr>
    </w:p>
    <w:p w14:paraId="60CA0ADD" w14:textId="77777777" w:rsidR="00811872" w:rsidRPr="003C6DBD" w:rsidRDefault="00811872" w:rsidP="002A7494">
      <w:pPr>
        <w:spacing w:line="480" w:lineRule="auto"/>
        <w:rPr>
          <w:rFonts w:ascii="Times New Roman" w:hAnsi="Times New Roman" w:cs="Times New Roman"/>
          <w:color w:val="0D0D0D" w:themeColor="text1" w:themeTint="F2"/>
          <w:sz w:val="24"/>
          <w:szCs w:val="24"/>
        </w:rPr>
      </w:pPr>
    </w:p>
    <w:p w14:paraId="420FB134" w14:textId="1B80B08B" w:rsidR="00811872" w:rsidRPr="003C6DBD" w:rsidRDefault="00811872" w:rsidP="002A7494">
      <w:pPr>
        <w:spacing w:line="480" w:lineRule="auto"/>
        <w:rPr>
          <w:rFonts w:ascii="Times New Roman" w:hAnsi="Times New Roman" w:cs="Times New Roman"/>
          <w:color w:val="0D0D0D" w:themeColor="text1" w:themeTint="F2"/>
          <w:sz w:val="24"/>
          <w:szCs w:val="24"/>
        </w:rPr>
      </w:pPr>
    </w:p>
    <w:p w14:paraId="33017EA4" w14:textId="5B64319E" w:rsidR="001C1D3D" w:rsidRPr="003C6DBD" w:rsidRDefault="001C1D3D" w:rsidP="002A7494">
      <w:pPr>
        <w:spacing w:line="480" w:lineRule="auto"/>
        <w:rPr>
          <w:rFonts w:ascii="Times New Roman" w:hAnsi="Times New Roman" w:cs="Times New Roman"/>
          <w:color w:val="0D0D0D" w:themeColor="text1" w:themeTint="F2"/>
          <w:sz w:val="24"/>
          <w:szCs w:val="24"/>
        </w:rPr>
      </w:pPr>
    </w:p>
    <w:p w14:paraId="2DD064A6" w14:textId="2EB1FD83" w:rsidR="001C1D3D" w:rsidRPr="003C6DBD" w:rsidRDefault="001C1D3D" w:rsidP="002A7494">
      <w:pPr>
        <w:spacing w:line="480" w:lineRule="auto"/>
        <w:rPr>
          <w:rFonts w:ascii="Times New Roman" w:hAnsi="Times New Roman" w:cs="Times New Roman"/>
          <w:color w:val="0D0D0D" w:themeColor="text1" w:themeTint="F2"/>
          <w:sz w:val="24"/>
          <w:szCs w:val="24"/>
        </w:rPr>
      </w:pPr>
    </w:p>
    <w:p w14:paraId="7D574FD2" w14:textId="199E2533" w:rsidR="001C1D3D" w:rsidRPr="003C6DBD" w:rsidRDefault="001C1D3D" w:rsidP="002A7494">
      <w:pPr>
        <w:spacing w:line="480" w:lineRule="auto"/>
        <w:rPr>
          <w:rFonts w:ascii="Times New Roman" w:hAnsi="Times New Roman" w:cs="Times New Roman"/>
          <w:color w:val="0D0D0D" w:themeColor="text1" w:themeTint="F2"/>
          <w:sz w:val="24"/>
          <w:szCs w:val="24"/>
        </w:rPr>
      </w:pPr>
    </w:p>
    <w:p w14:paraId="6305DD62" w14:textId="730AD9DB" w:rsidR="001C1D3D" w:rsidRPr="003C6DBD" w:rsidRDefault="001C1D3D" w:rsidP="002A7494">
      <w:pPr>
        <w:spacing w:line="480" w:lineRule="auto"/>
        <w:rPr>
          <w:rFonts w:ascii="Times New Roman" w:hAnsi="Times New Roman" w:cs="Times New Roman"/>
          <w:color w:val="0D0D0D" w:themeColor="text1" w:themeTint="F2"/>
          <w:sz w:val="24"/>
          <w:szCs w:val="24"/>
        </w:rPr>
      </w:pPr>
    </w:p>
    <w:p w14:paraId="02549DEC" w14:textId="033B27DA" w:rsidR="001C1D3D" w:rsidRPr="003C6DBD" w:rsidRDefault="001C1D3D" w:rsidP="002A7494">
      <w:pPr>
        <w:spacing w:line="480" w:lineRule="auto"/>
        <w:rPr>
          <w:rFonts w:ascii="Times New Roman" w:hAnsi="Times New Roman" w:cs="Times New Roman"/>
          <w:color w:val="0D0D0D" w:themeColor="text1" w:themeTint="F2"/>
          <w:sz w:val="24"/>
          <w:szCs w:val="24"/>
        </w:rPr>
      </w:pPr>
    </w:p>
    <w:p w14:paraId="0F7483C2" w14:textId="03EF5E60" w:rsidR="001C1D3D" w:rsidRPr="003C6DBD" w:rsidRDefault="001C1D3D" w:rsidP="002A7494">
      <w:pPr>
        <w:spacing w:line="480" w:lineRule="auto"/>
        <w:rPr>
          <w:rFonts w:ascii="Times New Roman" w:hAnsi="Times New Roman" w:cs="Times New Roman"/>
          <w:color w:val="0D0D0D" w:themeColor="text1" w:themeTint="F2"/>
          <w:sz w:val="24"/>
          <w:szCs w:val="24"/>
        </w:rPr>
      </w:pPr>
    </w:p>
    <w:p w14:paraId="11043DDF" w14:textId="0612C4FA" w:rsidR="001C1D3D" w:rsidRPr="003C6DBD" w:rsidRDefault="001C1D3D" w:rsidP="002A7494">
      <w:pPr>
        <w:spacing w:line="480" w:lineRule="auto"/>
        <w:rPr>
          <w:rFonts w:ascii="Times New Roman" w:hAnsi="Times New Roman" w:cs="Times New Roman"/>
          <w:color w:val="0D0D0D" w:themeColor="text1" w:themeTint="F2"/>
          <w:sz w:val="24"/>
          <w:szCs w:val="24"/>
        </w:rPr>
      </w:pPr>
    </w:p>
    <w:p w14:paraId="191B700F" w14:textId="6145231F" w:rsidR="006F4649" w:rsidRPr="003C6DBD" w:rsidRDefault="006F4649" w:rsidP="002A7494">
      <w:pPr>
        <w:spacing w:line="480" w:lineRule="auto"/>
        <w:rPr>
          <w:rFonts w:ascii="Times New Roman" w:hAnsi="Times New Roman" w:cs="Times New Roman"/>
          <w:color w:val="0D0D0D" w:themeColor="text1" w:themeTint="F2"/>
          <w:sz w:val="24"/>
          <w:szCs w:val="24"/>
        </w:rPr>
      </w:pPr>
    </w:p>
    <w:p w14:paraId="34615738" w14:textId="35B58C25" w:rsidR="00473AAE" w:rsidRPr="003C6DBD" w:rsidRDefault="00473AAE" w:rsidP="002A7494">
      <w:pPr>
        <w:spacing w:line="480" w:lineRule="auto"/>
        <w:rPr>
          <w:rFonts w:ascii="Times New Roman" w:hAnsi="Times New Roman" w:cs="Times New Roman"/>
          <w:color w:val="0D0D0D" w:themeColor="text1" w:themeTint="F2"/>
          <w:sz w:val="24"/>
          <w:szCs w:val="24"/>
        </w:rPr>
      </w:pPr>
    </w:p>
    <w:p w14:paraId="10CE44F5" w14:textId="77777777" w:rsidR="00473AAE" w:rsidRPr="003C6DBD" w:rsidRDefault="00473AAE" w:rsidP="002A7494">
      <w:pPr>
        <w:spacing w:line="480" w:lineRule="auto"/>
        <w:rPr>
          <w:rFonts w:ascii="Times New Roman" w:hAnsi="Times New Roman" w:cs="Times New Roman"/>
          <w:color w:val="0D0D0D" w:themeColor="text1" w:themeTint="F2"/>
          <w:sz w:val="24"/>
          <w:szCs w:val="24"/>
        </w:rPr>
      </w:pPr>
    </w:p>
    <w:p w14:paraId="6F0DE776" w14:textId="77777777" w:rsidR="00811872" w:rsidRPr="003C6DBD" w:rsidRDefault="00811872" w:rsidP="002A7494">
      <w:pPr>
        <w:spacing w:line="480" w:lineRule="auto"/>
        <w:rPr>
          <w:rFonts w:ascii="Times New Roman" w:hAnsi="Times New Roman" w:cs="Times New Roman"/>
          <w:color w:val="0D0D0D" w:themeColor="text1" w:themeTint="F2"/>
          <w:sz w:val="24"/>
          <w:szCs w:val="24"/>
        </w:rPr>
      </w:pPr>
    </w:p>
    <w:p w14:paraId="03759654" w14:textId="6E28B5F9" w:rsidR="00811872" w:rsidRPr="003C6DBD" w:rsidRDefault="00A355C9" w:rsidP="00D26AEF">
      <w:pPr>
        <w:pStyle w:val="Heading1"/>
        <w:spacing w:line="480" w:lineRule="auto"/>
        <w:rPr>
          <w:rFonts w:cs="Times New Roman"/>
          <w:color w:val="0D0D0D" w:themeColor="text1" w:themeTint="F2"/>
          <w:szCs w:val="24"/>
        </w:rPr>
      </w:pPr>
      <w:bookmarkStart w:id="51" w:name="_Toc132761854"/>
      <w:r w:rsidRPr="003C6DBD">
        <w:rPr>
          <w:rFonts w:cs="Times New Roman"/>
          <w:color w:val="0D0D0D" w:themeColor="text1" w:themeTint="F2"/>
          <w:szCs w:val="24"/>
        </w:rPr>
        <w:lastRenderedPageBreak/>
        <w:t>BIBL</w:t>
      </w:r>
      <w:r w:rsidR="000374C2" w:rsidRPr="003C6DBD">
        <w:rPr>
          <w:rFonts w:cs="Times New Roman"/>
          <w:color w:val="0D0D0D" w:themeColor="text1" w:themeTint="F2"/>
          <w:szCs w:val="24"/>
        </w:rPr>
        <w:t>I</w:t>
      </w:r>
      <w:r w:rsidRPr="003C6DBD">
        <w:rPr>
          <w:rFonts w:cs="Times New Roman"/>
          <w:color w:val="0D0D0D" w:themeColor="text1" w:themeTint="F2"/>
          <w:szCs w:val="24"/>
        </w:rPr>
        <w:t>OGRAPHY</w:t>
      </w:r>
      <w:bookmarkEnd w:id="51"/>
    </w:p>
    <w:p w14:paraId="7718B17E" w14:textId="77777777" w:rsidR="00375D18" w:rsidRPr="003C6DBD" w:rsidRDefault="003F6F35"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fldChar w:fldCharType="begin"/>
      </w:r>
      <w:r w:rsidR="00524A8E" w:rsidRPr="003C6DBD">
        <w:rPr>
          <w:rFonts w:ascii="Times New Roman" w:hAnsi="Times New Roman" w:cs="Times New Roman"/>
          <w:color w:val="0D0D0D" w:themeColor="text1" w:themeTint="F2"/>
          <w:sz w:val="24"/>
          <w:szCs w:val="24"/>
        </w:rPr>
        <w:instrText xml:space="preserve"> ADDIN ZOTERO_BIBL {"uncited":[],"omitted":[],"custom":[]} CSL_BIBLIOGRAPHY </w:instrText>
      </w:r>
      <w:r w:rsidRPr="003C6DBD">
        <w:rPr>
          <w:rFonts w:ascii="Times New Roman" w:hAnsi="Times New Roman" w:cs="Times New Roman"/>
          <w:color w:val="0D0D0D" w:themeColor="text1" w:themeTint="F2"/>
          <w:sz w:val="24"/>
          <w:szCs w:val="24"/>
        </w:rPr>
        <w:fldChar w:fldCharType="separate"/>
      </w:r>
      <w:r w:rsidR="00375D18" w:rsidRPr="003C6DBD">
        <w:rPr>
          <w:rFonts w:ascii="Times New Roman" w:hAnsi="Times New Roman" w:cs="Times New Roman"/>
          <w:color w:val="0D0D0D" w:themeColor="text1" w:themeTint="F2"/>
          <w:sz w:val="24"/>
          <w:szCs w:val="24"/>
        </w:rPr>
        <w:t xml:space="preserve">Adams, J., Hayunga, D., Mansi, S., Reeb, D., &amp; Verardi, V. (2019). Identifying and treating outliers in finance. </w:t>
      </w:r>
      <w:r w:rsidR="00375D18" w:rsidRPr="003C6DBD">
        <w:rPr>
          <w:rFonts w:ascii="Times New Roman" w:hAnsi="Times New Roman" w:cs="Times New Roman"/>
          <w:i/>
          <w:iCs/>
          <w:color w:val="0D0D0D" w:themeColor="text1" w:themeTint="F2"/>
          <w:sz w:val="24"/>
          <w:szCs w:val="24"/>
        </w:rPr>
        <w:t>Financial Management</w:t>
      </w:r>
      <w:r w:rsidR="00375D18" w:rsidRPr="003C6DBD">
        <w:rPr>
          <w:rFonts w:ascii="Times New Roman" w:hAnsi="Times New Roman" w:cs="Times New Roman"/>
          <w:color w:val="0D0D0D" w:themeColor="text1" w:themeTint="F2"/>
          <w:sz w:val="24"/>
          <w:szCs w:val="24"/>
        </w:rPr>
        <w:t xml:space="preserve">, </w:t>
      </w:r>
      <w:r w:rsidR="00375D18" w:rsidRPr="003C6DBD">
        <w:rPr>
          <w:rFonts w:ascii="Times New Roman" w:hAnsi="Times New Roman" w:cs="Times New Roman"/>
          <w:i/>
          <w:iCs/>
          <w:color w:val="0D0D0D" w:themeColor="text1" w:themeTint="F2"/>
          <w:sz w:val="24"/>
          <w:szCs w:val="24"/>
        </w:rPr>
        <w:t>48</w:t>
      </w:r>
      <w:r w:rsidR="00375D18" w:rsidRPr="003C6DBD">
        <w:rPr>
          <w:rFonts w:ascii="Times New Roman" w:hAnsi="Times New Roman" w:cs="Times New Roman"/>
          <w:color w:val="0D0D0D" w:themeColor="text1" w:themeTint="F2"/>
          <w:sz w:val="24"/>
          <w:szCs w:val="24"/>
        </w:rPr>
        <w:t>(2), 345–384.</w:t>
      </w:r>
    </w:p>
    <w:p w14:paraId="095E2876"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Altieri, M., &amp; Bravo, E. (2007). The ecological and social tragedy of crop-based biofuel production in the Americas. </w:t>
      </w:r>
      <w:r w:rsidRPr="003C6DBD">
        <w:rPr>
          <w:rFonts w:ascii="Times New Roman" w:hAnsi="Times New Roman" w:cs="Times New Roman"/>
          <w:i/>
          <w:iCs/>
          <w:color w:val="0D0D0D" w:themeColor="text1" w:themeTint="F2"/>
          <w:sz w:val="24"/>
          <w:szCs w:val="24"/>
        </w:rPr>
        <w:t>Food First/Institute for Food &amp; Development Policy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6</w:t>
      </w:r>
      <w:r w:rsidRPr="003C6DBD">
        <w:rPr>
          <w:rFonts w:ascii="Times New Roman" w:hAnsi="Times New Roman" w:cs="Times New Roman"/>
          <w:color w:val="0D0D0D" w:themeColor="text1" w:themeTint="F2"/>
          <w:sz w:val="24"/>
          <w:szCs w:val="24"/>
        </w:rPr>
        <w:t>.</w:t>
      </w:r>
    </w:p>
    <w:p w14:paraId="7C42E9BD"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Aui, A., Wang, Y., &amp; Mba-Wright, M. (2021). Evaluating the economic feasibility of cellulosic ethanol: A meta-analysis of techno-economic analysis studies. </w:t>
      </w:r>
      <w:r w:rsidRPr="003C6DBD">
        <w:rPr>
          <w:rFonts w:ascii="Times New Roman" w:hAnsi="Times New Roman" w:cs="Times New Roman"/>
          <w:i/>
          <w:iCs/>
          <w:color w:val="0D0D0D" w:themeColor="text1" w:themeTint="F2"/>
          <w:sz w:val="24"/>
          <w:szCs w:val="24"/>
        </w:rPr>
        <w:t>Renewable and Sustainable Energy Reviews</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145</w:t>
      </w:r>
      <w:r w:rsidRPr="003C6DBD">
        <w:rPr>
          <w:rFonts w:ascii="Times New Roman" w:hAnsi="Times New Roman" w:cs="Times New Roman"/>
          <w:color w:val="0D0D0D" w:themeColor="text1" w:themeTint="F2"/>
          <w:sz w:val="24"/>
          <w:szCs w:val="24"/>
        </w:rPr>
        <w:t>, 111098.</w:t>
      </w:r>
    </w:p>
    <w:p w14:paraId="2E0E04AD"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Azari Marhabi, A., Arasteh, A., &amp; Paydar, M. M. (2022). Sustainable energy development under uncertainty based on the real options theory approach. </w:t>
      </w:r>
      <w:r w:rsidRPr="003C6DBD">
        <w:rPr>
          <w:rFonts w:ascii="Times New Roman" w:hAnsi="Times New Roman" w:cs="Times New Roman"/>
          <w:i/>
          <w:iCs/>
          <w:color w:val="0D0D0D" w:themeColor="text1" w:themeTint="F2"/>
          <w:sz w:val="24"/>
          <w:szCs w:val="24"/>
        </w:rPr>
        <w:t>International Journal of Environmental Science and Technology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19</w:t>
      </w:r>
      <w:r w:rsidRPr="003C6DBD">
        <w:rPr>
          <w:rFonts w:ascii="Times New Roman" w:hAnsi="Times New Roman" w:cs="Times New Roman"/>
          <w:color w:val="0D0D0D" w:themeColor="text1" w:themeTint="F2"/>
          <w:sz w:val="24"/>
          <w:szCs w:val="24"/>
        </w:rPr>
        <w:t>(7), 5897–5910.</w:t>
      </w:r>
    </w:p>
    <w:p w14:paraId="6AD634FD"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Bacho, A., &amp; Murova, O. (2017). </w:t>
      </w:r>
      <w:r w:rsidRPr="003C6DBD">
        <w:rPr>
          <w:rFonts w:ascii="Times New Roman" w:hAnsi="Times New Roman" w:cs="Times New Roman"/>
          <w:i/>
          <w:iCs/>
          <w:color w:val="0D0D0D" w:themeColor="text1" w:themeTint="F2"/>
          <w:sz w:val="24"/>
          <w:szCs w:val="24"/>
        </w:rPr>
        <w:t>Financial Performance Analysis of Corn-based Ethanol Enterprises in the 1 US</w:t>
      </w:r>
      <w:r w:rsidRPr="003C6DBD">
        <w:rPr>
          <w:rFonts w:ascii="Times New Roman" w:hAnsi="Times New Roman" w:cs="Times New Roman"/>
          <w:color w:val="0D0D0D" w:themeColor="text1" w:themeTint="F2"/>
          <w:sz w:val="24"/>
          <w:szCs w:val="24"/>
        </w:rPr>
        <w:t>.</w:t>
      </w:r>
    </w:p>
    <w:p w14:paraId="36BBCD70"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Barbosa, P. I., Szklo, A., &amp; Gurgel, A. (2022). Sugarcane ethanol companies in Brazil: Growth challenges and strategy perspectives using Delphi and SWOT-AHP methods. </w:t>
      </w:r>
      <w:r w:rsidRPr="003C6DBD">
        <w:rPr>
          <w:rFonts w:ascii="Times New Roman" w:hAnsi="Times New Roman" w:cs="Times New Roman"/>
          <w:i/>
          <w:iCs/>
          <w:color w:val="0D0D0D" w:themeColor="text1" w:themeTint="F2"/>
          <w:sz w:val="24"/>
          <w:szCs w:val="24"/>
        </w:rPr>
        <w:t>Biomass and Bioenergy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158</w:t>
      </w:r>
      <w:r w:rsidRPr="003C6DBD">
        <w:rPr>
          <w:rFonts w:ascii="Times New Roman" w:hAnsi="Times New Roman" w:cs="Times New Roman"/>
          <w:color w:val="0D0D0D" w:themeColor="text1" w:themeTint="F2"/>
          <w:sz w:val="24"/>
          <w:szCs w:val="24"/>
        </w:rPr>
        <w:t>, 106368.</w:t>
      </w:r>
    </w:p>
    <w:p w14:paraId="5DC52185"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Bijman, J., Slingerland, M., &amp; van Baren, S. (2009). Contractual arrangements for smallholders in biofuel chains: A case study of jatropha in Mozambique. </w:t>
      </w:r>
      <w:r w:rsidRPr="003C6DBD">
        <w:rPr>
          <w:rFonts w:ascii="Times New Roman" w:hAnsi="Times New Roman" w:cs="Times New Roman"/>
          <w:i/>
          <w:iCs/>
          <w:color w:val="0D0D0D" w:themeColor="text1" w:themeTint="F2"/>
          <w:sz w:val="24"/>
          <w:szCs w:val="24"/>
        </w:rPr>
        <w:t>VII International PENSA Conference, Sao Paulo, Brazil</w:t>
      </w:r>
      <w:r w:rsidRPr="003C6DBD">
        <w:rPr>
          <w:rFonts w:ascii="Times New Roman" w:hAnsi="Times New Roman" w:cs="Times New Roman"/>
          <w:color w:val="0D0D0D" w:themeColor="text1" w:themeTint="F2"/>
          <w:sz w:val="24"/>
          <w:szCs w:val="24"/>
        </w:rPr>
        <w:t>.</w:t>
      </w:r>
    </w:p>
    <w:p w14:paraId="6EA3D15E"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Bothast, R. J., &amp; Schlicher, M. A. (2005). Biotechnological processes for conversion of corn into ethanol. </w:t>
      </w:r>
      <w:r w:rsidRPr="003C6DBD">
        <w:rPr>
          <w:rFonts w:ascii="Times New Roman" w:hAnsi="Times New Roman" w:cs="Times New Roman"/>
          <w:i/>
          <w:iCs/>
          <w:color w:val="0D0D0D" w:themeColor="text1" w:themeTint="F2"/>
          <w:sz w:val="24"/>
          <w:szCs w:val="24"/>
        </w:rPr>
        <w:t>Applied Microbiology and Biotechnology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67</w:t>
      </w:r>
      <w:r w:rsidRPr="003C6DBD">
        <w:rPr>
          <w:rFonts w:ascii="Times New Roman" w:hAnsi="Times New Roman" w:cs="Times New Roman"/>
          <w:color w:val="0D0D0D" w:themeColor="text1" w:themeTint="F2"/>
          <w:sz w:val="24"/>
          <w:szCs w:val="24"/>
        </w:rPr>
        <w:t>(1), 19–25.</w:t>
      </w:r>
    </w:p>
    <w:p w14:paraId="1DA3EC20"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Buchanan, S., &amp; Gibb, F. (1998). The information audit: An integrated strategic approach. </w:t>
      </w:r>
      <w:r w:rsidRPr="003C6DBD">
        <w:rPr>
          <w:rFonts w:ascii="Times New Roman" w:hAnsi="Times New Roman" w:cs="Times New Roman"/>
          <w:i/>
          <w:iCs/>
          <w:color w:val="0D0D0D" w:themeColor="text1" w:themeTint="F2"/>
          <w:sz w:val="24"/>
          <w:szCs w:val="24"/>
        </w:rPr>
        <w:t>International Journal of Information Management</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18</w:t>
      </w:r>
      <w:r w:rsidRPr="003C6DBD">
        <w:rPr>
          <w:rFonts w:ascii="Times New Roman" w:hAnsi="Times New Roman" w:cs="Times New Roman"/>
          <w:color w:val="0D0D0D" w:themeColor="text1" w:themeTint="F2"/>
          <w:sz w:val="24"/>
          <w:szCs w:val="24"/>
        </w:rPr>
        <w:t>(1), 29–47.</w:t>
      </w:r>
    </w:p>
    <w:p w14:paraId="34A64D89"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lastRenderedPageBreak/>
        <w:t xml:space="preserve">Campbell, R. M., Anderson, N. M., Daugaard, D. E., &amp; Naughton, H. T. (2018). Financial viability of biofuel and biochar production from forest biomass in the face of market price volatility and uncertainty. </w:t>
      </w:r>
      <w:r w:rsidRPr="003C6DBD">
        <w:rPr>
          <w:rFonts w:ascii="Times New Roman" w:hAnsi="Times New Roman" w:cs="Times New Roman"/>
          <w:i/>
          <w:iCs/>
          <w:color w:val="0D0D0D" w:themeColor="text1" w:themeTint="F2"/>
          <w:sz w:val="24"/>
          <w:szCs w:val="24"/>
        </w:rPr>
        <w:t>Applied Energy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230</w:t>
      </w:r>
      <w:r w:rsidRPr="003C6DBD">
        <w:rPr>
          <w:rFonts w:ascii="Times New Roman" w:hAnsi="Times New Roman" w:cs="Times New Roman"/>
          <w:color w:val="0D0D0D" w:themeColor="text1" w:themeTint="F2"/>
          <w:sz w:val="24"/>
          <w:szCs w:val="24"/>
        </w:rPr>
        <w:t>, 330–343.</w:t>
      </w:r>
    </w:p>
    <w:p w14:paraId="6AF9464D"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Chen, M., &amp; Smith, P. M. (2017). The US cellulosic biofuels industry: Expert views on commercialization drivers and barriers. </w:t>
      </w:r>
      <w:r w:rsidRPr="003C6DBD">
        <w:rPr>
          <w:rFonts w:ascii="Times New Roman" w:hAnsi="Times New Roman" w:cs="Times New Roman"/>
          <w:i/>
          <w:iCs/>
          <w:color w:val="0D0D0D" w:themeColor="text1" w:themeTint="F2"/>
          <w:sz w:val="24"/>
          <w:szCs w:val="24"/>
        </w:rPr>
        <w:t>Biomass and Bioenergy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102</w:t>
      </w:r>
      <w:r w:rsidRPr="003C6DBD">
        <w:rPr>
          <w:rFonts w:ascii="Times New Roman" w:hAnsi="Times New Roman" w:cs="Times New Roman"/>
          <w:color w:val="0D0D0D" w:themeColor="text1" w:themeTint="F2"/>
          <w:sz w:val="24"/>
          <w:szCs w:val="24"/>
        </w:rPr>
        <w:t>, 52–61.</w:t>
      </w:r>
    </w:p>
    <w:p w14:paraId="780AE763"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COSO. (2004). Enterprise Risk Management-Integrated Framework. </w:t>
      </w:r>
      <w:r w:rsidRPr="003C6DBD">
        <w:rPr>
          <w:rFonts w:ascii="Times New Roman" w:hAnsi="Times New Roman" w:cs="Times New Roman"/>
          <w:i/>
          <w:iCs/>
          <w:color w:val="0D0D0D" w:themeColor="text1" w:themeTint="F2"/>
          <w:sz w:val="24"/>
          <w:szCs w:val="24"/>
        </w:rPr>
        <w:t>Committee of Sponsoring Organizations of the Treadway Commission, Durham, NC.</w:t>
      </w:r>
    </w:p>
    <w:p w14:paraId="555BC510"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Costantini, V., Crespi, F., Martini, C., &amp; Pennacchio, L. (2015). Demand-pull and technology-push public support for eco-innovation: The case of the biofuels sector. </w:t>
      </w:r>
      <w:r w:rsidRPr="003C6DBD">
        <w:rPr>
          <w:rFonts w:ascii="Times New Roman" w:hAnsi="Times New Roman" w:cs="Times New Roman"/>
          <w:i/>
          <w:iCs/>
          <w:color w:val="0D0D0D" w:themeColor="text1" w:themeTint="F2"/>
          <w:sz w:val="24"/>
          <w:szCs w:val="24"/>
        </w:rPr>
        <w:t>Research Policy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44</w:t>
      </w:r>
      <w:r w:rsidRPr="003C6DBD">
        <w:rPr>
          <w:rFonts w:ascii="Times New Roman" w:hAnsi="Times New Roman" w:cs="Times New Roman"/>
          <w:color w:val="0D0D0D" w:themeColor="text1" w:themeTint="F2"/>
          <w:sz w:val="24"/>
          <w:szCs w:val="24"/>
        </w:rPr>
        <w:t>(3), 577–595.</w:t>
      </w:r>
    </w:p>
    <w:p w14:paraId="3CA3D9A5"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CRS. (2022). </w:t>
      </w:r>
      <w:r w:rsidRPr="003C6DBD">
        <w:rPr>
          <w:rFonts w:ascii="Times New Roman" w:hAnsi="Times New Roman" w:cs="Times New Roman"/>
          <w:i/>
          <w:iCs/>
          <w:color w:val="0D0D0D" w:themeColor="text1" w:themeTint="F2"/>
          <w:sz w:val="24"/>
          <w:szCs w:val="24"/>
        </w:rPr>
        <w:t>The  Renewable Fuel Standard  (RFS): An Overview</w:t>
      </w:r>
      <w:r w:rsidRPr="003C6DBD">
        <w:rPr>
          <w:rFonts w:ascii="Times New Roman" w:hAnsi="Times New Roman" w:cs="Times New Roman"/>
          <w:color w:val="0D0D0D" w:themeColor="text1" w:themeTint="F2"/>
          <w:sz w:val="24"/>
          <w:szCs w:val="24"/>
        </w:rPr>
        <w:t>.</w:t>
      </w:r>
    </w:p>
    <w:p w14:paraId="74E158D1"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Demirgüç-Kunt, A., &amp; Maksimovic, V. (1998). Law, finance, and firm growth. </w:t>
      </w:r>
      <w:r w:rsidRPr="003C6DBD">
        <w:rPr>
          <w:rFonts w:ascii="Times New Roman" w:hAnsi="Times New Roman" w:cs="Times New Roman"/>
          <w:i/>
          <w:iCs/>
          <w:color w:val="0D0D0D" w:themeColor="text1" w:themeTint="F2"/>
          <w:sz w:val="24"/>
          <w:szCs w:val="24"/>
        </w:rPr>
        <w:t>The Journal of Finance</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53</w:t>
      </w:r>
      <w:r w:rsidRPr="003C6DBD">
        <w:rPr>
          <w:rFonts w:ascii="Times New Roman" w:hAnsi="Times New Roman" w:cs="Times New Roman"/>
          <w:color w:val="0D0D0D" w:themeColor="text1" w:themeTint="F2"/>
          <w:sz w:val="24"/>
          <w:szCs w:val="24"/>
        </w:rPr>
        <w:t>(6), 2107–2137.</w:t>
      </w:r>
    </w:p>
    <w:p w14:paraId="04194DE1"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Dodd, T., Orlitzky, M., &amp; Nelson, T. (2018). What stalls a renewable energy industry? Industry outlook of the aviation biofuels industry in Australia, Germany, and the USA. </w:t>
      </w:r>
      <w:r w:rsidRPr="003C6DBD">
        <w:rPr>
          <w:rFonts w:ascii="Times New Roman" w:hAnsi="Times New Roman" w:cs="Times New Roman"/>
          <w:i/>
          <w:iCs/>
          <w:color w:val="0D0D0D" w:themeColor="text1" w:themeTint="F2"/>
          <w:sz w:val="24"/>
          <w:szCs w:val="24"/>
        </w:rPr>
        <w:t>Energy Policy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123</w:t>
      </w:r>
      <w:r w:rsidRPr="003C6DBD">
        <w:rPr>
          <w:rFonts w:ascii="Times New Roman" w:hAnsi="Times New Roman" w:cs="Times New Roman"/>
          <w:color w:val="0D0D0D" w:themeColor="text1" w:themeTint="F2"/>
          <w:sz w:val="24"/>
          <w:szCs w:val="24"/>
        </w:rPr>
        <w:t>, 92–103.</w:t>
      </w:r>
    </w:p>
    <w:p w14:paraId="59CD5F44"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Ebadian, M., van Dyk, S., McMillan, J. D., &amp; Saddler, J. (2020). Biofuels policies that have encouraged their production and use: An international perspective. </w:t>
      </w:r>
      <w:r w:rsidRPr="003C6DBD">
        <w:rPr>
          <w:rFonts w:ascii="Times New Roman" w:hAnsi="Times New Roman" w:cs="Times New Roman"/>
          <w:i/>
          <w:iCs/>
          <w:color w:val="0D0D0D" w:themeColor="text1" w:themeTint="F2"/>
          <w:sz w:val="24"/>
          <w:szCs w:val="24"/>
        </w:rPr>
        <w:t>Energy Policy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147</w:t>
      </w:r>
      <w:r w:rsidRPr="003C6DBD">
        <w:rPr>
          <w:rFonts w:ascii="Times New Roman" w:hAnsi="Times New Roman" w:cs="Times New Roman"/>
          <w:color w:val="0D0D0D" w:themeColor="text1" w:themeTint="F2"/>
          <w:sz w:val="24"/>
          <w:szCs w:val="24"/>
        </w:rPr>
        <w:t>, 111906.</w:t>
      </w:r>
    </w:p>
    <w:p w14:paraId="36CCAC30"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Elleby, C., Domínguez, I. P., Adenauer, M., &amp; Genovese, G. (2020). Impacts of the COVID-19 pandemic on the global agricultural markets. </w:t>
      </w:r>
      <w:r w:rsidRPr="003C6DBD">
        <w:rPr>
          <w:rFonts w:ascii="Times New Roman" w:hAnsi="Times New Roman" w:cs="Times New Roman"/>
          <w:i/>
          <w:iCs/>
          <w:color w:val="0D0D0D" w:themeColor="text1" w:themeTint="F2"/>
          <w:sz w:val="24"/>
          <w:szCs w:val="24"/>
        </w:rPr>
        <w:t>Environmental and Resource Economics</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76</w:t>
      </w:r>
      <w:r w:rsidRPr="003C6DBD">
        <w:rPr>
          <w:rFonts w:ascii="Times New Roman" w:hAnsi="Times New Roman" w:cs="Times New Roman"/>
          <w:color w:val="0D0D0D" w:themeColor="text1" w:themeTint="F2"/>
          <w:sz w:val="24"/>
          <w:szCs w:val="24"/>
        </w:rPr>
        <w:t>(4), 1067–1079.</w:t>
      </w:r>
    </w:p>
    <w:p w14:paraId="64F68A46"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lastRenderedPageBreak/>
        <w:t xml:space="preserve">Ellinger, P. N. (2007). Assessing the financial performance and returns of ethanol production: A case study analysis. </w:t>
      </w:r>
      <w:r w:rsidRPr="003C6DBD">
        <w:rPr>
          <w:rFonts w:ascii="Times New Roman" w:hAnsi="Times New Roman" w:cs="Times New Roman"/>
          <w:i/>
          <w:iCs/>
          <w:color w:val="0D0D0D" w:themeColor="text1" w:themeTint="F2"/>
          <w:sz w:val="24"/>
          <w:szCs w:val="24"/>
        </w:rPr>
        <w:t>Corn-Based Ethanol in Illinois and the US: A Report from the Department of Agricultural and Consumer Economics, University of Illinois</w:t>
      </w:r>
      <w:r w:rsidRPr="003C6DBD">
        <w:rPr>
          <w:rFonts w:ascii="Times New Roman" w:hAnsi="Times New Roman" w:cs="Times New Roman"/>
          <w:color w:val="0D0D0D" w:themeColor="text1" w:themeTint="F2"/>
          <w:sz w:val="24"/>
          <w:szCs w:val="24"/>
        </w:rPr>
        <w:t>, 37–62.</w:t>
      </w:r>
    </w:p>
    <w:p w14:paraId="61237B4A"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Eranki, P. L., Bals, B. D., &amp; Dale, B. E. (2011). Advanced regional biomass processing depots: A key to the logistical challenges of the cellulosic biofuel industry. </w:t>
      </w:r>
      <w:r w:rsidRPr="003C6DBD">
        <w:rPr>
          <w:rFonts w:ascii="Times New Roman" w:hAnsi="Times New Roman" w:cs="Times New Roman"/>
          <w:i/>
          <w:iCs/>
          <w:color w:val="0D0D0D" w:themeColor="text1" w:themeTint="F2"/>
          <w:sz w:val="24"/>
          <w:szCs w:val="24"/>
        </w:rPr>
        <w:t>Biofuels, Bioproducts and Biorefining</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5</w:t>
      </w:r>
      <w:r w:rsidRPr="003C6DBD">
        <w:rPr>
          <w:rFonts w:ascii="Times New Roman" w:hAnsi="Times New Roman" w:cs="Times New Roman"/>
          <w:color w:val="0D0D0D" w:themeColor="text1" w:themeTint="F2"/>
          <w:sz w:val="24"/>
          <w:szCs w:val="24"/>
        </w:rPr>
        <w:t>(6), 621–630.</w:t>
      </w:r>
    </w:p>
    <w:p w14:paraId="293DBA40"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Garten, D., Greene, J., Niehaus, C., &amp; Aikath, D. (2017). SeQuential: Sustainability and Growth in the Biofuels Business. </w:t>
      </w:r>
      <w:r w:rsidRPr="003C6DBD">
        <w:rPr>
          <w:rFonts w:ascii="Times New Roman" w:hAnsi="Times New Roman" w:cs="Times New Roman"/>
          <w:i/>
          <w:iCs/>
          <w:color w:val="0D0D0D" w:themeColor="text1" w:themeTint="F2"/>
          <w:sz w:val="24"/>
          <w:szCs w:val="24"/>
        </w:rPr>
        <w:t>Business Faculty Publications and Presentations</w:t>
      </w:r>
      <w:r w:rsidRPr="003C6DBD">
        <w:rPr>
          <w:rFonts w:ascii="Times New Roman" w:hAnsi="Times New Roman" w:cs="Times New Roman"/>
          <w:color w:val="0D0D0D" w:themeColor="text1" w:themeTint="F2"/>
          <w:sz w:val="24"/>
          <w:szCs w:val="24"/>
        </w:rPr>
        <w:t>. https://pdxscholar.library.pdx.edu/busadmin_fac/55</w:t>
      </w:r>
    </w:p>
    <w:p w14:paraId="401EE019"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Ghoddusi, H. (2017). Price risks for biofuel producers in a deregulated market. </w:t>
      </w:r>
      <w:r w:rsidRPr="003C6DBD">
        <w:rPr>
          <w:rFonts w:ascii="Times New Roman" w:hAnsi="Times New Roman" w:cs="Times New Roman"/>
          <w:i/>
          <w:iCs/>
          <w:color w:val="0D0D0D" w:themeColor="text1" w:themeTint="F2"/>
          <w:sz w:val="24"/>
          <w:szCs w:val="24"/>
        </w:rPr>
        <w:t>Renewable Energy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114</w:t>
      </w:r>
      <w:r w:rsidRPr="003C6DBD">
        <w:rPr>
          <w:rFonts w:ascii="Times New Roman" w:hAnsi="Times New Roman" w:cs="Times New Roman"/>
          <w:color w:val="0D0D0D" w:themeColor="text1" w:themeTint="F2"/>
          <w:sz w:val="24"/>
          <w:szCs w:val="24"/>
        </w:rPr>
        <w:t>, 394–407.</w:t>
      </w:r>
    </w:p>
    <w:p w14:paraId="7B87F76B"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Goldmann, K., &amp; Zawadzki, A. (2022). Financial Sector Analysis of Companies in the Energy Industry Listed on the Warsaw Stock Exchange. </w:t>
      </w:r>
      <w:r w:rsidRPr="003C6DBD">
        <w:rPr>
          <w:rFonts w:ascii="Times New Roman" w:hAnsi="Times New Roman" w:cs="Times New Roman"/>
          <w:i/>
          <w:iCs/>
          <w:color w:val="0D0D0D" w:themeColor="text1" w:themeTint="F2"/>
          <w:sz w:val="24"/>
          <w:szCs w:val="24"/>
        </w:rPr>
        <w:t>Energies</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15</w:t>
      </w:r>
      <w:r w:rsidRPr="003C6DBD">
        <w:rPr>
          <w:rFonts w:ascii="Times New Roman" w:hAnsi="Times New Roman" w:cs="Times New Roman"/>
          <w:color w:val="0D0D0D" w:themeColor="text1" w:themeTint="F2"/>
          <w:sz w:val="24"/>
          <w:szCs w:val="24"/>
        </w:rPr>
        <w:t>(22), 8770.</w:t>
      </w:r>
    </w:p>
    <w:p w14:paraId="2A2BC9FF"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Hargadon, A. (2011). </w:t>
      </w:r>
      <w:r w:rsidRPr="003C6DBD">
        <w:rPr>
          <w:rFonts w:ascii="Times New Roman" w:hAnsi="Times New Roman" w:cs="Times New Roman"/>
          <w:i/>
          <w:iCs/>
          <w:color w:val="0D0D0D" w:themeColor="text1" w:themeTint="F2"/>
          <w:sz w:val="24"/>
          <w:szCs w:val="24"/>
        </w:rPr>
        <w:t>The business of innovating: Bringing low-carbon solutions to market</w:t>
      </w:r>
      <w:r w:rsidRPr="003C6DBD">
        <w:rPr>
          <w:rFonts w:ascii="Times New Roman" w:hAnsi="Times New Roman" w:cs="Times New Roman"/>
          <w:color w:val="0D0D0D" w:themeColor="text1" w:themeTint="F2"/>
          <w:sz w:val="24"/>
          <w:szCs w:val="24"/>
        </w:rPr>
        <w:t>. Pew Center on Global Climate Change.</w:t>
      </w:r>
    </w:p>
    <w:p w14:paraId="6CF0F481"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Hidayatno, A., Zagloel, Y. M., Purwanto, W. W., &amp; Sutrisno, A. (2012). Financial analysis of integrated biodiesel industry in Indonesia. </w:t>
      </w:r>
      <w:r w:rsidRPr="003C6DBD">
        <w:rPr>
          <w:rFonts w:ascii="Times New Roman" w:hAnsi="Times New Roman" w:cs="Times New Roman"/>
          <w:i/>
          <w:iCs/>
          <w:color w:val="0D0D0D" w:themeColor="text1" w:themeTint="F2"/>
          <w:sz w:val="24"/>
          <w:szCs w:val="24"/>
        </w:rPr>
        <w:t>International Journal of Industrial and Systems Engineering</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12</w:t>
      </w:r>
      <w:r w:rsidRPr="003C6DBD">
        <w:rPr>
          <w:rFonts w:ascii="Times New Roman" w:hAnsi="Times New Roman" w:cs="Times New Roman"/>
          <w:color w:val="0D0D0D" w:themeColor="text1" w:themeTint="F2"/>
          <w:sz w:val="24"/>
          <w:szCs w:val="24"/>
        </w:rPr>
        <w:t>(1), 29–41.</w:t>
      </w:r>
    </w:p>
    <w:p w14:paraId="72E0F3E5"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Huang, D., Zhou, H., &amp; Lin, L. (2012). Biodiesel: An alternative to conventional fuel. </w:t>
      </w:r>
      <w:r w:rsidRPr="003C6DBD">
        <w:rPr>
          <w:rFonts w:ascii="Times New Roman" w:hAnsi="Times New Roman" w:cs="Times New Roman"/>
          <w:i/>
          <w:iCs/>
          <w:color w:val="0D0D0D" w:themeColor="text1" w:themeTint="F2"/>
          <w:sz w:val="24"/>
          <w:szCs w:val="24"/>
        </w:rPr>
        <w:t>Energy Procedia</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16</w:t>
      </w:r>
      <w:r w:rsidRPr="003C6DBD">
        <w:rPr>
          <w:rFonts w:ascii="Times New Roman" w:hAnsi="Times New Roman" w:cs="Times New Roman"/>
          <w:color w:val="0D0D0D" w:themeColor="text1" w:themeTint="F2"/>
          <w:sz w:val="24"/>
          <w:szCs w:val="24"/>
        </w:rPr>
        <w:t>, 1874–1885.</w:t>
      </w:r>
    </w:p>
    <w:p w14:paraId="3AF97BEC"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Igliński, B., Iglińska, A., Cichosz, M., Kujawski, W., &amp; Buczkowski, R. (2016). Renewable energy production in the \Lódzkie Voivodeship. The PEST analysis of the RES in the voivodeship and in Poland. </w:t>
      </w:r>
      <w:r w:rsidRPr="003C6DBD">
        <w:rPr>
          <w:rFonts w:ascii="Times New Roman" w:hAnsi="Times New Roman" w:cs="Times New Roman"/>
          <w:i/>
          <w:iCs/>
          <w:color w:val="0D0D0D" w:themeColor="text1" w:themeTint="F2"/>
          <w:sz w:val="24"/>
          <w:szCs w:val="24"/>
        </w:rPr>
        <w:t>Renewable and Sustainable Energy Reviews</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58</w:t>
      </w:r>
      <w:r w:rsidRPr="003C6DBD">
        <w:rPr>
          <w:rFonts w:ascii="Times New Roman" w:hAnsi="Times New Roman" w:cs="Times New Roman"/>
          <w:color w:val="0D0D0D" w:themeColor="text1" w:themeTint="F2"/>
          <w:sz w:val="24"/>
          <w:szCs w:val="24"/>
        </w:rPr>
        <w:t>, 737–750.</w:t>
      </w:r>
    </w:p>
    <w:p w14:paraId="1013DD96"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lastRenderedPageBreak/>
        <w:t xml:space="preserve">IPCC. (2014). </w:t>
      </w:r>
      <w:r w:rsidRPr="003C6DBD">
        <w:rPr>
          <w:rFonts w:ascii="Times New Roman" w:hAnsi="Times New Roman" w:cs="Times New Roman"/>
          <w:i/>
          <w:iCs/>
          <w:color w:val="0D0D0D" w:themeColor="text1" w:themeTint="F2"/>
          <w:sz w:val="24"/>
          <w:szCs w:val="24"/>
        </w:rPr>
        <w:t>IPCC. Climate Change 2014: Mitigation of Climate Change. In: Edenhofer O, Pichs- Madruga R, Sokona Y, Farahani E, Kadner S, Seyboth K, Adler A, Baum I, Brunner S, Eickemeier P, Kriemann B, Savolainen J, Schlömer S, von Stechow C, Zwickel T, Minx JC, editor. Contribution of working group III to the fifth assessment report of the intergovernmental panel on climate change. Cambridge, United Kingdom and New York, NY, USA: Cambridge University Press; 2014. - Google Search</w:t>
      </w:r>
      <w:r w:rsidRPr="003C6DBD">
        <w:rPr>
          <w:rFonts w:ascii="Times New Roman" w:hAnsi="Times New Roman" w:cs="Times New Roman"/>
          <w:color w:val="0D0D0D" w:themeColor="text1" w:themeTint="F2"/>
          <w:sz w:val="24"/>
          <w:szCs w:val="24"/>
        </w:rPr>
        <w:t>. https://www.ipcc.ch/site/assets/uploads/2018/02/ipcc_wg3_ar5_frontmatter.pdf</w:t>
      </w:r>
    </w:p>
    <w:p w14:paraId="65287697"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Irwin, S. (2020). Ethanol Production Profits during the COVID Pandemic. </w:t>
      </w:r>
      <w:r w:rsidRPr="003C6DBD">
        <w:rPr>
          <w:rFonts w:ascii="Times New Roman" w:hAnsi="Times New Roman" w:cs="Times New Roman"/>
          <w:i/>
          <w:iCs/>
          <w:color w:val="0D0D0D" w:themeColor="text1" w:themeTint="F2"/>
          <w:sz w:val="24"/>
          <w:szCs w:val="24"/>
        </w:rPr>
        <w:t>Farmdoc Daily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10</w:t>
      </w:r>
      <w:r w:rsidRPr="003C6DBD">
        <w:rPr>
          <w:rFonts w:ascii="Times New Roman" w:hAnsi="Times New Roman" w:cs="Times New Roman"/>
          <w:color w:val="0D0D0D" w:themeColor="text1" w:themeTint="F2"/>
          <w:sz w:val="24"/>
          <w:szCs w:val="24"/>
        </w:rPr>
        <w:t>(148).</w:t>
      </w:r>
    </w:p>
    <w:p w14:paraId="5C5A7A69"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Irwin, S. (2021a). Biodiesel Production Profits in 2020: A Real Rollercoaster Ride. </w:t>
      </w:r>
      <w:r w:rsidRPr="003C6DBD">
        <w:rPr>
          <w:rFonts w:ascii="Times New Roman" w:hAnsi="Times New Roman" w:cs="Times New Roman"/>
          <w:i/>
          <w:iCs/>
          <w:color w:val="0D0D0D" w:themeColor="text1" w:themeTint="F2"/>
          <w:sz w:val="24"/>
          <w:szCs w:val="24"/>
        </w:rPr>
        <w:t>Farmdoc Daily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11</w:t>
      </w:r>
      <w:r w:rsidRPr="003C6DBD">
        <w:rPr>
          <w:rFonts w:ascii="Times New Roman" w:hAnsi="Times New Roman" w:cs="Times New Roman"/>
          <w:color w:val="0D0D0D" w:themeColor="text1" w:themeTint="F2"/>
          <w:sz w:val="24"/>
          <w:szCs w:val="24"/>
        </w:rPr>
        <w:t>(17).</w:t>
      </w:r>
    </w:p>
    <w:p w14:paraId="1616FC24"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Irwin, S. (2021b). Ethanol Production Profits in 2020: A Year Like No Other. </w:t>
      </w:r>
      <w:r w:rsidRPr="003C6DBD">
        <w:rPr>
          <w:rFonts w:ascii="Times New Roman" w:hAnsi="Times New Roman" w:cs="Times New Roman"/>
          <w:i/>
          <w:iCs/>
          <w:color w:val="0D0D0D" w:themeColor="text1" w:themeTint="F2"/>
          <w:sz w:val="24"/>
          <w:szCs w:val="24"/>
        </w:rPr>
        <w:t>Farmdoc Daily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11</w:t>
      </w:r>
      <w:r w:rsidRPr="003C6DBD">
        <w:rPr>
          <w:rFonts w:ascii="Times New Roman" w:hAnsi="Times New Roman" w:cs="Times New Roman"/>
          <w:color w:val="0D0D0D" w:themeColor="text1" w:themeTint="F2"/>
          <w:sz w:val="24"/>
          <w:szCs w:val="24"/>
        </w:rPr>
        <w:t>(13).</w:t>
      </w:r>
    </w:p>
    <w:p w14:paraId="0AD3BD6F"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Jeswani, H. K., Chilvers, A., &amp; Azapagic, A. (2020). Environmental sustainability of biofuels: A review. </w:t>
      </w:r>
      <w:r w:rsidRPr="003C6DBD">
        <w:rPr>
          <w:rFonts w:ascii="Times New Roman" w:hAnsi="Times New Roman" w:cs="Times New Roman"/>
          <w:i/>
          <w:iCs/>
          <w:color w:val="0D0D0D" w:themeColor="text1" w:themeTint="F2"/>
          <w:sz w:val="24"/>
          <w:szCs w:val="24"/>
        </w:rPr>
        <w:t>Proceedings of the Royal Society A</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476</w:t>
      </w:r>
      <w:r w:rsidRPr="003C6DBD">
        <w:rPr>
          <w:rFonts w:ascii="Times New Roman" w:hAnsi="Times New Roman" w:cs="Times New Roman"/>
          <w:color w:val="0D0D0D" w:themeColor="text1" w:themeTint="F2"/>
          <w:sz w:val="24"/>
          <w:szCs w:val="24"/>
        </w:rPr>
        <w:t>(2243), 20200351.</w:t>
      </w:r>
    </w:p>
    <w:p w14:paraId="78170252"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Katchova, A. L., &amp; Enlow, S. J. (2013). Financial performance of publicly-traded agribusinesses. </w:t>
      </w:r>
      <w:r w:rsidRPr="003C6DBD">
        <w:rPr>
          <w:rFonts w:ascii="Times New Roman" w:hAnsi="Times New Roman" w:cs="Times New Roman"/>
          <w:i/>
          <w:iCs/>
          <w:color w:val="0D0D0D" w:themeColor="text1" w:themeTint="F2"/>
          <w:sz w:val="24"/>
          <w:szCs w:val="24"/>
        </w:rPr>
        <w:t>Agricultural Finance Review</w:t>
      </w:r>
      <w:r w:rsidRPr="003C6DBD">
        <w:rPr>
          <w:rFonts w:ascii="Times New Roman" w:hAnsi="Times New Roman" w:cs="Times New Roman"/>
          <w:color w:val="0D0D0D" w:themeColor="text1" w:themeTint="F2"/>
          <w:sz w:val="24"/>
          <w:szCs w:val="24"/>
        </w:rPr>
        <w:t>.</w:t>
      </w:r>
    </w:p>
    <w:p w14:paraId="25C0EA11"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Kesan, J. P., Ohyama, A., &amp; Yang, H.-S. (2009). An Economic Evaluation of the Renewable Fuel Standard (RFS) Biofuel Program: An Industrial Policy Approach. </w:t>
      </w:r>
      <w:r w:rsidRPr="003C6DBD">
        <w:rPr>
          <w:rFonts w:ascii="Times New Roman" w:hAnsi="Times New Roman" w:cs="Times New Roman"/>
          <w:i/>
          <w:iCs/>
          <w:color w:val="0D0D0D" w:themeColor="text1" w:themeTint="F2"/>
          <w:sz w:val="24"/>
          <w:szCs w:val="24"/>
        </w:rPr>
        <w:t>U Illinois Law &amp; Economics Research Paper No. LE09-035, Illinois Public Law Research Paper</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09–11</w:t>
      </w:r>
      <w:r w:rsidRPr="003C6DBD">
        <w:rPr>
          <w:rFonts w:ascii="Times New Roman" w:hAnsi="Times New Roman" w:cs="Times New Roman"/>
          <w:color w:val="0D0D0D" w:themeColor="text1" w:themeTint="F2"/>
          <w:sz w:val="24"/>
          <w:szCs w:val="24"/>
        </w:rPr>
        <w:t>.</w:t>
      </w:r>
    </w:p>
    <w:p w14:paraId="74E065C4"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Khanal, A. R., Mishra, A. K., &amp; Mottaleb, Kh. A. (2014). Impact of mergers and acquisitions on stock prices: The U.S. ethanol-based biofuel industry. </w:t>
      </w:r>
      <w:r w:rsidRPr="003C6DBD">
        <w:rPr>
          <w:rFonts w:ascii="Times New Roman" w:hAnsi="Times New Roman" w:cs="Times New Roman"/>
          <w:i/>
          <w:iCs/>
          <w:color w:val="0D0D0D" w:themeColor="text1" w:themeTint="F2"/>
          <w:sz w:val="24"/>
          <w:szCs w:val="24"/>
        </w:rPr>
        <w:t>Biomass and Bioenergy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61</w:t>
      </w:r>
      <w:r w:rsidRPr="003C6DBD">
        <w:rPr>
          <w:rFonts w:ascii="Times New Roman" w:hAnsi="Times New Roman" w:cs="Times New Roman"/>
          <w:color w:val="0D0D0D" w:themeColor="text1" w:themeTint="F2"/>
          <w:sz w:val="24"/>
          <w:szCs w:val="24"/>
        </w:rPr>
        <w:t>, 138–145. https://doi.org/10.1016/j.biombioe.2013.12.004</w:t>
      </w:r>
    </w:p>
    <w:p w14:paraId="5FACF701"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lastRenderedPageBreak/>
        <w:t xml:space="preserve">Kolios, A., &amp; Read, G. (2013). A political, economic, social, technology, legal and environmental (PESTLE) approach for risk identification of the tidal industry in the United Kingdom. </w:t>
      </w:r>
      <w:r w:rsidRPr="003C6DBD">
        <w:rPr>
          <w:rFonts w:ascii="Times New Roman" w:hAnsi="Times New Roman" w:cs="Times New Roman"/>
          <w:i/>
          <w:iCs/>
          <w:color w:val="0D0D0D" w:themeColor="text1" w:themeTint="F2"/>
          <w:sz w:val="24"/>
          <w:szCs w:val="24"/>
        </w:rPr>
        <w:t>Energies</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6</w:t>
      </w:r>
      <w:r w:rsidRPr="003C6DBD">
        <w:rPr>
          <w:rFonts w:ascii="Times New Roman" w:hAnsi="Times New Roman" w:cs="Times New Roman"/>
          <w:color w:val="0D0D0D" w:themeColor="text1" w:themeTint="F2"/>
          <w:sz w:val="24"/>
          <w:szCs w:val="24"/>
        </w:rPr>
        <w:t>(10), 5023–5045.</w:t>
      </w:r>
    </w:p>
    <w:p w14:paraId="098CC34C"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Lewis, C., &amp; Young, S. (2019). Fad or future? Automated analysis of financial text and its implications for corporate reporting. </w:t>
      </w:r>
      <w:r w:rsidRPr="003C6DBD">
        <w:rPr>
          <w:rFonts w:ascii="Times New Roman" w:hAnsi="Times New Roman" w:cs="Times New Roman"/>
          <w:i/>
          <w:iCs/>
          <w:color w:val="0D0D0D" w:themeColor="text1" w:themeTint="F2"/>
          <w:sz w:val="24"/>
          <w:szCs w:val="24"/>
        </w:rPr>
        <w:t>Accounting and Business Research</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49</w:t>
      </w:r>
      <w:r w:rsidRPr="003C6DBD">
        <w:rPr>
          <w:rFonts w:ascii="Times New Roman" w:hAnsi="Times New Roman" w:cs="Times New Roman"/>
          <w:color w:val="0D0D0D" w:themeColor="text1" w:themeTint="F2"/>
          <w:sz w:val="24"/>
          <w:szCs w:val="24"/>
        </w:rPr>
        <w:t>(5), 587–615.</w:t>
      </w:r>
    </w:p>
    <w:p w14:paraId="782CFD98"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Lynd, L. R. (2017). The grand challenge of cellulosic biofuels. </w:t>
      </w:r>
      <w:r w:rsidRPr="003C6DBD">
        <w:rPr>
          <w:rFonts w:ascii="Times New Roman" w:hAnsi="Times New Roman" w:cs="Times New Roman"/>
          <w:i/>
          <w:iCs/>
          <w:color w:val="0D0D0D" w:themeColor="text1" w:themeTint="F2"/>
          <w:sz w:val="24"/>
          <w:szCs w:val="24"/>
        </w:rPr>
        <w:t>Nature Biotechnology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35</w:t>
      </w:r>
      <w:r w:rsidRPr="003C6DBD">
        <w:rPr>
          <w:rFonts w:ascii="Times New Roman" w:hAnsi="Times New Roman" w:cs="Times New Roman"/>
          <w:color w:val="0D0D0D" w:themeColor="text1" w:themeTint="F2"/>
          <w:sz w:val="24"/>
          <w:szCs w:val="24"/>
        </w:rPr>
        <w:t>(10), 912–915.</w:t>
      </w:r>
    </w:p>
    <w:p w14:paraId="710998E4"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Mariacaa, C., &amp; Liorb, N. (2010). Risks Associated with Increasing the Harvest Area for the Production of Brazilian Ethanol Fuel. </w:t>
      </w:r>
      <w:r w:rsidRPr="003C6DBD">
        <w:rPr>
          <w:rFonts w:ascii="Times New Roman" w:hAnsi="Times New Roman" w:cs="Times New Roman"/>
          <w:i/>
          <w:iCs/>
          <w:color w:val="0D0D0D" w:themeColor="text1" w:themeTint="F2"/>
          <w:sz w:val="24"/>
          <w:szCs w:val="24"/>
        </w:rPr>
        <w:t>ECOS</w:t>
      </w:r>
      <w:r w:rsidRPr="003C6DBD">
        <w:rPr>
          <w:rFonts w:ascii="Times New Roman" w:hAnsi="Times New Roman" w:cs="Times New Roman"/>
          <w:color w:val="0D0D0D" w:themeColor="text1" w:themeTint="F2"/>
          <w:sz w:val="24"/>
          <w:szCs w:val="24"/>
        </w:rPr>
        <w:t>.</w:t>
      </w:r>
    </w:p>
    <w:p w14:paraId="183B5998"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Markel, E., Sims, C., &amp; English, B. C. (2018). Policy uncertainty and the optimal investment decisions of second-generation biofuel producers. </w:t>
      </w:r>
      <w:r w:rsidRPr="003C6DBD">
        <w:rPr>
          <w:rFonts w:ascii="Times New Roman" w:hAnsi="Times New Roman" w:cs="Times New Roman"/>
          <w:i/>
          <w:iCs/>
          <w:color w:val="0D0D0D" w:themeColor="text1" w:themeTint="F2"/>
          <w:sz w:val="24"/>
          <w:szCs w:val="24"/>
        </w:rPr>
        <w:t>Energy Economics</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76</w:t>
      </w:r>
      <w:r w:rsidRPr="003C6DBD">
        <w:rPr>
          <w:rFonts w:ascii="Times New Roman" w:hAnsi="Times New Roman" w:cs="Times New Roman"/>
          <w:color w:val="0D0D0D" w:themeColor="text1" w:themeTint="F2"/>
          <w:sz w:val="24"/>
          <w:szCs w:val="24"/>
        </w:rPr>
        <w:t>, 89–100.</w:t>
      </w:r>
    </w:p>
    <w:p w14:paraId="37E8CBF3"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Martinelli, L. A., &amp; Filoso, S. (2008). Expansion of sugarcane ethanol production in Brazil: Environmental and social challenges. </w:t>
      </w:r>
      <w:r w:rsidRPr="003C6DBD">
        <w:rPr>
          <w:rFonts w:ascii="Times New Roman" w:hAnsi="Times New Roman" w:cs="Times New Roman"/>
          <w:i/>
          <w:iCs/>
          <w:color w:val="0D0D0D" w:themeColor="text1" w:themeTint="F2"/>
          <w:sz w:val="24"/>
          <w:szCs w:val="24"/>
        </w:rPr>
        <w:t>Ecological Applications</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18</w:t>
      </w:r>
      <w:r w:rsidRPr="003C6DBD">
        <w:rPr>
          <w:rFonts w:ascii="Times New Roman" w:hAnsi="Times New Roman" w:cs="Times New Roman"/>
          <w:color w:val="0D0D0D" w:themeColor="text1" w:themeTint="F2"/>
          <w:sz w:val="24"/>
          <w:szCs w:val="24"/>
        </w:rPr>
        <w:t>(4), 885–898.</w:t>
      </w:r>
    </w:p>
    <w:p w14:paraId="78E4F7CD"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Massey Jr, F. J. (1951). The Kolmogorov-Smirnov test for goodness of fit. </w:t>
      </w:r>
      <w:r w:rsidRPr="003C6DBD">
        <w:rPr>
          <w:rFonts w:ascii="Times New Roman" w:hAnsi="Times New Roman" w:cs="Times New Roman"/>
          <w:i/>
          <w:iCs/>
          <w:color w:val="0D0D0D" w:themeColor="text1" w:themeTint="F2"/>
          <w:sz w:val="24"/>
          <w:szCs w:val="24"/>
        </w:rPr>
        <w:t>Journal of the American Statistical Association</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46</w:t>
      </w:r>
      <w:r w:rsidRPr="003C6DBD">
        <w:rPr>
          <w:rFonts w:ascii="Times New Roman" w:hAnsi="Times New Roman" w:cs="Times New Roman"/>
          <w:color w:val="0D0D0D" w:themeColor="text1" w:themeTint="F2"/>
          <w:sz w:val="24"/>
          <w:szCs w:val="24"/>
        </w:rPr>
        <w:t>(253), 68–78.</w:t>
      </w:r>
    </w:p>
    <w:p w14:paraId="03035B1A"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McCarty, T., &amp; Sesmero, J. (2015). Uncertainty, irreversibility, and investment in second-generation biofuels. </w:t>
      </w:r>
      <w:r w:rsidRPr="003C6DBD">
        <w:rPr>
          <w:rFonts w:ascii="Times New Roman" w:hAnsi="Times New Roman" w:cs="Times New Roman"/>
          <w:i/>
          <w:iCs/>
          <w:color w:val="0D0D0D" w:themeColor="text1" w:themeTint="F2"/>
          <w:sz w:val="24"/>
          <w:szCs w:val="24"/>
        </w:rPr>
        <w:t>BioEnergy Research</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8</w:t>
      </w:r>
      <w:r w:rsidRPr="003C6DBD">
        <w:rPr>
          <w:rFonts w:ascii="Times New Roman" w:hAnsi="Times New Roman" w:cs="Times New Roman"/>
          <w:color w:val="0D0D0D" w:themeColor="text1" w:themeTint="F2"/>
          <w:sz w:val="24"/>
          <w:szCs w:val="24"/>
        </w:rPr>
        <w:t>(2), 675–687.</w:t>
      </w:r>
    </w:p>
    <w:p w14:paraId="32CAB004"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McGarvey, E., &amp; Tyner, W. E. (2018). A stochastic techno-economic analysis of the catalytic hydrothermolysis aviation biofuel technology. </w:t>
      </w:r>
      <w:r w:rsidRPr="003C6DBD">
        <w:rPr>
          <w:rFonts w:ascii="Times New Roman" w:hAnsi="Times New Roman" w:cs="Times New Roman"/>
          <w:i/>
          <w:iCs/>
          <w:color w:val="0D0D0D" w:themeColor="text1" w:themeTint="F2"/>
          <w:sz w:val="24"/>
          <w:szCs w:val="24"/>
        </w:rPr>
        <w:t>Biofuels, Bioproducts and Biorefining</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12</w:t>
      </w:r>
      <w:r w:rsidRPr="003C6DBD">
        <w:rPr>
          <w:rFonts w:ascii="Times New Roman" w:hAnsi="Times New Roman" w:cs="Times New Roman"/>
          <w:color w:val="0D0D0D" w:themeColor="text1" w:themeTint="F2"/>
          <w:sz w:val="24"/>
          <w:szCs w:val="24"/>
        </w:rPr>
        <w:t>(3), 474–484.</w:t>
      </w:r>
    </w:p>
    <w:p w14:paraId="24CF4C71"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McKnight, P. E., &amp; Najab, J. (2010). Mann-Whitney U Test. </w:t>
      </w:r>
      <w:r w:rsidRPr="003C6DBD">
        <w:rPr>
          <w:rFonts w:ascii="Times New Roman" w:hAnsi="Times New Roman" w:cs="Times New Roman"/>
          <w:i/>
          <w:iCs/>
          <w:color w:val="0D0D0D" w:themeColor="text1" w:themeTint="F2"/>
          <w:sz w:val="24"/>
          <w:szCs w:val="24"/>
        </w:rPr>
        <w:t>The Corsini Encyclopedia of Psychology</w:t>
      </w:r>
      <w:r w:rsidRPr="003C6DBD">
        <w:rPr>
          <w:rFonts w:ascii="Times New Roman" w:hAnsi="Times New Roman" w:cs="Times New Roman"/>
          <w:color w:val="0D0D0D" w:themeColor="text1" w:themeTint="F2"/>
          <w:sz w:val="24"/>
          <w:szCs w:val="24"/>
        </w:rPr>
        <w:t>, 1–1.</w:t>
      </w:r>
    </w:p>
    <w:p w14:paraId="3FB4645E"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lastRenderedPageBreak/>
        <w:t xml:space="preserve">Miller, N., Christensen, A., Park, J. E., Baral, A., Malins, C., &amp; Searle, S. (2013). Measuring and addressing investment risk in the second-generation biofuels industry. </w:t>
      </w:r>
      <w:r w:rsidRPr="003C6DBD">
        <w:rPr>
          <w:rFonts w:ascii="Times New Roman" w:hAnsi="Times New Roman" w:cs="Times New Roman"/>
          <w:i/>
          <w:iCs/>
          <w:color w:val="0D0D0D" w:themeColor="text1" w:themeTint="F2"/>
          <w:sz w:val="24"/>
          <w:szCs w:val="24"/>
        </w:rPr>
        <w:t>The International Council on Clean Transportation: Washington, DC</w:t>
      </w:r>
      <w:r w:rsidRPr="003C6DBD">
        <w:rPr>
          <w:rFonts w:ascii="Times New Roman" w:hAnsi="Times New Roman" w:cs="Times New Roman"/>
          <w:color w:val="0D0D0D" w:themeColor="text1" w:themeTint="F2"/>
          <w:sz w:val="24"/>
          <w:szCs w:val="24"/>
        </w:rPr>
        <w:t>.</w:t>
      </w:r>
    </w:p>
    <w:p w14:paraId="067B3169"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Muhammad, S., &amp; Ali, G. (2018). The relationship between fundamental analysis and stock returns based on the panel data analysis; evidence from karachi stock exchange (kse). </w:t>
      </w:r>
      <w:r w:rsidRPr="003C6DBD">
        <w:rPr>
          <w:rFonts w:ascii="Times New Roman" w:hAnsi="Times New Roman" w:cs="Times New Roman"/>
          <w:i/>
          <w:iCs/>
          <w:color w:val="0D0D0D" w:themeColor="text1" w:themeTint="F2"/>
          <w:sz w:val="24"/>
          <w:szCs w:val="24"/>
        </w:rPr>
        <w:t>Research Journal of Finance and Accounting</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9</w:t>
      </w:r>
      <w:r w:rsidRPr="003C6DBD">
        <w:rPr>
          <w:rFonts w:ascii="Times New Roman" w:hAnsi="Times New Roman" w:cs="Times New Roman"/>
          <w:color w:val="0D0D0D" w:themeColor="text1" w:themeTint="F2"/>
          <w:sz w:val="24"/>
          <w:szCs w:val="24"/>
        </w:rPr>
        <w:t>(3), 84–96.</w:t>
      </w:r>
    </w:p>
    <w:p w14:paraId="3F2332A8"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Mungodla, S. G., Linganiso, L. Z., Mlambo, S., &amp; Motaung, T. (2019). Economic and technical feasibility studies: Technologies for second generation biofuels. </w:t>
      </w:r>
      <w:r w:rsidRPr="003C6DBD">
        <w:rPr>
          <w:rFonts w:ascii="Times New Roman" w:hAnsi="Times New Roman" w:cs="Times New Roman"/>
          <w:i/>
          <w:iCs/>
          <w:color w:val="0D0D0D" w:themeColor="text1" w:themeTint="F2"/>
          <w:sz w:val="24"/>
          <w:szCs w:val="24"/>
        </w:rPr>
        <w:t>Journal of Engineering, Design and Technology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17</w:t>
      </w:r>
      <w:r w:rsidRPr="003C6DBD">
        <w:rPr>
          <w:rFonts w:ascii="Times New Roman" w:hAnsi="Times New Roman" w:cs="Times New Roman"/>
          <w:color w:val="0D0D0D" w:themeColor="text1" w:themeTint="F2"/>
          <w:sz w:val="24"/>
          <w:szCs w:val="24"/>
        </w:rPr>
        <w:t>(4), 670–704.</w:t>
      </w:r>
    </w:p>
    <w:p w14:paraId="445B22A2"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NAICS. (2017). </w:t>
      </w:r>
      <w:r w:rsidRPr="003C6DBD">
        <w:rPr>
          <w:rFonts w:ascii="Times New Roman" w:hAnsi="Times New Roman" w:cs="Times New Roman"/>
          <w:i/>
          <w:iCs/>
          <w:color w:val="0D0D0D" w:themeColor="text1" w:themeTint="F2"/>
          <w:sz w:val="24"/>
          <w:szCs w:val="24"/>
        </w:rPr>
        <w:t>North American Industry Classification System (NAICS)</w:t>
      </w:r>
      <w:r w:rsidRPr="003C6DBD">
        <w:rPr>
          <w:rFonts w:ascii="Times New Roman" w:hAnsi="Times New Roman" w:cs="Times New Roman"/>
          <w:color w:val="0D0D0D" w:themeColor="text1" w:themeTint="F2"/>
          <w:sz w:val="24"/>
          <w:szCs w:val="24"/>
        </w:rPr>
        <w:t>.</w:t>
      </w:r>
    </w:p>
    <w:p w14:paraId="774C8541"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Ng, J.-H., Tan, J. A., Lim, W. L., Chong, C. T., &amp; Chong, W. T. (2017). </w:t>
      </w:r>
      <w:r w:rsidRPr="003C6DBD">
        <w:rPr>
          <w:rFonts w:ascii="Times New Roman" w:hAnsi="Times New Roman" w:cs="Times New Roman"/>
          <w:i/>
          <w:iCs/>
          <w:color w:val="0D0D0D" w:themeColor="text1" w:themeTint="F2"/>
          <w:sz w:val="24"/>
          <w:szCs w:val="24"/>
        </w:rPr>
        <w:t>On the economic feasibility of the first, second and third generations biodiesel feedstock</w:t>
      </w:r>
      <w:r w:rsidRPr="003C6DBD">
        <w:rPr>
          <w:rFonts w:ascii="Times New Roman" w:hAnsi="Times New Roman" w:cs="Times New Roman"/>
          <w:color w:val="0D0D0D" w:themeColor="text1" w:themeTint="F2"/>
          <w:sz w:val="24"/>
          <w:szCs w:val="24"/>
        </w:rPr>
        <w:t>. 142–147. https://doi.org/10.1109/PGSRET.2017.8251817</w:t>
      </w:r>
    </w:p>
    <w:p w14:paraId="4DA0F7BD"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Nunes, L. J. R., Matias, J. C. O., &amp; Catalão, J. P. S. (2015). Analysis of the use of biomass as an energy alternative for the Portuguese textile dyeing industry. </w:t>
      </w:r>
      <w:r w:rsidRPr="003C6DBD">
        <w:rPr>
          <w:rFonts w:ascii="Times New Roman" w:hAnsi="Times New Roman" w:cs="Times New Roman"/>
          <w:i/>
          <w:iCs/>
          <w:color w:val="0D0D0D" w:themeColor="text1" w:themeTint="F2"/>
          <w:sz w:val="24"/>
          <w:szCs w:val="24"/>
        </w:rPr>
        <w:t>Energy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84</w:t>
      </w:r>
      <w:r w:rsidRPr="003C6DBD">
        <w:rPr>
          <w:rFonts w:ascii="Times New Roman" w:hAnsi="Times New Roman" w:cs="Times New Roman"/>
          <w:color w:val="0D0D0D" w:themeColor="text1" w:themeTint="F2"/>
          <w:sz w:val="24"/>
          <w:szCs w:val="24"/>
        </w:rPr>
        <w:t>, 503–508.</w:t>
      </w:r>
    </w:p>
    <w:p w14:paraId="334CE182"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Peng, L., Fu, D., Chu, H., Wang, Z., &amp; Qi, H. (2020). Biofuel production from microalgae: A review. </w:t>
      </w:r>
      <w:r w:rsidRPr="003C6DBD">
        <w:rPr>
          <w:rFonts w:ascii="Times New Roman" w:hAnsi="Times New Roman" w:cs="Times New Roman"/>
          <w:i/>
          <w:iCs/>
          <w:color w:val="0D0D0D" w:themeColor="text1" w:themeTint="F2"/>
          <w:sz w:val="24"/>
          <w:szCs w:val="24"/>
        </w:rPr>
        <w:t>Environmental Chemistry Letters</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18</w:t>
      </w:r>
      <w:r w:rsidRPr="003C6DBD">
        <w:rPr>
          <w:rFonts w:ascii="Times New Roman" w:hAnsi="Times New Roman" w:cs="Times New Roman"/>
          <w:color w:val="0D0D0D" w:themeColor="text1" w:themeTint="F2"/>
          <w:sz w:val="24"/>
          <w:szCs w:val="24"/>
        </w:rPr>
        <w:t>(2), 285–297.</w:t>
      </w:r>
    </w:p>
    <w:p w14:paraId="2773F585"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Peplow, M. (2014). Cellulosic ethanol fights for life. </w:t>
      </w:r>
      <w:r w:rsidRPr="003C6DBD">
        <w:rPr>
          <w:rFonts w:ascii="Times New Roman" w:hAnsi="Times New Roman" w:cs="Times New Roman"/>
          <w:i/>
          <w:iCs/>
          <w:color w:val="0D0D0D" w:themeColor="text1" w:themeTint="F2"/>
          <w:sz w:val="24"/>
          <w:szCs w:val="24"/>
        </w:rPr>
        <w:t>Nature</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507</w:t>
      </w:r>
      <w:r w:rsidRPr="003C6DBD">
        <w:rPr>
          <w:rFonts w:ascii="Times New Roman" w:hAnsi="Times New Roman" w:cs="Times New Roman"/>
          <w:color w:val="0D0D0D" w:themeColor="text1" w:themeTint="F2"/>
          <w:sz w:val="24"/>
          <w:szCs w:val="24"/>
        </w:rPr>
        <w:t>(7491), 152.</w:t>
      </w:r>
    </w:p>
    <w:p w14:paraId="269EB91F"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Petersen, J.-E. (2008). Energy production with agricultural biomass: Environmental implications and analytical challenges. </w:t>
      </w:r>
      <w:r w:rsidRPr="003C6DBD">
        <w:rPr>
          <w:rFonts w:ascii="Times New Roman" w:hAnsi="Times New Roman" w:cs="Times New Roman"/>
          <w:i/>
          <w:iCs/>
          <w:color w:val="0D0D0D" w:themeColor="text1" w:themeTint="F2"/>
          <w:sz w:val="24"/>
          <w:szCs w:val="24"/>
        </w:rPr>
        <w:t>European Review of Agricultural Economics</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35</w:t>
      </w:r>
      <w:r w:rsidRPr="003C6DBD">
        <w:rPr>
          <w:rFonts w:ascii="Times New Roman" w:hAnsi="Times New Roman" w:cs="Times New Roman"/>
          <w:color w:val="0D0D0D" w:themeColor="text1" w:themeTint="F2"/>
          <w:sz w:val="24"/>
          <w:szCs w:val="24"/>
        </w:rPr>
        <w:t>(3), 385–408.</w:t>
      </w:r>
    </w:p>
    <w:p w14:paraId="3230B0E1"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Petter, R., &amp; Tyner, W. E. (2014). Technoeconomic and policy analysis for corn stover biofuels. </w:t>
      </w:r>
      <w:r w:rsidRPr="003C6DBD">
        <w:rPr>
          <w:rFonts w:ascii="Times New Roman" w:hAnsi="Times New Roman" w:cs="Times New Roman"/>
          <w:i/>
          <w:iCs/>
          <w:color w:val="0D0D0D" w:themeColor="text1" w:themeTint="F2"/>
          <w:sz w:val="24"/>
          <w:szCs w:val="24"/>
        </w:rPr>
        <w:t>International Scholarly Research Notices</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2014</w:t>
      </w:r>
      <w:r w:rsidRPr="003C6DBD">
        <w:rPr>
          <w:rFonts w:ascii="Times New Roman" w:hAnsi="Times New Roman" w:cs="Times New Roman"/>
          <w:color w:val="0D0D0D" w:themeColor="text1" w:themeTint="F2"/>
          <w:sz w:val="24"/>
          <w:szCs w:val="24"/>
        </w:rPr>
        <w:t>.</w:t>
      </w:r>
    </w:p>
    <w:p w14:paraId="10FE80AE"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lastRenderedPageBreak/>
        <w:t xml:space="preserve">Porter, M. E. (1980). Competitive strategy: Techniques for analyzing industries and competitors. </w:t>
      </w:r>
      <w:r w:rsidRPr="003C6DBD">
        <w:rPr>
          <w:rFonts w:ascii="Times New Roman" w:hAnsi="Times New Roman" w:cs="Times New Roman"/>
          <w:i/>
          <w:iCs/>
          <w:color w:val="0D0D0D" w:themeColor="text1" w:themeTint="F2"/>
          <w:sz w:val="24"/>
          <w:szCs w:val="24"/>
        </w:rPr>
        <w:t>University Of Illinois At Urbana-Champaign’s, Academy For Entrepreneurial Leadership Historical Research Reference In Entrepreneurship, Available</w:t>
      </w:r>
      <w:r w:rsidRPr="003C6DBD">
        <w:rPr>
          <w:rFonts w:ascii="Times New Roman" w:hAnsi="Times New Roman" w:cs="Times New Roman"/>
          <w:color w:val="0D0D0D" w:themeColor="text1" w:themeTint="F2"/>
          <w:sz w:val="24"/>
          <w:szCs w:val="24"/>
        </w:rPr>
        <w:t>, 917–948.</w:t>
      </w:r>
    </w:p>
    <w:p w14:paraId="0E9B5DFE"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Porter, M. E. (1985). </w:t>
      </w:r>
      <w:r w:rsidRPr="003C6DBD">
        <w:rPr>
          <w:rFonts w:ascii="Times New Roman" w:hAnsi="Times New Roman" w:cs="Times New Roman"/>
          <w:i/>
          <w:iCs/>
          <w:color w:val="0D0D0D" w:themeColor="text1" w:themeTint="F2"/>
          <w:sz w:val="24"/>
          <w:szCs w:val="24"/>
        </w:rPr>
        <w:t>Competitive Advantage: Creating and Sustaining Superior Performance</w:t>
      </w:r>
      <w:r w:rsidRPr="003C6DBD">
        <w:rPr>
          <w:rFonts w:ascii="Times New Roman" w:hAnsi="Times New Roman" w:cs="Times New Roman"/>
          <w:color w:val="0D0D0D" w:themeColor="text1" w:themeTint="F2"/>
          <w:sz w:val="24"/>
          <w:szCs w:val="24"/>
        </w:rPr>
        <w:t>. THE FREE PRESS.</w:t>
      </w:r>
    </w:p>
    <w:p w14:paraId="79719763"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Pries, F., Talebi, A., Schillo, R. S., &amp; Lemay, M. A. (2016). Risks affecting the biofuels industry: A US and Canadian company perspective. </w:t>
      </w:r>
      <w:r w:rsidRPr="003C6DBD">
        <w:rPr>
          <w:rFonts w:ascii="Times New Roman" w:hAnsi="Times New Roman" w:cs="Times New Roman"/>
          <w:i/>
          <w:iCs/>
          <w:color w:val="0D0D0D" w:themeColor="text1" w:themeTint="F2"/>
          <w:sz w:val="24"/>
          <w:szCs w:val="24"/>
        </w:rPr>
        <w:t>Energy Policy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97</w:t>
      </w:r>
      <w:r w:rsidRPr="003C6DBD">
        <w:rPr>
          <w:rFonts w:ascii="Times New Roman" w:hAnsi="Times New Roman" w:cs="Times New Roman"/>
          <w:color w:val="0D0D0D" w:themeColor="text1" w:themeTint="F2"/>
          <w:sz w:val="24"/>
          <w:szCs w:val="24"/>
        </w:rPr>
        <w:t>, 93–101.</w:t>
      </w:r>
    </w:p>
    <w:p w14:paraId="15C9A10F"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Rezec, M., &amp; Scholtens, B. (2017). Financing energy transformation: The role of renewable energy equity indices. </w:t>
      </w:r>
      <w:r w:rsidRPr="003C6DBD">
        <w:rPr>
          <w:rFonts w:ascii="Times New Roman" w:hAnsi="Times New Roman" w:cs="Times New Roman"/>
          <w:i/>
          <w:iCs/>
          <w:color w:val="0D0D0D" w:themeColor="text1" w:themeTint="F2"/>
          <w:sz w:val="24"/>
          <w:szCs w:val="24"/>
        </w:rPr>
        <w:t>International Journal of Green Energy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14</w:t>
      </w:r>
      <w:r w:rsidRPr="003C6DBD">
        <w:rPr>
          <w:rFonts w:ascii="Times New Roman" w:hAnsi="Times New Roman" w:cs="Times New Roman"/>
          <w:color w:val="0D0D0D" w:themeColor="text1" w:themeTint="F2"/>
          <w:sz w:val="24"/>
          <w:szCs w:val="24"/>
        </w:rPr>
        <w:t>(4), 368–378.</w:t>
      </w:r>
    </w:p>
    <w:p w14:paraId="73348C18"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Sammut-Bonnici, T., &amp; Galea, D. (2014). </w:t>
      </w:r>
      <w:r w:rsidRPr="003C6DBD">
        <w:rPr>
          <w:rFonts w:ascii="Times New Roman" w:hAnsi="Times New Roman" w:cs="Times New Roman"/>
          <w:i/>
          <w:iCs/>
          <w:color w:val="0D0D0D" w:themeColor="text1" w:themeTint="F2"/>
          <w:sz w:val="24"/>
          <w:szCs w:val="24"/>
        </w:rPr>
        <w:t>PEST analysis</w:t>
      </w:r>
      <w:r w:rsidRPr="003C6DBD">
        <w:rPr>
          <w:rFonts w:ascii="Times New Roman" w:hAnsi="Times New Roman" w:cs="Times New Roman"/>
          <w:color w:val="0D0D0D" w:themeColor="text1" w:themeTint="F2"/>
          <w:sz w:val="24"/>
          <w:szCs w:val="24"/>
        </w:rPr>
        <w:t>.</w:t>
      </w:r>
    </w:p>
    <w:p w14:paraId="41EF7825"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Santis, P., Albuquerque, A., &amp; Lizarelli, F. (2016). Do sustainable companies have a better financial performance? A study on Brazilian public companies. </w:t>
      </w:r>
      <w:r w:rsidRPr="003C6DBD">
        <w:rPr>
          <w:rFonts w:ascii="Times New Roman" w:hAnsi="Times New Roman" w:cs="Times New Roman"/>
          <w:i/>
          <w:iCs/>
          <w:color w:val="0D0D0D" w:themeColor="text1" w:themeTint="F2"/>
          <w:sz w:val="24"/>
          <w:szCs w:val="24"/>
        </w:rPr>
        <w:t>Journal of Cleaner Production</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133</w:t>
      </w:r>
      <w:r w:rsidRPr="003C6DBD">
        <w:rPr>
          <w:rFonts w:ascii="Times New Roman" w:hAnsi="Times New Roman" w:cs="Times New Roman"/>
          <w:color w:val="0D0D0D" w:themeColor="text1" w:themeTint="F2"/>
          <w:sz w:val="24"/>
          <w:szCs w:val="24"/>
        </w:rPr>
        <w:t>, 735–745.</w:t>
      </w:r>
    </w:p>
    <w:p w14:paraId="1AE0EDFF"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Saravia-Matus, S., Saravia Matus, J., Sotomayor, O., &amp; Rodriguez, A. (2018). Investment strategies in the Latin American agri-business sub-sectors of agricultural commodities, biofuels and meat chains. </w:t>
      </w:r>
      <w:r w:rsidRPr="003C6DBD">
        <w:rPr>
          <w:rFonts w:ascii="Times New Roman" w:hAnsi="Times New Roman" w:cs="Times New Roman"/>
          <w:i/>
          <w:iCs/>
          <w:color w:val="0D0D0D" w:themeColor="text1" w:themeTint="F2"/>
          <w:sz w:val="24"/>
          <w:szCs w:val="24"/>
        </w:rPr>
        <w:t>Journal of Agribusiness in Developing and Emerging Economies</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8</w:t>
      </w:r>
      <w:r w:rsidRPr="003C6DBD">
        <w:rPr>
          <w:rFonts w:ascii="Times New Roman" w:hAnsi="Times New Roman" w:cs="Times New Roman"/>
          <w:color w:val="0D0D0D" w:themeColor="text1" w:themeTint="F2"/>
          <w:sz w:val="24"/>
          <w:szCs w:val="24"/>
        </w:rPr>
        <w:t>(2), 320–338. https://doi.org/10.1108/JADEE-09-2014-0036</w:t>
      </w:r>
    </w:p>
    <w:p w14:paraId="42171F36"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Schreier, M. (2012). </w:t>
      </w:r>
      <w:r w:rsidRPr="003C6DBD">
        <w:rPr>
          <w:rFonts w:ascii="Times New Roman" w:hAnsi="Times New Roman" w:cs="Times New Roman"/>
          <w:i/>
          <w:iCs/>
          <w:color w:val="0D0D0D" w:themeColor="text1" w:themeTint="F2"/>
          <w:sz w:val="24"/>
          <w:szCs w:val="24"/>
        </w:rPr>
        <w:t>Qualitative content analysis in practice</w:t>
      </w:r>
      <w:r w:rsidRPr="003C6DBD">
        <w:rPr>
          <w:rFonts w:ascii="Times New Roman" w:hAnsi="Times New Roman" w:cs="Times New Roman"/>
          <w:color w:val="0D0D0D" w:themeColor="text1" w:themeTint="F2"/>
          <w:sz w:val="24"/>
          <w:szCs w:val="24"/>
        </w:rPr>
        <w:t>. Sage publications.</w:t>
      </w:r>
    </w:p>
    <w:p w14:paraId="0C1530B7"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SEC. (2015). </w:t>
      </w:r>
      <w:r w:rsidRPr="003C6DBD">
        <w:rPr>
          <w:rFonts w:ascii="Times New Roman" w:hAnsi="Times New Roman" w:cs="Times New Roman"/>
          <w:i/>
          <w:iCs/>
          <w:color w:val="0D0D0D" w:themeColor="text1" w:themeTint="F2"/>
          <w:sz w:val="24"/>
          <w:szCs w:val="24"/>
        </w:rPr>
        <w:t>Form 20-F.</w:t>
      </w:r>
      <w:r w:rsidRPr="003C6DBD">
        <w:rPr>
          <w:rFonts w:ascii="Times New Roman" w:hAnsi="Times New Roman" w:cs="Times New Roman"/>
          <w:color w:val="0D0D0D" w:themeColor="text1" w:themeTint="F2"/>
          <w:sz w:val="24"/>
          <w:szCs w:val="24"/>
        </w:rPr>
        <w:t xml:space="preserve"> Securities and Exchange Commission, Washington.</w:t>
      </w:r>
    </w:p>
    <w:p w14:paraId="23FA84A5"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Securities and Exchange Commission. (2005). </w:t>
      </w:r>
      <w:r w:rsidRPr="003C6DBD">
        <w:rPr>
          <w:rFonts w:ascii="Times New Roman" w:hAnsi="Times New Roman" w:cs="Times New Roman"/>
          <w:i/>
          <w:iCs/>
          <w:color w:val="0D0D0D" w:themeColor="text1" w:themeTint="F2"/>
          <w:sz w:val="24"/>
          <w:szCs w:val="24"/>
        </w:rPr>
        <w:t>Securities and exchange commission final rule, release no. 33-8591(FR-75).</w:t>
      </w:r>
      <w:r w:rsidRPr="003C6DBD">
        <w:rPr>
          <w:rFonts w:ascii="Times New Roman" w:hAnsi="Times New Roman" w:cs="Times New Roman"/>
          <w:color w:val="0D0D0D" w:themeColor="text1" w:themeTint="F2"/>
          <w:sz w:val="24"/>
          <w:szCs w:val="24"/>
        </w:rPr>
        <w:t xml:space="preserve"> https://www.sec.gov/rules/final/33-8591.pdf</w:t>
      </w:r>
    </w:p>
    <w:p w14:paraId="5CBF6F34"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Shadidi, B., &amp; Najafi, G. (2021). Impact of covid-19 on biofuels global market and their utilization necessity during pandemic. </w:t>
      </w:r>
      <w:r w:rsidRPr="003C6DBD">
        <w:rPr>
          <w:rFonts w:ascii="Times New Roman" w:hAnsi="Times New Roman" w:cs="Times New Roman"/>
          <w:i/>
          <w:iCs/>
          <w:color w:val="0D0D0D" w:themeColor="text1" w:themeTint="F2"/>
          <w:sz w:val="24"/>
          <w:szCs w:val="24"/>
        </w:rPr>
        <w:t>Energy Equipment and Systems</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9</w:t>
      </w:r>
      <w:r w:rsidRPr="003C6DBD">
        <w:rPr>
          <w:rFonts w:ascii="Times New Roman" w:hAnsi="Times New Roman" w:cs="Times New Roman"/>
          <w:color w:val="0D0D0D" w:themeColor="text1" w:themeTint="F2"/>
          <w:sz w:val="24"/>
          <w:szCs w:val="24"/>
        </w:rPr>
        <w:t>(4), 371–382.</w:t>
      </w:r>
    </w:p>
    <w:p w14:paraId="3719FFBF"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lastRenderedPageBreak/>
        <w:t xml:space="preserve">Sharma, B. P., Yu, T. E., English, B. C., Boyer, C. N., &amp; Larson, J. A. (2020). Impact of government subsidies on a cellulosic biofuel sector with diverse risk preferences toward feedstock uncertainty. </w:t>
      </w:r>
      <w:r w:rsidRPr="003C6DBD">
        <w:rPr>
          <w:rFonts w:ascii="Times New Roman" w:hAnsi="Times New Roman" w:cs="Times New Roman"/>
          <w:i/>
          <w:iCs/>
          <w:color w:val="0D0D0D" w:themeColor="text1" w:themeTint="F2"/>
          <w:sz w:val="24"/>
          <w:szCs w:val="24"/>
        </w:rPr>
        <w:t>Energy Policy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146</w:t>
      </w:r>
      <w:r w:rsidRPr="003C6DBD">
        <w:rPr>
          <w:rFonts w:ascii="Times New Roman" w:hAnsi="Times New Roman" w:cs="Times New Roman"/>
          <w:color w:val="0D0D0D" w:themeColor="text1" w:themeTint="F2"/>
          <w:sz w:val="24"/>
          <w:szCs w:val="24"/>
        </w:rPr>
        <w:t>, 111737.</w:t>
      </w:r>
    </w:p>
    <w:p w14:paraId="7B7524C4"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Siddik, M., Islam, M., Zaman, A., &amp; Hasan, M. (2021). Current Status and Correlation of Fossil Fuels Consumption and Greenhouse Gas Emissions. </w:t>
      </w:r>
      <w:r w:rsidRPr="003C6DBD">
        <w:rPr>
          <w:rFonts w:ascii="Times New Roman" w:hAnsi="Times New Roman" w:cs="Times New Roman"/>
          <w:i/>
          <w:iCs/>
          <w:color w:val="0D0D0D" w:themeColor="text1" w:themeTint="F2"/>
          <w:sz w:val="24"/>
          <w:szCs w:val="24"/>
        </w:rPr>
        <w:t>Int. J. Energy Environ. Econ</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28</w:t>
      </w:r>
      <w:r w:rsidRPr="003C6DBD">
        <w:rPr>
          <w:rFonts w:ascii="Times New Roman" w:hAnsi="Times New Roman" w:cs="Times New Roman"/>
          <w:color w:val="0D0D0D" w:themeColor="text1" w:themeTint="F2"/>
          <w:sz w:val="24"/>
          <w:szCs w:val="24"/>
        </w:rPr>
        <w:t>, 103–119.</w:t>
      </w:r>
    </w:p>
    <w:p w14:paraId="58105FFF"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Stattman, S. L., Gupta, A., Partzsch, L., &amp; Oosterveer, P. (2018). Toward sustainable biofuels in the European Union? Lessons from a decade of hybrid biofuel governance. </w:t>
      </w:r>
      <w:r w:rsidRPr="003C6DBD">
        <w:rPr>
          <w:rFonts w:ascii="Times New Roman" w:hAnsi="Times New Roman" w:cs="Times New Roman"/>
          <w:i/>
          <w:iCs/>
          <w:color w:val="0D0D0D" w:themeColor="text1" w:themeTint="F2"/>
          <w:sz w:val="24"/>
          <w:szCs w:val="24"/>
        </w:rPr>
        <w:t>Sustainability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10</w:t>
      </w:r>
      <w:r w:rsidRPr="003C6DBD">
        <w:rPr>
          <w:rFonts w:ascii="Times New Roman" w:hAnsi="Times New Roman" w:cs="Times New Roman"/>
          <w:color w:val="0D0D0D" w:themeColor="text1" w:themeTint="F2"/>
          <w:sz w:val="24"/>
          <w:szCs w:val="24"/>
        </w:rPr>
        <w:t>(11), 4111.</w:t>
      </w:r>
    </w:p>
    <w:p w14:paraId="073FAFF4"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Su, Y., Zhang, P., &amp; Su, Y. (2015). An overview of biofuels policies and industrialization in the major biofuel producing countries. </w:t>
      </w:r>
      <w:r w:rsidRPr="003C6DBD">
        <w:rPr>
          <w:rFonts w:ascii="Times New Roman" w:hAnsi="Times New Roman" w:cs="Times New Roman"/>
          <w:i/>
          <w:iCs/>
          <w:color w:val="0D0D0D" w:themeColor="text1" w:themeTint="F2"/>
          <w:sz w:val="24"/>
          <w:szCs w:val="24"/>
        </w:rPr>
        <w:t>Renewable and Sustainable Energy Reviews</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50</w:t>
      </w:r>
      <w:r w:rsidRPr="003C6DBD">
        <w:rPr>
          <w:rFonts w:ascii="Times New Roman" w:hAnsi="Times New Roman" w:cs="Times New Roman"/>
          <w:color w:val="0D0D0D" w:themeColor="text1" w:themeTint="F2"/>
          <w:sz w:val="24"/>
          <w:szCs w:val="24"/>
        </w:rPr>
        <w:t>, 991–1003.</w:t>
      </w:r>
    </w:p>
    <w:p w14:paraId="314DCFD9"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Trejo-Pech, C., DeLong, K., &amp; Johansson, R. (2023). How does the financial performance of sugar-using firms compare to other agribusinesses? An accounting and economic profit rates analysis. (Forthcoming). </w:t>
      </w:r>
      <w:r w:rsidRPr="003C6DBD">
        <w:rPr>
          <w:rFonts w:ascii="Times New Roman" w:hAnsi="Times New Roman" w:cs="Times New Roman"/>
          <w:i/>
          <w:iCs/>
          <w:color w:val="0D0D0D" w:themeColor="text1" w:themeTint="F2"/>
          <w:sz w:val="24"/>
          <w:szCs w:val="24"/>
        </w:rPr>
        <w:t>Agricultural Finance Review</w:t>
      </w:r>
      <w:r w:rsidRPr="003C6DBD">
        <w:rPr>
          <w:rFonts w:ascii="Times New Roman" w:hAnsi="Times New Roman" w:cs="Times New Roman"/>
          <w:color w:val="0D0D0D" w:themeColor="text1" w:themeTint="F2"/>
          <w:sz w:val="24"/>
          <w:szCs w:val="24"/>
        </w:rPr>
        <w:t>.</w:t>
      </w:r>
    </w:p>
    <w:p w14:paraId="112B981E"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Trejo-Pech, C., &amp; DeLong, K. L. (2022). </w:t>
      </w:r>
      <w:r w:rsidRPr="003C6DBD">
        <w:rPr>
          <w:rFonts w:ascii="Times New Roman" w:hAnsi="Times New Roman" w:cs="Times New Roman"/>
          <w:i/>
          <w:iCs/>
          <w:color w:val="0D0D0D" w:themeColor="text1" w:themeTint="F2"/>
          <w:sz w:val="24"/>
          <w:szCs w:val="24"/>
        </w:rPr>
        <w:t>How does the financial performance of sugar-using firms compare to other agribusinesses? An economic value added analysis</w:t>
      </w:r>
      <w:r w:rsidRPr="003C6DBD">
        <w:rPr>
          <w:rFonts w:ascii="Times New Roman" w:hAnsi="Times New Roman" w:cs="Times New Roman"/>
          <w:color w:val="0D0D0D" w:themeColor="text1" w:themeTint="F2"/>
          <w:sz w:val="24"/>
          <w:szCs w:val="24"/>
        </w:rPr>
        <w:t>.</w:t>
      </w:r>
    </w:p>
    <w:p w14:paraId="50777A09"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Tyner, W. E. (2008). The US ethanol and biofuels boom: Its origins, current status, and future prospects. </w:t>
      </w:r>
      <w:r w:rsidRPr="003C6DBD">
        <w:rPr>
          <w:rFonts w:ascii="Times New Roman" w:hAnsi="Times New Roman" w:cs="Times New Roman"/>
          <w:i/>
          <w:iCs/>
          <w:color w:val="0D0D0D" w:themeColor="text1" w:themeTint="F2"/>
          <w:sz w:val="24"/>
          <w:szCs w:val="24"/>
        </w:rPr>
        <w:t>BioScience</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58</w:t>
      </w:r>
      <w:r w:rsidRPr="003C6DBD">
        <w:rPr>
          <w:rFonts w:ascii="Times New Roman" w:hAnsi="Times New Roman" w:cs="Times New Roman"/>
          <w:color w:val="0D0D0D" w:themeColor="text1" w:themeTint="F2"/>
          <w:sz w:val="24"/>
          <w:szCs w:val="24"/>
        </w:rPr>
        <w:t>(7), 646–653.</w:t>
      </w:r>
    </w:p>
    <w:p w14:paraId="12917B85"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Uddin, G. S., Hernandez, J. A., Wadström, C., Dutta, A., &amp; Ahmed, A. (2021). Do uncertainties affect biofuel prices? </w:t>
      </w:r>
      <w:r w:rsidRPr="003C6DBD">
        <w:rPr>
          <w:rFonts w:ascii="Times New Roman" w:hAnsi="Times New Roman" w:cs="Times New Roman"/>
          <w:i/>
          <w:iCs/>
          <w:color w:val="0D0D0D" w:themeColor="text1" w:themeTint="F2"/>
          <w:sz w:val="24"/>
          <w:szCs w:val="24"/>
        </w:rPr>
        <w:t>Biomass and Bioenergy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148</w:t>
      </w:r>
      <w:r w:rsidRPr="003C6DBD">
        <w:rPr>
          <w:rFonts w:ascii="Times New Roman" w:hAnsi="Times New Roman" w:cs="Times New Roman"/>
          <w:color w:val="0D0D0D" w:themeColor="text1" w:themeTint="F2"/>
          <w:sz w:val="24"/>
          <w:szCs w:val="24"/>
        </w:rPr>
        <w:t>, 106006.</w:t>
      </w:r>
    </w:p>
    <w:p w14:paraId="723C6565"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Van der Horst, D., &amp; Vermeylen, S. (2011). Spatial scale and social impacts of biofuel production. </w:t>
      </w:r>
      <w:r w:rsidRPr="003C6DBD">
        <w:rPr>
          <w:rFonts w:ascii="Times New Roman" w:hAnsi="Times New Roman" w:cs="Times New Roman"/>
          <w:i/>
          <w:iCs/>
          <w:color w:val="0D0D0D" w:themeColor="text1" w:themeTint="F2"/>
          <w:sz w:val="24"/>
          <w:szCs w:val="24"/>
        </w:rPr>
        <w:t>Biomass and Bioenergy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35</w:t>
      </w:r>
      <w:r w:rsidRPr="003C6DBD">
        <w:rPr>
          <w:rFonts w:ascii="Times New Roman" w:hAnsi="Times New Roman" w:cs="Times New Roman"/>
          <w:color w:val="0D0D0D" w:themeColor="text1" w:themeTint="F2"/>
          <w:sz w:val="24"/>
          <w:szCs w:val="24"/>
        </w:rPr>
        <w:t>(6), 2435–2443.</w:t>
      </w:r>
    </w:p>
    <w:p w14:paraId="120AC9DB"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lastRenderedPageBreak/>
        <w:t xml:space="preserve">Voloshin, R. A., Rodionova, M. V., Zharmukhamedov, S. K., Veziroglu, T. N., &amp; Allakhverdiev, S. I. (2016). Biofuel production from plant and algal biomass. </w:t>
      </w:r>
      <w:r w:rsidRPr="003C6DBD">
        <w:rPr>
          <w:rFonts w:ascii="Times New Roman" w:hAnsi="Times New Roman" w:cs="Times New Roman"/>
          <w:i/>
          <w:iCs/>
          <w:color w:val="0D0D0D" w:themeColor="text1" w:themeTint="F2"/>
          <w:sz w:val="24"/>
          <w:szCs w:val="24"/>
        </w:rPr>
        <w:t>International Journal of Hydrogen Energy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41</w:t>
      </w:r>
      <w:r w:rsidRPr="003C6DBD">
        <w:rPr>
          <w:rFonts w:ascii="Times New Roman" w:hAnsi="Times New Roman" w:cs="Times New Roman"/>
          <w:color w:val="0D0D0D" w:themeColor="text1" w:themeTint="F2"/>
          <w:sz w:val="24"/>
          <w:szCs w:val="24"/>
        </w:rPr>
        <w:t>(39), 17257–17273.</w:t>
      </w:r>
    </w:p>
    <w:p w14:paraId="42EE9B45"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Vukina, T. (2001). Vertical integration and contracting in the US poultry sector. </w:t>
      </w:r>
      <w:r w:rsidRPr="003C6DBD">
        <w:rPr>
          <w:rFonts w:ascii="Times New Roman" w:hAnsi="Times New Roman" w:cs="Times New Roman"/>
          <w:i/>
          <w:iCs/>
          <w:color w:val="0D0D0D" w:themeColor="text1" w:themeTint="F2"/>
          <w:sz w:val="24"/>
          <w:szCs w:val="24"/>
        </w:rPr>
        <w:t>Journal of Food Distribution Research</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32</w:t>
      </w:r>
      <w:r w:rsidRPr="003C6DBD">
        <w:rPr>
          <w:rFonts w:ascii="Times New Roman" w:hAnsi="Times New Roman" w:cs="Times New Roman"/>
          <w:color w:val="0D0D0D" w:themeColor="text1" w:themeTint="F2"/>
          <w:sz w:val="24"/>
          <w:szCs w:val="24"/>
        </w:rPr>
        <w:t>(856-2016–56380), 29–38.</w:t>
      </w:r>
    </w:p>
    <w:p w14:paraId="56C76F32"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Ward, D. (2005). An overview of strategy development models and the Ward-Rivani model. </w:t>
      </w:r>
      <w:r w:rsidRPr="003C6DBD">
        <w:rPr>
          <w:rFonts w:ascii="Times New Roman" w:hAnsi="Times New Roman" w:cs="Times New Roman"/>
          <w:i/>
          <w:iCs/>
          <w:color w:val="0D0D0D" w:themeColor="text1" w:themeTint="F2"/>
          <w:sz w:val="24"/>
          <w:szCs w:val="24"/>
        </w:rPr>
        <w:t>Economics Working Papers</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6</w:t>
      </w:r>
      <w:r w:rsidRPr="003C6DBD">
        <w:rPr>
          <w:rFonts w:ascii="Times New Roman" w:hAnsi="Times New Roman" w:cs="Times New Roman"/>
          <w:color w:val="0D0D0D" w:themeColor="text1" w:themeTint="F2"/>
          <w:sz w:val="24"/>
          <w:szCs w:val="24"/>
        </w:rPr>
        <w:t>, 1–24.</w:t>
      </w:r>
    </w:p>
    <w:p w14:paraId="3C01B5CB"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White, W., Lunnan, A., Nybakk, E., &amp; Kulisic, B. (2013). The role of governments in renewable energy: The importance of policy consistency. </w:t>
      </w:r>
      <w:r w:rsidRPr="003C6DBD">
        <w:rPr>
          <w:rFonts w:ascii="Times New Roman" w:hAnsi="Times New Roman" w:cs="Times New Roman"/>
          <w:i/>
          <w:iCs/>
          <w:color w:val="0D0D0D" w:themeColor="text1" w:themeTint="F2"/>
          <w:sz w:val="24"/>
          <w:szCs w:val="24"/>
        </w:rPr>
        <w:t>Biomass and Bioenergy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57</w:t>
      </w:r>
      <w:r w:rsidRPr="003C6DBD">
        <w:rPr>
          <w:rFonts w:ascii="Times New Roman" w:hAnsi="Times New Roman" w:cs="Times New Roman"/>
          <w:color w:val="0D0D0D" w:themeColor="text1" w:themeTint="F2"/>
          <w:sz w:val="24"/>
          <w:szCs w:val="24"/>
        </w:rPr>
        <w:t>, 97–105.</w:t>
      </w:r>
    </w:p>
    <w:p w14:paraId="28A8046A"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Yakubiv, V., Hryhoruk, I., Maksymiv, Y., &amp; Popadynets, N. (2019). Strategic analysis of the potential of bioenergy: Outlook for Ukraine. </w:t>
      </w:r>
      <w:r w:rsidRPr="003C6DBD">
        <w:rPr>
          <w:rFonts w:ascii="Times New Roman" w:hAnsi="Times New Roman" w:cs="Times New Roman"/>
          <w:i/>
          <w:iCs/>
          <w:color w:val="0D0D0D" w:themeColor="text1" w:themeTint="F2"/>
          <w:sz w:val="24"/>
          <w:szCs w:val="24"/>
        </w:rPr>
        <w:t>2019 7th International Conference on Modeling, Development and Strategic Management of Economic System (MDSMES 2019)</w:t>
      </w:r>
      <w:r w:rsidRPr="003C6DBD">
        <w:rPr>
          <w:rFonts w:ascii="Times New Roman" w:hAnsi="Times New Roman" w:cs="Times New Roman"/>
          <w:color w:val="0D0D0D" w:themeColor="text1" w:themeTint="F2"/>
          <w:sz w:val="24"/>
          <w:szCs w:val="24"/>
        </w:rPr>
        <w:t>, 217–221.</w:t>
      </w:r>
    </w:p>
    <w:p w14:paraId="50BE1DEA"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Yang, X., Paulson, N. D., &amp; Khanna, M. (2016). Optimal mix of vertical integration and contracting for energy crops: Effect of risk preferences and land quality. </w:t>
      </w:r>
      <w:r w:rsidRPr="003C6DBD">
        <w:rPr>
          <w:rFonts w:ascii="Times New Roman" w:hAnsi="Times New Roman" w:cs="Times New Roman"/>
          <w:i/>
          <w:iCs/>
          <w:color w:val="0D0D0D" w:themeColor="text1" w:themeTint="F2"/>
          <w:sz w:val="24"/>
          <w:szCs w:val="24"/>
        </w:rPr>
        <w:t>Applied Economic Perspectives and Policy</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38</w:t>
      </w:r>
      <w:r w:rsidRPr="003C6DBD">
        <w:rPr>
          <w:rFonts w:ascii="Times New Roman" w:hAnsi="Times New Roman" w:cs="Times New Roman"/>
          <w:color w:val="0D0D0D" w:themeColor="text1" w:themeTint="F2"/>
          <w:sz w:val="24"/>
          <w:szCs w:val="24"/>
        </w:rPr>
        <w:t>(4), 632–654.</w:t>
      </w:r>
    </w:p>
    <w:p w14:paraId="288E77D2"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Zalengera, C., Blanchard, R. E., Eames, P. C., Juma, A. M., Chitawo, M. L., &amp; Gondwe, K. T. (2014). Overview of the Malawi energy situation and A PESTLE analysis for sustainable development of renewable energy. </w:t>
      </w:r>
      <w:r w:rsidRPr="003C6DBD">
        <w:rPr>
          <w:rFonts w:ascii="Times New Roman" w:hAnsi="Times New Roman" w:cs="Times New Roman"/>
          <w:i/>
          <w:iCs/>
          <w:color w:val="0D0D0D" w:themeColor="text1" w:themeTint="F2"/>
          <w:sz w:val="24"/>
          <w:szCs w:val="24"/>
        </w:rPr>
        <w:t>Renewable and Sustainable Energy Reviews</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38</w:t>
      </w:r>
      <w:r w:rsidRPr="003C6DBD">
        <w:rPr>
          <w:rFonts w:ascii="Times New Roman" w:hAnsi="Times New Roman" w:cs="Times New Roman"/>
          <w:color w:val="0D0D0D" w:themeColor="text1" w:themeTint="F2"/>
          <w:sz w:val="24"/>
          <w:szCs w:val="24"/>
        </w:rPr>
        <w:t>, 335–347.</w:t>
      </w:r>
    </w:p>
    <w:p w14:paraId="7C9776A5" w14:textId="77777777" w:rsidR="00375D18" w:rsidRPr="003C6DBD" w:rsidRDefault="00375D18" w:rsidP="00375D18">
      <w:pPr>
        <w:pStyle w:val="Bibliography"/>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Živković, S. B., Veljković, M. V., Banković-Ilić, I. B., Krstić, I. M., Konstantinović, S. S., Ilić, S. B., Avramović, J. M., Stamenković, O. S., &amp; Veljković, V. B. (2017). Technological, technical, economic, environmental, social, human health risk, toxicological and policy </w:t>
      </w:r>
      <w:r w:rsidRPr="003C6DBD">
        <w:rPr>
          <w:rFonts w:ascii="Times New Roman" w:hAnsi="Times New Roman" w:cs="Times New Roman"/>
          <w:color w:val="0D0D0D" w:themeColor="text1" w:themeTint="F2"/>
          <w:sz w:val="24"/>
          <w:szCs w:val="24"/>
        </w:rPr>
        <w:lastRenderedPageBreak/>
        <w:t xml:space="preserve">considerations of biodiesel production and use. </w:t>
      </w:r>
      <w:r w:rsidRPr="003C6DBD">
        <w:rPr>
          <w:rFonts w:ascii="Times New Roman" w:hAnsi="Times New Roman" w:cs="Times New Roman"/>
          <w:i/>
          <w:iCs/>
          <w:color w:val="0D0D0D" w:themeColor="text1" w:themeTint="F2"/>
          <w:sz w:val="24"/>
          <w:szCs w:val="24"/>
        </w:rPr>
        <w:t>Renewable and Sustainable Energy Reviews</w:t>
      </w:r>
      <w:r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i/>
          <w:iCs/>
          <w:color w:val="0D0D0D" w:themeColor="text1" w:themeTint="F2"/>
          <w:sz w:val="24"/>
          <w:szCs w:val="24"/>
        </w:rPr>
        <w:t>79</w:t>
      </w:r>
      <w:r w:rsidRPr="003C6DBD">
        <w:rPr>
          <w:rFonts w:ascii="Times New Roman" w:hAnsi="Times New Roman" w:cs="Times New Roman"/>
          <w:color w:val="0D0D0D" w:themeColor="text1" w:themeTint="F2"/>
          <w:sz w:val="24"/>
          <w:szCs w:val="24"/>
        </w:rPr>
        <w:t>, 222–247.</w:t>
      </w:r>
    </w:p>
    <w:p w14:paraId="5FC455DE" w14:textId="2C2F8828" w:rsidR="00946F3B" w:rsidRPr="003C6DBD" w:rsidRDefault="003F6F35" w:rsidP="00D26AEF">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fldChar w:fldCharType="end"/>
      </w:r>
    </w:p>
    <w:p w14:paraId="04A104BD" w14:textId="77777777" w:rsidR="00C3000E" w:rsidRPr="003C6DBD" w:rsidRDefault="00C3000E" w:rsidP="00D26AEF">
      <w:pPr>
        <w:spacing w:line="480" w:lineRule="auto"/>
        <w:rPr>
          <w:rFonts w:ascii="Times New Roman" w:hAnsi="Times New Roman" w:cs="Times New Roman"/>
          <w:color w:val="0D0D0D" w:themeColor="text1" w:themeTint="F2"/>
          <w:sz w:val="24"/>
          <w:szCs w:val="24"/>
        </w:rPr>
      </w:pPr>
    </w:p>
    <w:p w14:paraId="0D182F95" w14:textId="77777777" w:rsidR="00C3000E" w:rsidRPr="003C6DBD" w:rsidRDefault="00C3000E" w:rsidP="00D26AEF">
      <w:pPr>
        <w:spacing w:line="480" w:lineRule="auto"/>
        <w:rPr>
          <w:rFonts w:ascii="Times New Roman" w:hAnsi="Times New Roman" w:cs="Times New Roman"/>
          <w:color w:val="0D0D0D" w:themeColor="text1" w:themeTint="F2"/>
          <w:sz w:val="24"/>
          <w:szCs w:val="24"/>
        </w:rPr>
      </w:pPr>
    </w:p>
    <w:p w14:paraId="5D47019A" w14:textId="77777777" w:rsidR="00C3000E" w:rsidRPr="003C6DBD" w:rsidRDefault="00C3000E" w:rsidP="00D26AEF">
      <w:pPr>
        <w:spacing w:line="480" w:lineRule="auto"/>
        <w:rPr>
          <w:rFonts w:ascii="Times New Roman" w:hAnsi="Times New Roman" w:cs="Times New Roman"/>
          <w:color w:val="0D0D0D" w:themeColor="text1" w:themeTint="F2"/>
          <w:sz w:val="24"/>
          <w:szCs w:val="24"/>
        </w:rPr>
      </w:pPr>
    </w:p>
    <w:p w14:paraId="33E2D2B1" w14:textId="77777777" w:rsidR="00C3000E" w:rsidRPr="003C6DBD" w:rsidRDefault="00C3000E" w:rsidP="00D26AEF">
      <w:pPr>
        <w:spacing w:line="480" w:lineRule="auto"/>
        <w:rPr>
          <w:rFonts w:ascii="Times New Roman" w:hAnsi="Times New Roman" w:cs="Times New Roman"/>
          <w:color w:val="0D0D0D" w:themeColor="text1" w:themeTint="F2"/>
          <w:sz w:val="24"/>
          <w:szCs w:val="24"/>
        </w:rPr>
      </w:pPr>
    </w:p>
    <w:p w14:paraId="30AFB987" w14:textId="77777777" w:rsidR="00C3000E" w:rsidRPr="003C6DBD" w:rsidRDefault="00C3000E" w:rsidP="00D26AEF">
      <w:pPr>
        <w:spacing w:line="480" w:lineRule="auto"/>
        <w:rPr>
          <w:rFonts w:ascii="Times New Roman" w:hAnsi="Times New Roman" w:cs="Times New Roman"/>
          <w:color w:val="0D0D0D" w:themeColor="text1" w:themeTint="F2"/>
          <w:sz w:val="24"/>
          <w:szCs w:val="24"/>
        </w:rPr>
      </w:pPr>
    </w:p>
    <w:p w14:paraId="599BCD16" w14:textId="77777777" w:rsidR="00C3000E" w:rsidRPr="003C6DBD" w:rsidRDefault="00C3000E" w:rsidP="00D26AEF">
      <w:pPr>
        <w:spacing w:line="480" w:lineRule="auto"/>
        <w:rPr>
          <w:rFonts w:ascii="Times New Roman" w:hAnsi="Times New Roman" w:cs="Times New Roman"/>
          <w:color w:val="0D0D0D" w:themeColor="text1" w:themeTint="F2"/>
          <w:sz w:val="24"/>
          <w:szCs w:val="24"/>
        </w:rPr>
      </w:pPr>
    </w:p>
    <w:p w14:paraId="2B4356E5" w14:textId="77777777" w:rsidR="00C3000E" w:rsidRPr="003C6DBD" w:rsidRDefault="00C3000E" w:rsidP="00D26AEF">
      <w:pPr>
        <w:spacing w:line="480" w:lineRule="auto"/>
        <w:rPr>
          <w:rFonts w:ascii="Times New Roman" w:hAnsi="Times New Roman" w:cs="Times New Roman"/>
          <w:color w:val="0D0D0D" w:themeColor="text1" w:themeTint="F2"/>
          <w:sz w:val="24"/>
          <w:szCs w:val="24"/>
        </w:rPr>
      </w:pPr>
    </w:p>
    <w:p w14:paraId="534E30D2" w14:textId="77777777" w:rsidR="00C3000E" w:rsidRPr="003C6DBD" w:rsidRDefault="00C3000E" w:rsidP="00D26AEF">
      <w:pPr>
        <w:spacing w:line="480" w:lineRule="auto"/>
        <w:rPr>
          <w:rFonts w:ascii="Times New Roman" w:hAnsi="Times New Roman" w:cs="Times New Roman"/>
          <w:color w:val="0D0D0D" w:themeColor="text1" w:themeTint="F2"/>
          <w:sz w:val="24"/>
          <w:szCs w:val="24"/>
        </w:rPr>
      </w:pPr>
    </w:p>
    <w:p w14:paraId="0030FD68" w14:textId="77777777" w:rsidR="00C3000E" w:rsidRPr="003C6DBD" w:rsidRDefault="00C3000E" w:rsidP="00D26AEF">
      <w:pPr>
        <w:spacing w:line="480" w:lineRule="auto"/>
        <w:rPr>
          <w:rFonts w:ascii="Times New Roman" w:hAnsi="Times New Roman" w:cs="Times New Roman"/>
          <w:color w:val="0D0D0D" w:themeColor="text1" w:themeTint="F2"/>
          <w:sz w:val="24"/>
          <w:szCs w:val="24"/>
        </w:rPr>
      </w:pPr>
    </w:p>
    <w:p w14:paraId="3A256EA7" w14:textId="77777777" w:rsidR="00C3000E" w:rsidRPr="003C6DBD" w:rsidRDefault="00C3000E" w:rsidP="00D26AEF">
      <w:pPr>
        <w:spacing w:line="480" w:lineRule="auto"/>
        <w:rPr>
          <w:rFonts w:ascii="Times New Roman" w:hAnsi="Times New Roman" w:cs="Times New Roman"/>
          <w:color w:val="0D0D0D" w:themeColor="text1" w:themeTint="F2"/>
          <w:sz w:val="24"/>
          <w:szCs w:val="24"/>
        </w:rPr>
      </w:pPr>
    </w:p>
    <w:p w14:paraId="71B95689" w14:textId="77777777" w:rsidR="00C3000E" w:rsidRPr="003C6DBD" w:rsidRDefault="00C3000E" w:rsidP="00D26AEF">
      <w:pPr>
        <w:spacing w:line="480" w:lineRule="auto"/>
        <w:rPr>
          <w:rFonts w:ascii="Times New Roman" w:hAnsi="Times New Roman" w:cs="Times New Roman"/>
          <w:color w:val="0D0D0D" w:themeColor="text1" w:themeTint="F2"/>
          <w:sz w:val="24"/>
          <w:szCs w:val="24"/>
        </w:rPr>
      </w:pPr>
    </w:p>
    <w:p w14:paraId="3772C9F7" w14:textId="77777777" w:rsidR="00C3000E" w:rsidRPr="003C6DBD" w:rsidRDefault="00C3000E" w:rsidP="00D26AEF">
      <w:pPr>
        <w:spacing w:line="480" w:lineRule="auto"/>
        <w:rPr>
          <w:rFonts w:ascii="Times New Roman" w:hAnsi="Times New Roman" w:cs="Times New Roman"/>
          <w:color w:val="0D0D0D" w:themeColor="text1" w:themeTint="F2"/>
          <w:sz w:val="24"/>
          <w:szCs w:val="24"/>
        </w:rPr>
      </w:pPr>
    </w:p>
    <w:p w14:paraId="38BE7C99" w14:textId="0F222834" w:rsidR="003B36A0" w:rsidRPr="003C6DBD" w:rsidRDefault="003B36A0" w:rsidP="002A7494">
      <w:pPr>
        <w:spacing w:line="480" w:lineRule="auto"/>
        <w:rPr>
          <w:rFonts w:ascii="Times New Roman" w:hAnsi="Times New Roman" w:cs="Times New Roman"/>
          <w:color w:val="0D0D0D" w:themeColor="text1" w:themeTint="F2"/>
          <w:sz w:val="24"/>
          <w:szCs w:val="24"/>
        </w:rPr>
      </w:pPr>
    </w:p>
    <w:p w14:paraId="2C6D1B59" w14:textId="492B85B7" w:rsidR="003B36A0" w:rsidRPr="003C6DBD" w:rsidRDefault="003B36A0" w:rsidP="00213EC0">
      <w:pPr>
        <w:pStyle w:val="Heading1"/>
        <w:spacing w:line="480" w:lineRule="auto"/>
        <w:rPr>
          <w:rFonts w:cs="Times New Roman"/>
          <w:color w:val="0D0D0D" w:themeColor="text1" w:themeTint="F2"/>
          <w:szCs w:val="24"/>
        </w:rPr>
      </w:pPr>
      <w:bookmarkStart w:id="52" w:name="_Toc132761855"/>
      <w:r w:rsidRPr="003C6DBD">
        <w:rPr>
          <w:rFonts w:cs="Times New Roman"/>
          <w:color w:val="0D0D0D" w:themeColor="text1" w:themeTint="F2"/>
          <w:szCs w:val="24"/>
        </w:rPr>
        <w:lastRenderedPageBreak/>
        <w:t>APPENDIX</w:t>
      </w:r>
      <w:bookmarkEnd w:id="52"/>
    </w:p>
    <w:p w14:paraId="49BAE591" w14:textId="2955E8D7" w:rsidR="00C3000E" w:rsidRPr="003C6DBD" w:rsidRDefault="00C3000E" w:rsidP="00C3000E">
      <w:pPr>
        <w:pStyle w:val="Caption"/>
        <w:keepNext/>
        <w:rPr>
          <w:rFonts w:ascii="Times New Roman" w:hAnsi="Times New Roman" w:cs="Times New Roman"/>
          <w:color w:val="0D0D0D" w:themeColor="text1" w:themeTint="F2"/>
          <w:sz w:val="24"/>
          <w:szCs w:val="24"/>
        </w:rPr>
      </w:pPr>
      <w:bookmarkStart w:id="53" w:name="_Toc132671815"/>
      <w:r w:rsidRPr="003C6DBD">
        <w:rPr>
          <w:rFonts w:ascii="Times New Roman" w:hAnsi="Times New Roman" w:cs="Times New Roman"/>
          <w:color w:val="0D0D0D" w:themeColor="text1" w:themeTint="F2"/>
          <w:sz w:val="24"/>
          <w:szCs w:val="24"/>
        </w:rPr>
        <w:t xml:space="preserve">Table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Table \* ARABIC </w:instrText>
      </w:r>
      <w:r w:rsidRPr="003C6DBD">
        <w:rPr>
          <w:rFonts w:ascii="Times New Roman" w:hAnsi="Times New Roman" w:cs="Times New Roman"/>
          <w:color w:val="0D0D0D" w:themeColor="text1" w:themeTint="F2"/>
          <w:sz w:val="24"/>
          <w:szCs w:val="24"/>
        </w:rPr>
        <w:fldChar w:fldCharType="separate"/>
      </w:r>
      <w:r w:rsidR="00154E66" w:rsidRPr="003C6DBD">
        <w:rPr>
          <w:rFonts w:ascii="Times New Roman" w:hAnsi="Times New Roman" w:cs="Times New Roman"/>
          <w:noProof/>
          <w:color w:val="0D0D0D" w:themeColor="text1" w:themeTint="F2"/>
          <w:sz w:val="24"/>
          <w:szCs w:val="24"/>
        </w:rPr>
        <w:t>1</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Elements of the PEST analysis for risks in the biofuel industry</w:t>
      </w:r>
      <w:bookmarkEnd w:id="53"/>
    </w:p>
    <w:tbl>
      <w:tblPr>
        <w:tblStyle w:val="TableGrid"/>
        <w:tblW w:w="9190" w:type="dxa"/>
        <w:jc w:val="center"/>
        <w:shd w:val="clear" w:color="auto" w:fill="FFFFFF" w:themeFill="background1"/>
        <w:tblLook w:val="04A0" w:firstRow="1" w:lastRow="0" w:firstColumn="1" w:lastColumn="0" w:noHBand="0" w:noVBand="1"/>
      </w:tblPr>
      <w:tblGrid>
        <w:gridCol w:w="4675"/>
        <w:gridCol w:w="4515"/>
      </w:tblGrid>
      <w:tr w:rsidR="003C6DBD" w:rsidRPr="003C6DBD" w14:paraId="7668DB0E" w14:textId="77777777" w:rsidTr="003117FC">
        <w:trPr>
          <w:trHeight w:val="1518"/>
          <w:jc w:val="center"/>
        </w:trPr>
        <w:tc>
          <w:tcPr>
            <w:tcW w:w="4675" w:type="dxa"/>
            <w:shd w:val="clear" w:color="auto" w:fill="FFFFFF" w:themeFill="background1"/>
          </w:tcPr>
          <w:p w14:paraId="2205C78A" w14:textId="77777777" w:rsidR="00C3000E" w:rsidRPr="003C6DBD" w:rsidRDefault="00C3000E" w:rsidP="003117FC">
            <w:pPr>
              <w:pStyle w:val="Heading6"/>
              <w:ind w:right="730"/>
              <w:jc w:val="center"/>
              <w:rPr>
                <w:b w:val="0"/>
                <w:bCs w:val="0"/>
                <w:color w:val="0D0D0D" w:themeColor="text1" w:themeTint="F2"/>
              </w:rPr>
            </w:pPr>
            <w:r w:rsidRPr="003C6DBD">
              <w:rPr>
                <w:color w:val="0D0D0D" w:themeColor="text1" w:themeTint="F2"/>
              </w:rPr>
              <w:t>Political</w:t>
            </w:r>
          </w:p>
          <w:p w14:paraId="52C4C722" w14:textId="77777777" w:rsidR="00C3000E" w:rsidRPr="003C6DBD" w:rsidRDefault="00C3000E" w:rsidP="003117FC">
            <w:pPr>
              <w:pStyle w:val="ListParagraph"/>
              <w:numPr>
                <w:ilvl w:val="0"/>
                <w:numId w:val="5"/>
              </w:numPr>
              <w:spacing w:line="480" w:lineRule="auto"/>
              <w:ind w:left="0" w:right="730" w:firstLine="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Biofuel regulation - policies, subsidies, tariffs</w:t>
            </w:r>
          </w:p>
          <w:p w14:paraId="62184090" w14:textId="77777777" w:rsidR="00C3000E" w:rsidRPr="003C6DBD" w:rsidRDefault="00C3000E" w:rsidP="003117FC">
            <w:pPr>
              <w:pStyle w:val="ListParagraph"/>
              <w:numPr>
                <w:ilvl w:val="0"/>
                <w:numId w:val="5"/>
              </w:numPr>
              <w:spacing w:line="480" w:lineRule="auto"/>
              <w:ind w:left="0" w:right="730" w:firstLine="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Environmental and health safety</w:t>
            </w:r>
          </w:p>
          <w:p w14:paraId="5771ACA7" w14:textId="77777777" w:rsidR="00C3000E" w:rsidRPr="003C6DBD" w:rsidRDefault="00C3000E" w:rsidP="003117FC">
            <w:pPr>
              <w:pStyle w:val="ListParagraph"/>
              <w:numPr>
                <w:ilvl w:val="0"/>
                <w:numId w:val="5"/>
              </w:numPr>
              <w:spacing w:line="480" w:lineRule="auto"/>
              <w:ind w:left="0" w:right="730" w:firstLine="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Infrastructure</w:t>
            </w:r>
          </w:p>
          <w:p w14:paraId="3EF9626D" w14:textId="77777777" w:rsidR="00C3000E" w:rsidRPr="003C6DBD" w:rsidRDefault="00C3000E" w:rsidP="003117FC">
            <w:pPr>
              <w:pStyle w:val="ListParagraph"/>
              <w:numPr>
                <w:ilvl w:val="0"/>
                <w:numId w:val="5"/>
              </w:numPr>
              <w:spacing w:line="480" w:lineRule="auto"/>
              <w:ind w:left="0" w:right="730" w:firstLine="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International</w:t>
            </w:r>
          </w:p>
          <w:p w14:paraId="0041CEB0" w14:textId="77777777" w:rsidR="00C3000E" w:rsidRPr="003C6DBD" w:rsidRDefault="00C3000E" w:rsidP="003117FC">
            <w:pPr>
              <w:pStyle w:val="ListParagraph"/>
              <w:numPr>
                <w:ilvl w:val="0"/>
                <w:numId w:val="5"/>
              </w:numPr>
              <w:spacing w:line="480" w:lineRule="auto"/>
              <w:ind w:left="0" w:right="730" w:firstLine="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General regulation</w:t>
            </w:r>
          </w:p>
        </w:tc>
        <w:tc>
          <w:tcPr>
            <w:tcW w:w="4515" w:type="dxa"/>
            <w:shd w:val="clear" w:color="auto" w:fill="FFFFFF" w:themeFill="background1"/>
          </w:tcPr>
          <w:p w14:paraId="77A2D64E" w14:textId="77777777" w:rsidR="00C3000E" w:rsidRPr="003C6DBD" w:rsidRDefault="00C3000E" w:rsidP="003117FC">
            <w:pPr>
              <w:pStyle w:val="Heading5"/>
              <w:spacing w:line="480" w:lineRule="auto"/>
              <w:ind w:right="730"/>
              <w:jc w:val="center"/>
              <w:rPr>
                <w:b/>
                <w:bCs/>
                <w:color w:val="0D0D0D" w:themeColor="text1" w:themeTint="F2"/>
              </w:rPr>
            </w:pPr>
            <w:r w:rsidRPr="003C6DBD">
              <w:rPr>
                <w:b/>
                <w:bCs/>
                <w:color w:val="0D0D0D" w:themeColor="text1" w:themeTint="F2"/>
              </w:rPr>
              <w:t>Economic</w:t>
            </w:r>
          </w:p>
          <w:p w14:paraId="3D045A29" w14:textId="77777777" w:rsidR="00C3000E" w:rsidRPr="003C6DBD" w:rsidRDefault="00C3000E" w:rsidP="003117FC">
            <w:pPr>
              <w:pStyle w:val="ListParagraph"/>
              <w:numPr>
                <w:ilvl w:val="0"/>
                <w:numId w:val="6"/>
              </w:numPr>
              <w:spacing w:line="480" w:lineRule="auto"/>
              <w:ind w:left="0" w:right="730" w:firstLine="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Markets - feedstocks</w:t>
            </w:r>
          </w:p>
          <w:p w14:paraId="6B03A771" w14:textId="77777777" w:rsidR="00C3000E" w:rsidRPr="003C6DBD" w:rsidRDefault="00C3000E" w:rsidP="003117FC">
            <w:pPr>
              <w:pStyle w:val="ListParagraph"/>
              <w:numPr>
                <w:ilvl w:val="0"/>
                <w:numId w:val="6"/>
              </w:numPr>
              <w:spacing w:line="480" w:lineRule="auto"/>
              <w:ind w:left="0" w:right="730" w:firstLine="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Markets - biofuels</w:t>
            </w:r>
          </w:p>
          <w:p w14:paraId="063B7E02" w14:textId="77777777" w:rsidR="00C3000E" w:rsidRPr="003C6DBD" w:rsidRDefault="00C3000E" w:rsidP="003117FC">
            <w:pPr>
              <w:pStyle w:val="ListParagraph"/>
              <w:numPr>
                <w:ilvl w:val="0"/>
                <w:numId w:val="6"/>
              </w:numPr>
              <w:spacing w:line="480" w:lineRule="auto"/>
              <w:ind w:left="0" w:right="730" w:firstLine="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Markets - competing fuels</w:t>
            </w:r>
          </w:p>
          <w:p w14:paraId="335DD231" w14:textId="77777777" w:rsidR="00C3000E" w:rsidRPr="003C6DBD" w:rsidRDefault="00C3000E" w:rsidP="003117FC">
            <w:pPr>
              <w:pStyle w:val="ListParagraph"/>
              <w:numPr>
                <w:ilvl w:val="0"/>
                <w:numId w:val="6"/>
              </w:numPr>
              <w:spacing w:line="480" w:lineRule="auto"/>
              <w:ind w:left="0" w:right="730" w:firstLine="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Markets - energy</w:t>
            </w:r>
          </w:p>
          <w:p w14:paraId="315575DF" w14:textId="77777777" w:rsidR="00C3000E" w:rsidRPr="003C6DBD" w:rsidRDefault="00C3000E" w:rsidP="003117FC">
            <w:pPr>
              <w:pStyle w:val="ListParagraph"/>
              <w:numPr>
                <w:ilvl w:val="0"/>
                <w:numId w:val="6"/>
              </w:numPr>
              <w:spacing w:line="480" w:lineRule="auto"/>
              <w:ind w:left="0" w:right="730" w:firstLine="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Competition</w:t>
            </w:r>
          </w:p>
          <w:p w14:paraId="3697BE35" w14:textId="77777777" w:rsidR="00C3000E" w:rsidRPr="003C6DBD" w:rsidRDefault="00C3000E" w:rsidP="003117FC">
            <w:pPr>
              <w:pStyle w:val="ListParagraph"/>
              <w:numPr>
                <w:ilvl w:val="0"/>
                <w:numId w:val="6"/>
              </w:numPr>
              <w:spacing w:line="480" w:lineRule="auto"/>
              <w:ind w:left="0" w:right="730" w:firstLine="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General economic conditions</w:t>
            </w:r>
          </w:p>
        </w:tc>
      </w:tr>
      <w:tr w:rsidR="003C6DBD" w:rsidRPr="003C6DBD" w14:paraId="268E799B" w14:textId="77777777" w:rsidTr="003117FC">
        <w:trPr>
          <w:trHeight w:val="1518"/>
          <w:jc w:val="center"/>
        </w:trPr>
        <w:tc>
          <w:tcPr>
            <w:tcW w:w="4675" w:type="dxa"/>
            <w:shd w:val="clear" w:color="auto" w:fill="FFFFFF" w:themeFill="background1"/>
          </w:tcPr>
          <w:p w14:paraId="2FA8A631" w14:textId="77777777" w:rsidR="00C3000E" w:rsidRPr="003C6DBD" w:rsidRDefault="00C3000E" w:rsidP="003117FC">
            <w:pPr>
              <w:pStyle w:val="Heading5"/>
              <w:spacing w:line="480" w:lineRule="auto"/>
              <w:ind w:right="730"/>
              <w:jc w:val="center"/>
              <w:rPr>
                <w:b/>
                <w:bCs/>
                <w:color w:val="0D0D0D" w:themeColor="text1" w:themeTint="F2"/>
              </w:rPr>
            </w:pPr>
            <w:r w:rsidRPr="003C6DBD">
              <w:rPr>
                <w:b/>
                <w:bCs/>
                <w:color w:val="0D0D0D" w:themeColor="text1" w:themeTint="F2"/>
              </w:rPr>
              <w:t>Social</w:t>
            </w:r>
          </w:p>
          <w:p w14:paraId="73FC743F" w14:textId="77777777" w:rsidR="00C3000E" w:rsidRPr="003C6DBD" w:rsidRDefault="00C3000E" w:rsidP="003117FC">
            <w:pPr>
              <w:pStyle w:val="ListParagraph"/>
              <w:numPr>
                <w:ilvl w:val="0"/>
                <w:numId w:val="7"/>
              </w:numPr>
              <w:spacing w:line="480" w:lineRule="auto"/>
              <w:ind w:left="0" w:right="730" w:firstLine="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Public opposition</w:t>
            </w:r>
          </w:p>
          <w:p w14:paraId="37049BE9" w14:textId="77777777" w:rsidR="00C3000E" w:rsidRPr="003C6DBD" w:rsidRDefault="00C3000E" w:rsidP="003117FC">
            <w:pPr>
              <w:pStyle w:val="ListParagraph"/>
              <w:numPr>
                <w:ilvl w:val="0"/>
                <w:numId w:val="7"/>
              </w:numPr>
              <w:spacing w:line="480" w:lineRule="auto"/>
              <w:ind w:left="0" w:right="730" w:firstLine="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Public perception</w:t>
            </w:r>
          </w:p>
        </w:tc>
        <w:tc>
          <w:tcPr>
            <w:tcW w:w="4515" w:type="dxa"/>
            <w:shd w:val="clear" w:color="auto" w:fill="FFFFFF" w:themeFill="background1"/>
          </w:tcPr>
          <w:p w14:paraId="46DDF969" w14:textId="77777777" w:rsidR="00C3000E" w:rsidRPr="003C6DBD" w:rsidRDefault="00C3000E" w:rsidP="003117FC">
            <w:pPr>
              <w:pStyle w:val="Heading5"/>
              <w:spacing w:line="480" w:lineRule="auto"/>
              <w:ind w:right="730"/>
              <w:jc w:val="center"/>
              <w:rPr>
                <w:b/>
                <w:bCs/>
                <w:color w:val="0D0D0D" w:themeColor="text1" w:themeTint="F2"/>
              </w:rPr>
            </w:pPr>
            <w:r w:rsidRPr="003C6DBD">
              <w:rPr>
                <w:b/>
                <w:bCs/>
                <w:color w:val="0D0D0D" w:themeColor="text1" w:themeTint="F2"/>
              </w:rPr>
              <w:t>Technological</w:t>
            </w:r>
          </w:p>
          <w:p w14:paraId="4CB5FAB9" w14:textId="77777777" w:rsidR="00C3000E" w:rsidRPr="003C6DBD" w:rsidRDefault="00C3000E" w:rsidP="003117FC">
            <w:pPr>
              <w:pStyle w:val="ListParagraph"/>
              <w:numPr>
                <w:ilvl w:val="0"/>
                <w:numId w:val="8"/>
              </w:numPr>
              <w:spacing w:line="480" w:lineRule="auto"/>
              <w:ind w:left="0" w:right="730" w:firstLine="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Feedstock technologies</w:t>
            </w:r>
          </w:p>
          <w:p w14:paraId="7C607347" w14:textId="77777777" w:rsidR="00C3000E" w:rsidRPr="003C6DBD" w:rsidRDefault="00C3000E" w:rsidP="003117FC">
            <w:pPr>
              <w:pStyle w:val="ListParagraph"/>
              <w:numPr>
                <w:ilvl w:val="0"/>
                <w:numId w:val="8"/>
              </w:numPr>
              <w:spacing w:line="480" w:lineRule="auto"/>
              <w:ind w:left="0" w:right="730" w:firstLine="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Conversion technologies</w:t>
            </w:r>
          </w:p>
          <w:p w14:paraId="1B337676" w14:textId="77777777" w:rsidR="00C3000E" w:rsidRPr="003C6DBD" w:rsidRDefault="00C3000E" w:rsidP="003117FC">
            <w:pPr>
              <w:pStyle w:val="ListParagraph"/>
              <w:numPr>
                <w:ilvl w:val="0"/>
                <w:numId w:val="8"/>
              </w:numPr>
              <w:spacing w:line="480" w:lineRule="auto"/>
              <w:ind w:left="0" w:right="730" w:firstLine="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Fuel compatibility</w:t>
            </w:r>
          </w:p>
          <w:p w14:paraId="20545686" w14:textId="77777777" w:rsidR="00C3000E" w:rsidRPr="003C6DBD" w:rsidRDefault="00C3000E" w:rsidP="003117FC">
            <w:pPr>
              <w:pStyle w:val="ListParagraph"/>
              <w:numPr>
                <w:ilvl w:val="0"/>
                <w:numId w:val="8"/>
              </w:numPr>
              <w:spacing w:line="480" w:lineRule="auto"/>
              <w:ind w:left="0" w:right="730" w:firstLine="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Intellectual property </w:t>
            </w:r>
          </w:p>
          <w:p w14:paraId="5E881B5C" w14:textId="77777777" w:rsidR="00C3000E" w:rsidRPr="003C6DBD" w:rsidRDefault="00C3000E" w:rsidP="003117FC">
            <w:pPr>
              <w:pStyle w:val="ListParagraph"/>
              <w:numPr>
                <w:ilvl w:val="0"/>
                <w:numId w:val="8"/>
              </w:numPr>
              <w:spacing w:line="480" w:lineRule="auto"/>
              <w:ind w:left="0" w:right="730" w:firstLine="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Cybersecurity</w:t>
            </w:r>
          </w:p>
        </w:tc>
      </w:tr>
    </w:tbl>
    <w:p w14:paraId="42DBF957" w14:textId="77777777" w:rsidR="00C3000E" w:rsidRPr="003C6DBD" w:rsidRDefault="00C3000E" w:rsidP="00C3000E">
      <w:pPr>
        <w:spacing w:line="480" w:lineRule="auto"/>
        <w:ind w:left="5760" w:firstLine="720"/>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Source: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{"citationID":"zOAkh68n","properties":{"formattedCitation":"(Pries et al., 2016)","plainCitation":"(Pries et al., 2016)","noteIndex":0},"citationItems":[{"id":251,"uris":["http://zotero.org/users/8949154/items/P6NYLUEB"],"itemData":{"id":251,"type":"article-journal","container-title":"Energy Policy","note":"publisher: Elsevier","page":"93–101","source":"Google Scholar","title":"Risks affecting the biofuels industry: A US and Canadian company perspective","title-short":"Risks affecting the biofuels industry","volume":"97","author":[{"family":"Pries","given":"Fred"},{"family":"Talebi","given":"Alireza"},{"family":"Schillo","given":"R. Sandra"},{"family":"Lemay","given":"Margaret A."}],"issued":{"date-parts":[["2016"]]}}}],"schema":"https://github.com/citation-style-language/schema/raw/master/csl-citation.json"}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(Pries et al., 2016)</w:t>
      </w:r>
      <w:r w:rsidRPr="003C6DBD">
        <w:rPr>
          <w:rFonts w:ascii="Times New Roman" w:hAnsi="Times New Roman" w:cs="Times New Roman"/>
          <w:color w:val="0D0D0D" w:themeColor="text1" w:themeTint="F2"/>
          <w:sz w:val="24"/>
          <w:szCs w:val="24"/>
        </w:rPr>
        <w:fldChar w:fldCharType="end"/>
      </w:r>
    </w:p>
    <w:p w14:paraId="0BF943C5" w14:textId="77777777" w:rsidR="00C3000E" w:rsidRPr="003C6DBD" w:rsidRDefault="00C3000E" w:rsidP="00C3000E">
      <w:pPr>
        <w:pStyle w:val="Caption"/>
        <w:keepNext/>
        <w:rPr>
          <w:rFonts w:ascii="Times New Roman" w:hAnsi="Times New Roman" w:cs="Times New Roman"/>
          <w:color w:val="0D0D0D" w:themeColor="text1" w:themeTint="F2"/>
          <w:sz w:val="24"/>
          <w:szCs w:val="24"/>
        </w:rPr>
      </w:pPr>
    </w:p>
    <w:p w14:paraId="3C510B6F" w14:textId="77777777" w:rsidR="00E45DE9" w:rsidRPr="003C6DBD" w:rsidRDefault="00E45DE9" w:rsidP="00E45DE9">
      <w:pPr>
        <w:rPr>
          <w:rFonts w:ascii="Times New Roman" w:hAnsi="Times New Roman" w:cs="Times New Roman"/>
          <w:color w:val="0D0D0D" w:themeColor="text1" w:themeTint="F2"/>
          <w:sz w:val="24"/>
          <w:szCs w:val="24"/>
        </w:rPr>
      </w:pPr>
    </w:p>
    <w:p w14:paraId="39DAF87A" w14:textId="77777777" w:rsidR="00E45DE9" w:rsidRPr="003C6DBD" w:rsidRDefault="00E45DE9" w:rsidP="00E45DE9">
      <w:pPr>
        <w:rPr>
          <w:rFonts w:ascii="Times New Roman" w:hAnsi="Times New Roman" w:cs="Times New Roman"/>
          <w:color w:val="0D0D0D" w:themeColor="text1" w:themeTint="F2"/>
          <w:sz w:val="24"/>
          <w:szCs w:val="24"/>
        </w:rPr>
      </w:pPr>
    </w:p>
    <w:p w14:paraId="2F0C0FC1" w14:textId="77777777" w:rsidR="00E45DE9" w:rsidRPr="003C6DBD" w:rsidRDefault="00E45DE9" w:rsidP="00E45DE9">
      <w:pPr>
        <w:rPr>
          <w:rFonts w:ascii="Times New Roman" w:hAnsi="Times New Roman" w:cs="Times New Roman"/>
          <w:color w:val="0D0D0D" w:themeColor="text1" w:themeTint="F2"/>
          <w:sz w:val="24"/>
          <w:szCs w:val="24"/>
        </w:rPr>
      </w:pPr>
    </w:p>
    <w:p w14:paraId="327D78F7" w14:textId="77777777" w:rsidR="00E45DE9" w:rsidRPr="003C6DBD" w:rsidRDefault="00E45DE9" w:rsidP="00E45DE9">
      <w:pPr>
        <w:rPr>
          <w:rFonts w:ascii="Times New Roman" w:hAnsi="Times New Roman" w:cs="Times New Roman"/>
          <w:color w:val="0D0D0D" w:themeColor="text1" w:themeTint="F2"/>
          <w:sz w:val="24"/>
          <w:szCs w:val="24"/>
        </w:rPr>
      </w:pPr>
    </w:p>
    <w:p w14:paraId="74A982C7" w14:textId="25BEBF8A" w:rsidR="00C3000E" w:rsidRPr="003C6DBD" w:rsidRDefault="00C3000E" w:rsidP="00C3000E">
      <w:pPr>
        <w:pStyle w:val="Caption"/>
        <w:keepNext/>
        <w:rPr>
          <w:rFonts w:ascii="Times New Roman" w:hAnsi="Times New Roman" w:cs="Times New Roman"/>
          <w:color w:val="0D0D0D" w:themeColor="text1" w:themeTint="F2"/>
          <w:sz w:val="24"/>
          <w:szCs w:val="24"/>
        </w:rPr>
      </w:pPr>
      <w:bookmarkStart w:id="54" w:name="_Toc132671816"/>
      <w:r w:rsidRPr="003C6DBD">
        <w:rPr>
          <w:rFonts w:ascii="Times New Roman" w:hAnsi="Times New Roman" w:cs="Times New Roman"/>
          <w:color w:val="0D0D0D" w:themeColor="text1" w:themeTint="F2"/>
          <w:sz w:val="24"/>
          <w:szCs w:val="24"/>
        </w:rPr>
        <w:lastRenderedPageBreak/>
        <w:t xml:space="preserve">Table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Table \* ARABIC </w:instrText>
      </w:r>
      <w:r w:rsidRPr="003C6DBD">
        <w:rPr>
          <w:rFonts w:ascii="Times New Roman" w:hAnsi="Times New Roman" w:cs="Times New Roman"/>
          <w:color w:val="0D0D0D" w:themeColor="text1" w:themeTint="F2"/>
          <w:sz w:val="24"/>
          <w:szCs w:val="24"/>
        </w:rPr>
        <w:fldChar w:fldCharType="separate"/>
      </w:r>
      <w:r w:rsidR="00154E66" w:rsidRPr="003C6DBD">
        <w:rPr>
          <w:rFonts w:ascii="Times New Roman" w:hAnsi="Times New Roman" w:cs="Times New Roman"/>
          <w:noProof/>
          <w:color w:val="0D0D0D" w:themeColor="text1" w:themeTint="F2"/>
          <w:sz w:val="24"/>
          <w:szCs w:val="24"/>
        </w:rPr>
        <w:t>2</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Companies involved in biofuel business according to most recent annual and quarterly reports.</w:t>
      </w:r>
      <w:bookmarkEnd w:id="54"/>
    </w:p>
    <w:tbl>
      <w:tblPr>
        <w:tblStyle w:val="TableGrid"/>
        <w:tblW w:w="919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4"/>
        <w:gridCol w:w="2390"/>
        <w:gridCol w:w="1643"/>
        <w:gridCol w:w="1603"/>
        <w:gridCol w:w="1485"/>
        <w:gridCol w:w="1431"/>
      </w:tblGrid>
      <w:tr w:rsidR="003C6DBD" w:rsidRPr="003C6DBD" w14:paraId="6A61D690" w14:textId="77777777" w:rsidTr="003117FC">
        <w:trPr>
          <w:trHeight w:val="409"/>
        </w:trPr>
        <w:tc>
          <w:tcPr>
            <w:tcW w:w="637" w:type="dxa"/>
            <w:tcBorders>
              <w:top w:val="single" w:sz="4" w:space="0" w:color="auto"/>
              <w:bottom w:val="single" w:sz="4" w:space="0" w:color="auto"/>
            </w:tcBorders>
          </w:tcPr>
          <w:p w14:paraId="260AFE8F"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S.N.</w:t>
            </w:r>
          </w:p>
        </w:tc>
        <w:tc>
          <w:tcPr>
            <w:tcW w:w="2412" w:type="dxa"/>
            <w:tcBorders>
              <w:top w:val="single" w:sz="4" w:space="0" w:color="auto"/>
              <w:bottom w:val="single" w:sz="4" w:space="0" w:color="auto"/>
            </w:tcBorders>
          </w:tcPr>
          <w:p w14:paraId="0ED48DF1"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Name of companies</w:t>
            </w:r>
          </w:p>
        </w:tc>
        <w:tc>
          <w:tcPr>
            <w:tcW w:w="1628" w:type="dxa"/>
            <w:tcBorders>
              <w:top w:val="single" w:sz="4" w:space="0" w:color="auto"/>
              <w:bottom w:val="single" w:sz="4" w:space="0" w:color="auto"/>
            </w:tcBorders>
          </w:tcPr>
          <w:p w14:paraId="0B560FCD"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 xml:space="preserve">Headquarters </w:t>
            </w:r>
          </w:p>
        </w:tc>
        <w:tc>
          <w:tcPr>
            <w:tcW w:w="1589" w:type="dxa"/>
            <w:tcBorders>
              <w:top w:val="single" w:sz="4" w:space="0" w:color="auto"/>
              <w:bottom w:val="single" w:sz="4" w:space="0" w:color="auto"/>
            </w:tcBorders>
          </w:tcPr>
          <w:p w14:paraId="7FA8D641"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Ticker</w:t>
            </w:r>
          </w:p>
        </w:tc>
        <w:tc>
          <w:tcPr>
            <w:tcW w:w="1488" w:type="dxa"/>
            <w:tcBorders>
              <w:top w:val="single" w:sz="4" w:space="0" w:color="auto"/>
              <w:bottom w:val="single" w:sz="4" w:space="0" w:color="auto"/>
            </w:tcBorders>
          </w:tcPr>
          <w:p w14:paraId="0B3070F4"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Stock Name</w:t>
            </w:r>
          </w:p>
        </w:tc>
        <w:tc>
          <w:tcPr>
            <w:tcW w:w="1442" w:type="dxa"/>
            <w:tcBorders>
              <w:top w:val="single" w:sz="4" w:space="0" w:color="auto"/>
              <w:bottom w:val="single" w:sz="4" w:space="0" w:color="auto"/>
            </w:tcBorders>
          </w:tcPr>
          <w:p w14:paraId="5C6A0580"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NAICS Code</w:t>
            </w:r>
          </w:p>
        </w:tc>
      </w:tr>
      <w:tr w:rsidR="003C6DBD" w:rsidRPr="003C6DBD" w14:paraId="0744DC64" w14:textId="77777777" w:rsidTr="003117FC">
        <w:trPr>
          <w:trHeight w:val="176"/>
        </w:trPr>
        <w:tc>
          <w:tcPr>
            <w:tcW w:w="637" w:type="dxa"/>
            <w:tcBorders>
              <w:top w:val="single" w:sz="4" w:space="0" w:color="auto"/>
            </w:tcBorders>
          </w:tcPr>
          <w:p w14:paraId="46715510"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w:t>
            </w:r>
          </w:p>
        </w:tc>
        <w:tc>
          <w:tcPr>
            <w:tcW w:w="2412" w:type="dxa"/>
            <w:tcBorders>
              <w:top w:val="single" w:sz="4" w:space="0" w:color="auto"/>
            </w:tcBorders>
          </w:tcPr>
          <w:p w14:paraId="04D91F3B" w14:textId="77777777" w:rsidR="00C3000E" w:rsidRPr="003C6DBD" w:rsidRDefault="00C3000E" w:rsidP="003117FC">
            <w:pPr>
              <w:rPr>
                <w:rFonts w:ascii="Times New Roman" w:hAnsi="Times New Roman" w:cs="Times New Roman"/>
                <w:color w:val="0D0D0D" w:themeColor="text1" w:themeTint="F2"/>
                <w:sz w:val="24"/>
                <w:szCs w:val="24"/>
              </w:rPr>
            </w:pPr>
            <w:proofErr w:type="spellStart"/>
            <w:r w:rsidRPr="003C6DBD">
              <w:rPr>
                <w:rFonts w:ascii="Times New Roman" w:hAnsi="Times New Roman" w:cs="Times New Roman"/>
                <w:color w:val="0D0D0D" w:themeColor="text1" w:themeTint="F2"/>
                <w:sz w:val="24"/>
                <w:szCs w:val="24"/>
              </w:rPr>
              <w:t>Aemetis</w:t>
            </w:r>
            <w:proofErr w:type="spellEnd"/>
            <w:r w:rsidRPr="003C6DBD">
              <w:rPr>
                <w:rFonts w:ascii="Times New Roman" w:hAnsi="Times New Roman" w:cs="Times New Roman"/>
                <w:color w:val="0D0D0D" w:themeColor="text1" w:themeTint="F2"/>
                <w:sz w:val="24"/>
                <w:szCs w:val="24"/>
              </w:rPr>
              <w:t xml:space="preserve">, Inc. </w:t>
            </w:r>
          </w:p>
        </w:tc>
        <w:tc>
          <w:tcPr>
            <w:tcW w:w="1628" w:type="dxa"/>
            <w:tcBorders>
              <w:top w:val="single" w:sz="4" w:space="0" w:color="auto"/>
            </w:tcBorders>
          </w:tcPr>
          <w:p w14:paraId="188FDACD"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California, US</w:t>
            </w:r>
          </w:p>
        </w:tc>
        <w:tc>
          <w:tcPr>
            <w:tcW w:w="1589" w:type="dxa"/>
            <w:tcBorders>
              <w:top w:val="single" w:sz="4" w:space="0" w:color="auto"/>
            </w:tcBorders>
          </w:tcPr>
          <w:p w14:paraId="61C99F12"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AMTX</w:t>
            </w:r>
          </w:p>
        </w:tc>
        <w:tc>
          <w:tcPr>
            <w:tcW w:w="1488" w:type="dxa"/>
            <w:tcBorders>
              <w:top w:val="single" w:sz="4" w:space="0" w:color="auto"/>
            </w:tcBorders>
          </w:tcPr>
          <w:p w14:paraId="0EE86303"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NASDAQ</w:t>
            </w:r>
          </w:p>
        </w:tc>
        <w:tc>
          <w:tcPr>
            <w:tcW w:w="1442" w:type="dxa"/>
            <w:tcBorders>
              <w:top w:val="single" w:sz="4" w:space="0" w:color="auto"/>
            </w:tcBorders>
          </w:tcPr>
          <w:p w14:paraId="042B2C08"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325193</w:t>
            </w:r>
          </w:p>
        </w:tc>
      </w:tr>
      <w:tr w:rsidR="003C6DBD" w:rsidRPr="003C6DBD" w14:paraId="292DCAF8" w14:textId="77777777" w:rsidTr="003117FC">
        <w:trPr>
          <w:trHeight w:val="64"/>
        </w:trPr>
        <w:tc>
          <w:tcPr>
            <w:tcW w:w="637" w:type="dxa"/>
          </w:tcPr>
          <w:p w14:paraId="77C7A59E"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w:t>
            </w:r>
          </w:p>
        </w:tc>
        <w:tc>
          <w:tcPr>
            <w:tcW w:w="2412" w:type="dxa"/>
          </w:tcPr>
          <w:p w14:paraId="41298E91"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Alto Ingredients, Inc. </w:t>
            </w:r>
          </w:p>
        </w:tc>
        <w:tc>
          <w:tcPr>
            <w:tcW w:w="1628" w:type="dxa"/>
          </w:tcPr>
          <w:p w14:paraId="724F275D"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California, US</w:t>
            </w:r>
          </w:p>
        </w:tc>
        <w:tc>
          <w:tcPr>
            <w:tcW w:w="1589" w:type="dxa"/>
          </w:tcPr>
          <w:p w14:paraId="61A6210E"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ALTO</w:t>
            </w:r>
          </w:p>
        </w:tc>
        <w:tc>
          <w:tcPr>
            <w:tcW w:w="1488" w:type="dxa"/>
          </w:tcPr>
          <w:p w14:paraId="3D4F031B"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NASDAQ</w:t>
            </w:r>
          </w:p>
        </w:tc>
        <w:tc>
          <w:tcPr>
            <w:tcW w:w="1442" w:type="dxa"/>
          </w:tcPr>
          <w:p w14:paraId="1B3707AA"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325193</w:t>
            </w:r>
          </w:p>
        </w:tc>
      </w:tr>
      <w:tr w:rsidR="003C6DBD" w:rsidRPr="003C6DBD" w14:paraId="5DD9AD1A" w14:textId="77777777" w:rsidTr="003117FC">
        <w:trPr>
          <w:trHeight w:val="129"/>
        </w:trPr>
        <w:tc>
          <w:tcPr>
            <w:tcW w:w="637" w:type="dxa"/>
          </w:tcPr>
          <w:p w14:paraId="5CD04723"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w:t>
            </w:r>
          </w:p>
        </w:tc>
        <w:tc>
          <w:tcPr>
            <w:tcW w:w="2412" w:type="dxa"/>
          </w:tcPr>
          <w:p w14:paraId="3D45E8A6"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BP p.l.c. </w:t>
            </w:r>
          </w:p>
        </w:tc>
        <w:tc>
          <w:tcPr>
            <w:tcW w:w="1628" w:type="dxa"/>
          </w:tcPr>
          <w:p w14:paraId="3DFB0777"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London, the UK</w:t>
            </w:r>
          </w:p>
        </w:tc>
        <w:tc>
          <w:tcPr>
            <w:tcW w:w="1589" w:type="dxa"/>
          </w:tcPr>
          <w:p w14:paraId="625A2DEE"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BP</w:t>
            </w:r>
          </w:p>
        </w:tc>
        <w:tc>
          <w:tcPr>
            <w:tcW w:w="1488" w:type="dxa"/>
          </w:tcPr>
          <w:p w14:paraId="38A0EB2A"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LSE</w:t>
            </w:r>
          </w:p>
        </w:tc>
        <w:tc>
          <w:tcPr>
            <w:tcW w:w="1442" w:type="dxa"/>
          </w:tcPr>
          <w:p w14:paraId="106A6CB9"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324110</w:t>
            </w:r>
          </w:p>
        </w:tc>
      </w:tr>
      <w:tr w:rsidR="003C6DBD" w:rsidRPr="003C6DBD" w14:paraId="577A0D79" w14:textId="77777777" w:rsidTr="003117FC">
        <w:trPr>
          <w:trHeight w:val="213"/>
        </w:trPr>
        <w:tc>
          <w:tcPr>
            <w:tcW w:w="637" w:type="dxa"/>
          </w:tcPr>
          <w:p w14:paraId="02D2AB9F"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4</w:t>
            </w:r>
          </w:p>
        </w:tc>
        <w:tc>
          <w:tcPr>
            <w:tcW w:w="2412" w:type="dxa"/>
          </w:tcPr>
          <w:p w14:paraId="670E98D3"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Cardinal Ethanol, LLC </w:t>
            </w:r>
          </w:p>
        </w:tc>
        <w:tc>
          <w:tcPr>
            <w:tcW w:w="1628" w:type="dxa"/>
          </w:tcPr>
          <w:p w14:paraId="3609BAFC"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Indiana, US</w:t>
            </w:r>
          </w:p>
        </w:tc>
        <w:tc>
          <w:tcPr>
            <w:tcW w:w="1589" w:type="dxa"/>
          </w:tcPr>
          <w:p w14:paraId="2E572858"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CRDE</w:t>
            </w:r>
          </w:p>
        </w:tc>
        <w:tc>
          <w:tcPr>
            <w:tcW w:w="1488" w:type="dxa"/>
          </w:tcPr>
          <w:p w14:paraId="60B386CB"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OTCPK</w:t>
            </w:r>
          </w:p>
        </w:tc>
        <w:tc>
          <w:tcPr>
            <w:tcW w:w="1442" w:type="dxa"/>
          </w:tcPr>
          <w:p w14:paraId="6246F6E1"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325193</w:t>
            </w:r>
          </w:p>
        </w:tc>
      </w:tr>
      <w:tr w:rsidR="003C6DBD" w:rsidRPr="003C6DBD" w14:paraId="1748B238" w14:textId="77777777" w:rsidTr="003117FC">
        <w:trPr>
          <w:trHeight w:val="288"/>
        </w:trPr>
        <w:tc>
          <w:tcPr>
            <w:tcW w:w="637" w:type="dxa"/>
          </w:tcPr>
          <w:p w14:paraId="0063BED7"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5</w:t>
            </w:r>
          </w:p>
        </w:tc>
        <w:tc>
          <w:tcPr>
            <w:tcW w:w="2412" w:type="dxa"/>
          </w:tcPr>
          <w:p w14:paraId="0D9CF674" w14:textId="77777777" w:rsidR="00C3000E" w:rsidRPr="003C6DBD" w:rsidRDefault="00C3000E" w:rsidP="003117FC">
            <w:pPr>
              <w:rPr>
                <w:rFonts w:ascii="Times New Roman" w:hAnsi="Times New Roman" w:cs="Times New Roman"/>
                <w:color w:val="0D0D0D" w:themeColor="text1" w:themeTint="F2"/>
                <w:sz w:val="24"/>
                <w:szCs w:val="24"/>
              </w:rPr>
            </w:pPr>
            <w:proofErr w:type="spellStart"/>
            <w:r w:rsidRPr="003C6DBD">
              <w:rPr>
                <w:rFonts w:ascii="Times New Roman" w:hAnsi="Times New Roman" w:cs="Times New Roman"/>
                <w:color w:val="0D0D0D" w:themeColor="text1" w:themeTint="F2"/>
                <w:sz w:val="24"/>
                <w:szCs w:val="24"/>
              </w:rPr>
              <w:t>Ecopetrol</w:t>
            </w:r>
            <w:proofErr w:type="spellEnd"/>
            <w:r w:rsidRPr="003C6DBD">
              <w:rPr>
                <w:rFonts w:ascii="Times New Roman" w:hAnsi="Times New Roman" w:cs="Times New Roman"/>
                <w:color w:val="0D0D0D" w:themeColor="text1" w:themeTint="F2"/>
                <w:sz w:val="24"/>
                <w:szCs w:val="24"/>
              </w:rPr>
              <w:t xml:space="preserve"> S.A. </w:t>
            </w:r>
          </w:p>
        </w:tc>
        <w:tc>
          <w:tcPr>
            <w:tcW w:w="1628" w:type="dxa"/>
          </w:tcPr>
          <w:p w14:paraId="59A78A65"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Bogotá, Colombia</w:t>
            </w:r>
          </w:p>
        </w:tc>
        <w:tc>
          <w:tcPr>
            <w:tcW w:w="1589" w:type="dxa"/>
          </w:tcPr>
          <w:p w14:paraId="0B752D20"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ECOPETROL</w:t>
            </w:r>
          </w:p>
        </w:tc>
        <w:tc>
          <w:tcPr>
            <w:tcW w:w="1488" w:type="dxa"/>
          </w:tcPr>
          <w:p w14:paraId="2950E7EA"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BVC</w:t>
            </w:r>
          </w:p>
        </w:tc>
        <w:tc>
          <w:tcPr>
            <w:tcW w:w="1442" w:type="dxa"/>
          </w:tcPr>
          <w:p w14:paraId="1FDDB3D5"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324110</w:t>
            </w:r>
          </w:p>
        </w:tc>
      </w:tr>
      <w:tr w:rsidR="003C6DBD" w:rsidRPr="003C6DBD" w14:paraId="0FAED1B0" w14:textId="77777777" w:rsidTr="003117FC">
        <w:trPr>
          <w:trHeight w:val="56"/>
        </w:trPr>
        <w:tc>
          <w:tcPr>
            <w:tcW w:w="637" w:type="dxa"/>
          </w:tcPr>
          <w:p w14:paraId="5AE9DEE4"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6</w:t>
            </w:r>
          </w:p>
        </w:tc>
        <w:tc>
          <w:tcPr>
            <w:tcW w:w="2412" w:type="dxa"/>
          </w:tcPr>
          <w:p w14:paraId="5918B4C8" w14:textId="77777777" w:rsidR="00C3000E" w:rsidRPr="003C6DBD" w:rsidRDefault="00C3000E" w:rsidP="003117FC">
            <w:pPr>
              <w:rPr>
                <w:rFonts w:ascii="Times New Roman" w:hAnsi="Times New Roman" w:cs="Times New Roman"/>
                <w:color w:val="0D0D0D" w:themeColor="text1" w:themeTint="F2"/>
                <w:sz w:val="24"/>
                <w:szCs w:val="24"/>
              </w:rPr>
            </w:pPr>
            <w:proofErr w:type="spellStart"/>
            <w:r w:rsidRPr="003C6DBD">
              <w:rPr>
                <w:rFonts w:ascii="Times New Roman" w:hAnsi="Times New Roman" w:cs="Times New Roman"/>
                <w:color w:val="0D0D0D" w:themeColor="text1" w:themeTint="F2"/>
                <w:sz w:val="24"/>
                <w:szCs w:val="24"/>
              </w:rPr>
              <w:t>FutureFuel</w:t>
            </w:r>
            <w:proofErr w:type="spellEnd"/>
            <w:r w:rsidRPr="003C6DBD">
              <w:rPr>
                <w:rFonts w:ascii="Times New Roman" w:hAnsi="Times New Roman" w:cs="Times New Roman"/>
                <w:color w:val="0D0D0D" w:themeColor="text1" w:themeTint="F2"/>
                <w:sz w:val="24"/>
                <w:szCs w:val="24"/>
              </w:rPr>
              <w:t xml:space="preserve"> Corp. </w:t>
            </w:r>
          </w:p>
        </w:tc>
        <w:tc>
          <w:tcPr>
            <w:tcW w:w="1628" w:type="dxa"/>
          </w:tcPr>
          <w:p w14:paraId="23DC4256"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Missouri, US</w:t>
            </w:r>
          </w:p>
        </w:tc>
        <w:tc>
          <w:tcPr>
            <w:tcW w:w="1589" w:type="dxa"/>
          </w:tcPr>
          <w:p w14:paraId="53E9A360"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FF</w:t>
            </w:r>
          </w:p>
        </w:tc>
        <w:tc>
          <w:tcPr>
            <w:tcW w:w="1488" w:type="dxa"/>
          </w:tcPr>
          <w:p w14:paraId="452D7450"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NASDAQ</w:t>
            </w:r>
          </w:p>
        </w:tc>
        <w:tc>
          <w:tcPr>
            <w:tcW w:w="1442" w:type="dxa"/>
          </w:tcPr>
          <w:p w14:paraId="7BD4041D"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325199</w:t>
            </w:r>
          </w:p>
        </w:tc>
      </w:tr>
      <w:tr w:rsidR="003C6DBD" w:rsidRPr="003C6DBD" w14:paraId="0D14A0FE" w14:textId="77777777" w:rsidTr="003117FC">
        <w:trPr>
          <w:trHeight w:val="56"/>
        </w:trPr>
        <w:tc>
          <w:tcPr>
            <w:tcW w:w="637" w:type="dxa"/>
          </w:tcPr>
          <w:p w14:paraId="40AEF7DF"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7</w:t>
            </w:r>
          </w:p>
        </w:tc>
        <w:tc>
          <w:tcPr>
            <w:tcW w:w="2412" w:type="dxa"/>
          </w:tcPr>
          <w:p w14:paraId="136802ED" w14:textId="77777777" w:rsidR="00C3000E" w:rsidRPr="003C6DBD" w:rsidRDefault="00C3000E" w:rsidP="003117FC">
            <w:pPr>
              <w:rPr>
                <w:rFonts w:ascii="Times New Roman" w:hAnsi="Times New Roman" w:cs="Times New Roman"/>
                <w:color w:val="0D0D0D" w:themeColor="text1" w:themeTint="F2"/>
                <w:sz w:val="24"/>
                <w:szCs w:val="24"/>
              </w:rPr>
            </w:pPr>
            <w:proofErr w:type="spellStart"/>
            <w:r w:rsidRPr="003C6DBD">
              <w:rPr>
                <w:rFonts w:ascii="Times New Roman" w:hAnsi="Times New Roman" w:cs="Times New Roman"/>
                <w:color w:val="0D0D0D" w:themeColor="text1" w:themeTint="F2"/>
                <w:sz w:val="24"/>
                <w:szCs w:val="24"/>
              </w:rPr>
              <w:t>Gevo</w:t>
            </w:r>
            <w:proofErr w:type="spellEnd"/>
            <w:r w:rsidRPr="003C6DBD">
              <w:rPr>
                <w:rFonts w:ascii="Times New Roman" w:hAnsi="Times New Roman" w:cs="Times New Roman"/>
                <w:color w:val="0D0D0D" w:themeColor="text1" w:themeTint="F2"/>
                <w:sz w:val="24"/>
                <w:szCs w:val="24"/>
              </w:rPr>
              <w:t xml:space="preserve">, Inc. </w:t>
            </w:r>
          </w:p>
        </w:tc>
        <w:tc>
          <w:tcPr>
            <w:tcW w:w="1628" w:type="dxa"/>
          </w:tcPr>
          <w:p w14:paraId="1844FA91"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Colorado, US</w:t>
            </w:r>
          </w:p>
        </w:tc>
        <w:tc>
          <w:tcPr>
            <w:tcW w:w="1589" w:type="dxa"/>
          </w:tcPr>
          <w:p w14:paraId="294D568F"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GEVO</w:t>
            </w:r>
          </w:p>
        </w:tc>
        <w:tc>
          <w:tcPr>
            <w:tcW w:w="1488" w:type="dxa"/>
          </w:tcPr>
          <w:p w14:paraId="16FE632D"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NASDAQ</w:t>
            </w:r>
          </w:p>
        </w:tc>
        <w:tc>
          <w:tcPr>
            <w:tcW w:w="1442" w:type="dxa"/>
          </w:tcPr>
          <w:p w14:paraId="382F63CE"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325193</w:t>
            </w:r>
          </w:p>
        </w:tc>
      </w:tr>
      <w:tr w:rsidR="003C6DBD" w:rsidRPr="003C6DBD" w14:paraId="68F96C30" w14:textId="77777777" w:rsidTr="003117FC">
        <w:trPr>
          <w:trHeight w:val="512"/>
        </w:trPr>
        <w:tc>
          <w:tcPr>
            <w:tcW w:w="637" w:type="dxa"/>
          </w:tcPr>
          <w:p w14:paraId="6B70EADD"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8</w:t>
            </w:r>
          </w:p>
        </w:tc>
        <w:tc>
          <w:tcPr>
            <w:tcW w:w="2412" w:type="dxa"/>
          </w:tcPr>
          <w:p w14:paraId="65EF2222"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Granite Falls Energy, LLC </w:t>
            </w:r>
          </w:p>
        </w:tc>
        <w:tc>
          <w:tcPr>
            <w:tcW w:w="1628" w:type="dxa"/>
          </w:tcPr>
          <w:p w14:paraId="21FD6A50"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Minnesota, US</w:t>
            </w:r>
          </w:p>
        </w:tc>
        <w:tc>
          <w:tcPr>
            <w:tcW w:w="1589" w:type="dxa"/>
          </w:tcPr>
          <w:p w14:paraId="11E4517D"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GFGY</w:t>
            </w:r>
          </w:p>
        </w:tc>
        <w:tc>
          <w:tcPr>
            <w:tcW w:w="1488" w:type="dxa"/>
          </w:tcPr>
          <w:p w14:paraId="7F16D464"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OTCPK</w:t>
            </w:r>
          </w:p>
        </w:tc>
        <w:tc>
          <w:tcPr>
            <w:tcW w:w="1442" w:type="dxa"/>
          </w:tcPr>
          <w:p w14:paraId="29DEF212"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325193</w:t>
            </w:r>
          </w:p>
        </w:tc>
      </w:tr>
      <w:tr w:rsidR="003C6DBD" w:rsidRPr="003C6DBD" w14:paraId="4B1AF4D2" w14:textId="77777777" w:rsidTr="003117FC">
        <w:trPr>
          <w:trHeight w:val="279"/>
        </w:trPr>
        <w:tc>
          <w:tcPr>
            <w:tcW w:w="637" w:type="dxa"/>
          </w:tcPr>
          <w:p w14:paraId="43B84A80"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9</w:t>
            </w:r>
          </w:p>
        </w:tc>
        <w:tc>
          <w:tcPr>
            <w:tcW w:w="2412" w:type="dxa"/>
          </w:tcPr>
          <w:p w14:paraId="100EDAE8"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Green Plains Inc. </w:t>
            </w:r>
          </w:p>
        </w:tc>
        <w:tc>
          <w:tcPr>
            <w:tcW w:w="1628" w:type="dxa"/>
          </w:tcPr>
          <w:p w14:paraId="24F0B7EC"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Nebraska, US</w:t>
            </w:r>
          </w:p>
        </w:tc>
        <w:tc>
          <w:tcPr>
            <w:tcW w:w="1589" w:type="dxa"/>
          </w:tcPr>
          <w:p w14:paraId="41CC90B5"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GPRE</w:t>
            </w:r>
          </w:p>
        </w:tc>
        <w:tc>
          <w:tcPr>
            <w:tcW w:w="1488" w:type="dxa"/>
          </w:tcPr>
          <w:p w14:paraId="5FD83D87"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NASDAQ</w:t>
            </w:r>
          </w:p>
        </w:tc>
        <w:tc>
          <w:tcPr>
            <w:tcW w:w="1442" w:type="dxa"/>
          </w:tcPr>
          <w:p w14:paraId="05BD52B7"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325193</w:t>
            </w:r>
          </w:p>
        </w:tc>
      </w:tr>
      <w:tr w:rsidR="003C6DBD" w:rsidRPr="003C6DBD" w14:paraId="10053B8F" w14:textId="77777777" w:rsidTr="003117FC">
        <w:trPr>
          <w:trHeight w:val="447"/>
        </w:trPr>
        <w:tc>
          <w:tcPr>
            <w:tcW w:w="637" w:type="dxa"/>
          </w:tcPr>
          <w:p w14:paraId="642EFAEC"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10</w:t>
            </w:r>
          </w:p>
        </w:tc>
        <w:tc>
          <w:tcPr>
            <w:tcW w:w="2412" w:type="dxa"/>
          </w:tcPr>
          <w:p w14:paraId="795D1961"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Heron Lake </w:t>
            </w:r>
            <w:proofErr w:type="spellStart"/>
            <w:r w:rsidRPr="003C6DBD">
              <w:rPr>
                <w:rFonts w:ascii="Times New Roman" w:hAnsi="Times New Roman" w:cs="Times New Roman"/>
                <w:color w:val="0D0D0D" w:themeColor="text1" w:themeTint="F2"/>
                <w:sz w:val="24"/>
                <w:szCs w:val="24"/>
              </w:rPr>
              <w:t>BioEnergy</w:t>
            </w:r>
            <w:proofErr w:type="spellEnd"/>
            <w:r w:rsidRPr="003C6DBD">
              <w:rPr>
                <w:rFonts w:ascii="Times New Roman" w:hAnsi="Times New Roman" w:cs="Times New Roman"/>
                <w:color w:val="0D0D0D" w:themeColor="text1" w:themeTint="F2"/>
                <w:sz w:val="24"/>
                <w:szCs w:val="24"/>
              </w:rPr>
              <w:t xml:space="preserve">, LLC </w:t>
            </w:r>
          </w:p>
        </w:tc>
        <w:tc>
          <w:tcPr>
            <w:tcW w:w="1628" w:type="dxa"/>
          </w:tcPr>
          <w:p w14:paraId="03A3A2CA"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Minnesota, US</w:t>
            </w:r>
          </w:p>
        </w:tc>
        <w:tc>
          <w:tcPr>
            <w:tcW w:w="1589" w:type="dxa"/>
          </w:tcPr>
          <w:p w14:paraId="37A8DF4C"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HLBY.L</w:t>
            </w:r>
          </w:p>
        </w:tc>
        <w:tc>
          <w:tcPr>
            <w:tcW w:w="1488" w:type="dxa"/>
          </w:tcPr>
          <w:p w14:paraId="648B3E20"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OTCPK</w:t>
            </w:r>
          </w:p>
        </w:tc>
        <w:tc>
          <w:tcPr>
            <w:tcW w:w="1442" w:type="dxa"/>
          </w:tcPr>
          <w:p w14:paraId="4CDB3175"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325193</w:t>
            </w:r>
          </w:p>
        </w:tc>
      </w:tr>
      <w:tr w:rsidR="003C6DBD" w:rsidRPr="003C6DBD" w14:paraId="44870C2F" w14:textId="77777777" w:rsidTr="003117FC">
        <w:trPr>
          <w:trHeight w:val="56"/>
        </w:trPr>
        <w:tc>
          <w:tcPr>
            <w:tcW w:w="637" w:type="dxa"/>
          </w:tcPr>
          <w:p w14:paraId="33CA9F90"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11</w:t>
            </w:r>
          </w:p>
        </w:tc>
        <w:tc>
          <w:tcPr>
            <w:tcW w:w="2412" w:type="dxa"/>
          </w:tcPr>
          <w:p w14:paraId="7F581D24" w14:textId="77777777" w:rsidR="00C3000E" w:rsidRPr="003C6DBD" w:rsidRDefault="00C3000E" w:rsidP="003117FC">
            <w:pPr>
              <w:rPr>
                <w:rFonts w:ascii="Times New Roman" w:hAnsi="Times New Roman" w:cs="Times New Roman"/>
                <w:color w:val="0D0D0D" w:themeColor="text1" w:themeTint="F2"/>
                <w:sz w:val="24"/>
                <w:szCs w:val="24"/>
              </w:rPr>
            </w:pPr>
            <w:proofErr w:type="spellStart"/>
            <w:r w:rsidRPr="003C6DBD">
              <w:rPr>
                <w:rFonts w:ascii="Times New Roman" w:hAnsi="Times New Roman" w:cs="Times New Roman"/>
                <w:color w:val="0D0D0D" w:themeColor="text1" w:themeTint="F2"/>
                <w:sz w:val="24"/>
                <w:szCs w:val="24"/>
              </w:rPr>
              <w:t>Lignol</w:t>
            </w:r>
            <w:proofErr w:type="spellEnd"/>
            <w:r w:rsidRPr="003C6DBD">
              <w:rPr>
                <w:rFonts w:ascii="Times New Roman" w:hAnsi="Times New Roman" w:cs="Times New Roman"/>
                <w:color w:val="0D0D0D" w:themeColor="text1" w:themeTint="F2"/>
                <w:sz w:val="24"/>
                <w:szCs w:val="24"/>
              </w:rPr>
              <w:t xml:space="preserve"> Energy Corporation </w:t>
            </w:r>
          </w:p>
        </w:tc>
        <w:tc>
          <w:tcPr>
            <w:tcW w:w="1628" w:type="dxa"/>
          </w:tcPr>
          <w:p w14:paraId="7262F95E"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Vancouver, Canada</w:t>
            </w:r>
          </w:p>
        </w:tc>
        <w:tc>
          <w:tcPr>
            <w:tcW w:w="1589" w:type="dxa"/>
          </w:tcPr>
          <w:p w14:paraId="5A057EC3"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LECF.F</w:t>
            </w:r>
          </w:p>
        </w:tc>
        <w:tc>
          <w:tcPr>
            <w:tcW w:w="1488" w:type="dxa"/>
          </w:tcPr>
          <w:p w14:paraId="1FDCE32C"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OTCMKTS</w:t>
            </w:r>
          </w:p>
        </w:tc>
        <w:tc>
          <w:tcPr>
            <w:tcW w:w="1442" w:type="dxa"/>
          </w:tcPr>
          <w:p w14:paraId="7803CAC6"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324199</w:t>
            </w:r>
          </w:p>
        </w:tc>
      </w:tr>
      <w:tr w:rsidR="003C6DBD" w:rsidRPr="003C6DBD" w14:paraId="04DE045A" w14:textId="77777777" w:rsidTr="003117FC">
        <w:trPr>
          <w:trHeight w:val="521"/>
        </w:trPr>
        <w:tc>
          <w:tcPr>
            <w:tcW w:w="637" w:type="dxa"/>
          </w:tcPr>
          <w:p w14:paraId="0BEB4377"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12</w:t>
            </w:r>
          </w:p>
        </w:tc>
        <w:tc>
          <w:tcPr>
            <w:tcW w:w="2412" w:type="dxa"/>
          </w:tcPr>
          <w:p w14:paraId="5B87DE48" w14:textId="77777777" w:rsidR="00C3000E" w:rsidRPr="003C6DBD" w:rsidRDefault="00C3000E" w:rsidP="003117FC">
            <w:pPr>
              <w:rPr>
                <w:rFonts w:ascii="Times New Roman" w:hAnsi="Times New Roman" w:cs="Times New Roman"/>
                <w:color w:val="0D0D0D" w:themeColor="text1" w:themeTint="F2"/>
                <w:sz w:val="24"/>
                <w:szCs w:val="24"/>
              </w:rPr>
            </w:pPr>
            <w:proofErr w:type="spellStart"/>
            <w:r w:rsidRPr="003C6DBD">
              <w:rPr>
                <w:rFonts w:ascii="Times New Roman" w:hAnsi="Times New Roman" w:cs="Times New Roman"/>
                <w:color w:val="0D0D0D" w:themeColor="text1" w:themeTint="F2"/>
                <w:sz w:val="24"/>
                <w:szCs w:val="24"/>
              </w:rPr>
              <w:t>Methes</w:t>
            </w:r>
            <w:proofErr w:type="spellEnd"/>
            <w:r w:rsidRPr="003C6DBD">
              <w:rPr>
                <w:rFonts w:ascii="Times New Roman" w:hAnsi="Times New Roman" w:cs="Times New Roman"/>
                <w:color w:val="0D0D0D" w:themeColor="text1" w:themeTint="F2"/>
                <w:sz w:val="24"/>
                <w:szCs w:val="24"/>
              </w:rPr>
              <w:t xml:space="preserve"> Energies International Ltd. </w:t>
            </w:r>
          </w:p>
        </w:tc>
        <w:tc>
          <w:tcPr>
            <w:tcW w:w="1628" w:type="dxa"/>
          </w:tcPr>
          <w:p w14:paraId="066756E3"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Nevada, US</w:t>
            </w:r>
          </w:p>
        </w:tc>
        <w:tc>
          <w:tcPr>
            <w:tcW w:w="1589" w:type="dxa"/>
          </w:tcPr>
          <w:p w14:paraId="457CF711"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MEIL</w:t>
            </w:r>
          </w:p>
        </w:tc>
        <w:tc>
          <w:tcPr>
            <w:tcW w:w="1488" w:type="dxa"/>
          </w:tcPr>
          <w:p w14:paraId="661F0E48"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OTCMKTS</w:t>
            </w:r>
          </w:p>
        </w:tc>
        <w:tc>
          <w:tcPr>
            <w:tcW w:w="1442" w:type="dxa"/>
          </w:tcPr>
          <w:p w14:paraId="5073C875"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324199</w:t>
            </w:r>
          </w:p>
        </w:tc>
      </w:tr>
      <w:tr w:rsidR="003C6DBD" w:rsidRPr="003C6DBD" w14:paraId="147224C8" w14:textId="77777777" w:rsidTr="003117FC">
        <w:trPr>
          <w:trHeight w:val="223"/>
        </w:trPr>
        <w:tc>
          <w:tcPr>
            <w:tcW w:w="637" w:type="dxa"/>
          </w:tcPr>
          <w:p w14:paraId="5459ADFC"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13</w:t>
            </w:r>
          </w:p>
        </w:tc>
        <w:tc>
          <w:tcPr>
            <w:tcW w:w="2412" w:type="dxa"/>
          </w:tcPr>
          <w:p w14:paraId="0F748CB8" w14:textId="77777777" w:rsidR="00C3000E" w:rsidRPr="003C6DBD" w:rsidRDefault="00C3000E" w:rsidP="003117FC">
            <w:pPr>
              <w:rPr>
                <w:rFonts w:ascii="Times New Roman" w:hAnsi="Times New Roman" w:cs="Times New Roman"/>
                <w:color w:val="0D0D0D" w:themeColor="text1" w:themeTint="F2"/>
                <w:sz w:val="24"/>
                <w:szCs w:val="24"/>
              </w:rPr>
            </w:pPr>
            <w:proofErr w:type="spellStart"/>
            <w:r w:rsidRPr="003C6DBD">
              <w:rPr>
                <w:rFonts w:ascii="Times New Roman" w:hAnsi="Times New Roman" w:cs="Times New Roman"/>
                <w:color w:val="0D0D0D" w:themeColor="text1" w:themeTint="F2"/>
                <w:sz w:val="24"/>
                <w:szCs w:val="24"/>
              </w:rPr>
              <w:t>Petróleo</w:t>
            </w:r>
            <w:proofErr w:type="spellEnd"/>
            <w:r w:rsidRPr="003C6DBD">
              <w:rPr>
                <w:rFonts w:ascii="Times New Roman" w:hAnsi="Times New Roman" w:cs="Times New Roman"/>
                <w:color w:val="0D0D0D" w:themeColor="text1" w:themeTint="F2"/>
                <w:sz w:val="24"/>
                <w:szCs w:val="24"/>
              </w:rPr>
              <w:t xml:space="preserve"> </w:t>
            </w:r>
            <w:proofErr w:type="spellStart"/>
            <w:r w:rsidRPr="003C6DBD">
              <w:rPr>
                <w:rFonts w:ascii="Times New Roman" w:hAnsi="Times New Roman" w:cs="Times New Roman"/>
                <w:color w:val="0D0D0D" w:themeColor="text1" w:themeTint="F2"/>
                <w:sz w:val="24"/>
                <w:szCs w:val="24"/>
              </w:rPr>
              <w:t>Brasileiro</w:t>
            </w:r>
            <w:proofErr w:type="spellEnd"/>
            <w:r w:rsidRPr="003C6DBD">
              <w:rPr>
                <w:rFonts w:ascii="Times New Roman" w:hAnsi="Times New Roman" w:cs="Times New Roman"/>
                <w:color w:val="0D0D0D" w:themeColor="text1" w:themeTint="F2"/>
                <w:sz w:val="24"/>
                <w:szCs w:val="24"/>
              </w:rPr>
              <w:t xml:space="preserve"> S.A. </w:t>
            </w:r>
          </w:p>
        </w:tc>
        <w:tc>
          <w:tcPr>
            <w:tcW w:w="1628" w:type="dxa"/>
          </w:tcPr>
          <w:p w14:paraId="05471F1A"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Rio de Janeiro, Brazil</w:t>
            </w:r>
          </w:p>
        </w:tc>
        <w:tc>
          <w:tcPr>
            <w:tcW w:w="1589" w:type="dxa"/>
          </w:tcPr>
          <w:p w14:paraId="1480DB06"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PBR</w:t>
            </w:r>
          </w:p>
        </w:tc>
        <w:tc>
          <w:tcPr>
            <w:tcW w:w="1488" w:type="dxa"/>
          </w:tcPr>
          <w:p w14:paraId="2E5F3FF6"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NYSE</w:t>
            </w:r>
          </w:p>
        </w:tc>
        <w:tc>
          <w:tcPr>
            <w:tcW w:w="1442" w:type="dxa"/>
          </w:tcPr>
          <w:p w14:paraId="17257E7C"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324110</w:t>
            </w:r>
          </w:p>
        </w:tc>
      </w:tr>
      <w:tr w:rsidR="003C6DBD" w:rsidRPr="003C6DBD" w14:paraId="06CABF65" w14:textId="77777777" w:rsidTr="003117FC">
        <w:trPr>
          <w:trHeight w:val="56"/>
        </w:trPr>
        <w:tc>
          <w:tcPr>
            <w:tcW w:w="637" w:type="dxa"/>
          </w:tcPr>
          <w:p w14:paraId="79F9B5F0"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14</w:t>
            </w:r>
          </w:p>
        </w:tc>
        <w:tc>
          <w:tcPr>
            <w:tcW w:w="2412" w:type="dxa"/>
          </w:tcPr>
          <w:p w14:paraId="7BC5BB9C"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Red Trail Energy, LLC </w:t>
            </w:r>
          </w:p>
        </w:tc>
        <w:tc>
          <w:tcPr>
            <w:tcW w:w="1628" w:type="dxa"/>
          </w:tcPr>
          <w:p w14:paraId="6BBB4096"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North Dakota, US</w:t>
            </w:r>
          </w:p>
        </w:tc>
        <w:tc>
          <w:tcPr>
            <w:tcW w:w="1589" w:type="dxa"/>
          </w:tcPr>
          <w:p w14:paraId="09A9B082"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REGX</w:t>
            </w:r>
          </w:p>
        </w:tc>
        <w:tc>
          <w:tcPr>
            <w:tcW w:w="1488" w:type="dxa"/>
          </w:tcPr>
          <w:p w14:paraId="4DE52200"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OTCPK</w:t>
            </w:r>
          </w:p>
        </w:tc>
        <w:tc>
          <w:tcPr>
            <w:tcW w:w="1442" w:type="dxa"/>
          </w:tcPr>
          <w:p w14:paraId="6A562B5F"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325193</w:t>
            </w:r>
          </w:p>
        </w:tc>
      </w:tr>
      <w:tr w:rsidR="003C6DBD" w:rsidRPr="003C6DBD" w14:paraId="57BC577C" w14:textId="77777777" w:rsidTr="003117FC">
        <w:trPr>
          <w:trHeight w:val="56"/>
        </w:trPr>
        <w:tc>
          <w:tcPr>
            <w:tcW w:w="637" w:type="dxa"/>
          </w:tcPr>
          <w:p w14:paraId="2B1D3E0A"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15</w:t>
            </w:r>
          </w:p>
        </w:tc>
        <w:tc>
          <w:tcPr>
            <w:tcW w:w="2412" w:type="dxa"/>
          </w:tcPr>
          <w:p w14:paraId="1BE1CFE4"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Renewable Energy Group, Inc. </w:t>
            </w:r>
          </w:p>
        </w:tc>
        <w:tc>
          <w:tcPr>
            <w:tcW w:w="1628" w:type="dxa"/>
          </w:tcPr>
          <w:p w14:paraId="40F11187"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Iowa, US</w:t>
            </w:r>
          </w:p>
        </w:tc>
        <w:tc>
          <w:tcPr>
            <w:tcW w:w="1589" w:type="dxa"/>
          </w:tcPr>
          <w:p w14:paraId="7B3A4E9E"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REGI</w:t>
            </w:r>
          </w:p>
        </w:tc>
        <w:tc>
          <w:tcPr>
            <w:tcW w:w="1488" w:type="dxa"/>
          </w:tcPr>
          <w:p w14:paraId="06E6F6CB"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NASDAQ</w:t>
            </w:r>
          </w:p>
        </w:tc>
        <w:tc>
          <w:tcPr>
            <w:tcW w:w="1442" w:type="dxa"/>
          </w:tcPr>
          <w:p w14:paraId="659672BB"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324199</w:t>
            </w:r>
          </w:p>
        </w:tc>
      </w:tr>
      <w:tr w:rsidR="003C6DBD" w:rsidRPr="003C6DBD" w14:paraId="6BAD0185" w14:textId="77777777" w:rsidTr="003117FC">
        <w:trPr>
          <w:trHeight w:val="56"/>
        </w:trPr>
        <w:tc>
          <w:tcPr>
            <w:tcW w:w="637" w:type="dxa"/>
          </w:tcPr>
          <w:p w14:paraId="6F750AEF"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16</w:t>
            </w:r>
          </w:p>
        </w:tc>
        <w:tc>
          <w:tcPr>
            <w:tcW w:w="2412" w:type="dxa"/>
          </w:tcPr>
          <w:p w14:paraId="78315953"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Renewable Fuel Corp </w:t>
            </w:r>
          </w:p>
        </w:tc>
        <w:tc>
          <w:tcPr>
            <w:tcW w:w="1628" w:type="dxa"/>
          </w:tcPr>
          <w:p w14:paraId="183CB194"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Nevada, US</w:t>
            </w:r>
          </w:p>
        </w:tc>
        <w:tc>
          <w:tcPr>
            <w:tcW w:w="1589" w:type="dxa"/>
          </w:tcPr>
          <w:p w14:paraId="6B7527F2"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RWFC</w:t>
            </w:r>
          </w:p>
        </w:tc>
        <w:tc>
          <w:tcPr>
            <w:tcW w:w="1488" w:type="dxa"/>
          </w:tcPr>
          <w:p w14:paraId="088A5D10"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OTCPK</w:t>
            </w:r>
          </w:p>
        </w:tc>
        <w:tc>
          <w:tcPr>
            <w:tcW w:w="1442" w:type="dxa"/>
          </w:tcPr>
          <w:p w14:paraId="3F20E2E3"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324199</w:t>
            </w:r>
          </w:p>
        </w:tc>
      </w:tr>
      <w:tr w:rsidR="003C6DBD" w:rsidRPr="003C6DBD" w14:paraId="7BF5604A" w14:textId="77777777" w:rsidTr="003117FC">
        <w:trPr>
          <w:trHeight w:val="56"/>
        </w:trPr>
        <w:tc>
          <w:tcPr>
            <w:tcW w:w="637" w:type="dxa"/>
          </w:tcPr>
          <w:p w14:paraId="67202A19"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17</w:t>
            </w:r>
          </w:p>
        </w:tc>
        <w:tc>
          <w:tcPr>
            <w:tcW w:w="2412" w:type="dxa"/>
          </w:tcPr>
          <w:p w14:paraId="57FBF8BE"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REX American Resources Corporation </w:t>
            </w:r>
          </w:p>
        </w:tc>
        <w:tc>
          <w:tcPr>
            <w:tcW w:w="1628" w:type="dxa"/>
          </w:tcPr>
          <w:p w14:paraId="78826DEE"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Ohio, US</w:t>
            </w:r>
          </w:p>
        </w:tc>
        <w:tc>
          <w:tcPr>
            <w:tcW w:w="1589" w:type="dxa"/>
          </w:tcPr>
          <w:p w14:paraId="3EC04CA8"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REX</w:t>
            </w:r>
          </w:p>
        </w:tc>
        <w:tc>
          <w:tcPr>
            <w:tcW w:w="1488" w:type="dxa"/>
          </w:tcPr>
          <w:p w14:paraId="724992FC"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NYSE</w:t>
            </w:r>
          </w:p>
        </w:tc>
        <w:tc>
          <w:tcPr>
            <w:tcW w:w="1442" w:type="dxa"/>
          </w:tcPr>
          <w:p w14:paraId="0B98B21B"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325193</w:t>
            </w:r>
          </w:p>
        </w:tc>
      </w:tr>
      <w:tr w:rsidR="003C6DBD" w:rsidRPr="003C6DBD" w14:paraId="7782CE6E" w14:textId="77777777" w:rsidTr="003117FC">
        <w:trPr>
          <w:trHeight w:val="203"/>
        </w:trPr>
        <w:tc>
          <w:tcPr>
            <w:tcW w:w="637" w:type="dxa"/>
          </w:tcPr>
          <w:p w14:paraId="0F7BF6B7"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18</w:t>
            </w:r>
          </w:p>
        </w:tc>
        <w:tc>
          <w:tcPr>
            <w:tcW w:w="2412" w:type="dxa"/>
          </w:tcPr>
          <w:p w14:paraId="21B47976"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Royal Dutch Shell plc </w:t>
            </w:r>
          </w:p>
        </w:tc>
        <w:tc>
          <w:tcPr>
            <w:tcW w:w="1628" w:type="dxa"/>
          </w:tcPr>
          <w:p w14:paraId="23A47970"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The Hague, the Netherlands</w:t>
            </w:r>
          </w:p>
        </w:tc>
        <w:tc>
          <w:tcPr>
            <w:tcW w:w="1589" w:type="dxa"/>
          </w:tcPr>
          <w:p w14:paraId="77D381CB"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RDSA</w:t>
            </w:r>
          </w:p>
        </w:tc>
        <w:tc>
          <w:tcPr>
            <w:tcW w:w="1488" w:type="dxa"/>
          </w:tcPr>
          <w:p w14:paraId="08274D39"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ENXTAM</w:t>
            </w:r>
          </w:p>
        </w:tc>
        <w:tc>
          <w:tcPr>
            <w:tcW w:w="1442" w:type="dxa"/>
          </w:tcPr>
          <w:p w14:paraId="66CA3C93"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324110</w:t>
            </w:r>
          </w:p>
        </w:tc>
      </w:tr>
      <w:tr w:rsidR="00C3000E" w:rsidRPr="003C6DBD" w14:paraId="3E922CE8" w14:textId="77777777" w:rsidTr="003117FC">
        <w:trPr>
          <w:trHeight w:val="56"/>
        </w:trPr>
        <w:tc>
          <w:tcPr>
            <w:tcW w:w="637" w:type="dxa"/>
          </w:tcPr>
          <w:p w14:paraId="70365BE7"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19</w:t>
            </w:r>
          </w:p>
        </w:tc>
        <w:tc>
          <w:tcPr>
            <w:tcW w:w="2412" w:type="dxa"/>
          </w:tcPr>
          <w:p w14:paraId="70709631"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Valero Energy Corporation </w:t>
            </w:r>
          </w:p>
        </w:tc>
        <w:tc>
          <w:tcPr>
            <w:tcW w:w="1628" w:type="dxa"/>
          </w:tcPr>
          <w:p w14:paraId="2A3EB795"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Texas, US</w:t>
            </w:r>
          </w:p>
        </w:tc>
        <w:tc>
          <w:tcPr>
            <w:tcW w:w="1589" w:type="dxa"/>
          </w:tcPr>
          <w:p w14:paraId="4315AA9E"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VLO</w:t>
            </w:r>
          </w:p>
        </w:tc>
        <w:tc>
          <w:tcPr>
            <w:tcW w:w="1488" w:type="dxa"/>
          </w:tcPr>
          <w:p w14:paraId="313F40EC"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NYSE</w:t>
            </w:r>
          </w:p>
        </w:tc>
        <w:tc>
          <w:tcPr>
            <w:tcW w:w="1442" w:type="dxa"/>
          </w:tcPr>
          <w:p w14:paraId="62AA692F" w14:textId="77777777" w:rsidR="00C3000E" w:rsidRPr="003C6DBD" w:rsidRDefault="00C3000E" w:rsidP="003117FC">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324110</w:t>
            </w:r>
          </w:p>
        </w:tc>
      </w:tr>
    </w:tbl>
    <w:p w14:paraId="08D18B4A" w14:textId="77777777" w:rsidR="00C3000E" w:rsidRPr="003C6DBD" w:rsidRDefault="00C3000E" w:rsidP="00C3000E">
      <w:pPr>
        <w:pStyle w:val="Caption"/>
        <w:keepNext/>
        <w:rPr>
          <w:rFonts w:ascii="Times New Roman" w:hAnsi="Times New Roman" w:cs="Times New Roman"/>
          <w:color w:val="0D0D0D" w:themeColor="text1" w:themeTint="F2"/>
          <w:sz w:val="24"/>
          <w:szCs w:val="24"/>
        </w:rPr>
      </w:pPr>
    </w:p>
    <w:p w14:paraId="18E13AD5" w14:textId="77777777" w:rsidR="00D21393" w:rsidRDefault="00D21393" w:rsidP="00C3000E">
      <w:pPr>
        <w:pStyle w:val="Caption"/>
        <w:keepNext/>
        <w:spacing w:line="480" w:lineRule="auto"/>
        <w:rPr>
          <w:rFonts w:ascii="Times New Roman" w:hAnsi="Times New Roman" w:cs="Times New Roman"/>
          <w:i w:val="0"/>
          <w:iCs w:val="0"/>
          <w:color w:val="0D0D0D" w:themeColor="text1" w:themeTint="F2"/>
          <w:sz w:val="24"/>
          <w:szCs w:val="24"/>
        </w:rPr>
      </w:pPr>
    </w:p>
    <w:p w14:paraId="3439E84C" w14:textId="77777777" w:rsidR="00D21393" w:rsidRDefault="00D21393" w:rsidP="00C3000E">
      <w:pPr>
        <w:pStyle w:val="Caption"/>
        <w:keepNext/>
        <w:spacing w:line="480" w:lineRule="auto"/>
        <w:rPr>
          <w:rFonts w:ascii="Times New Roman" w:hAnsi="Times New Roman" w:cs="Times New Roman"/>
          <w:i w:val="0"/>
          <w:iCs w:val="0"/>
          <w:color w:val="0D0D0D" w:themeColor="text1" w:themeTint="F2"/>
          <w:sz w:val="24"/>
          <w:szCs w:val="24"/>
        </w:rPr>
      </w:pPr>
    </w:p>
    <w:p w14:paraId="69D9428A" w14:textId="139AC9BC" w:rsidR="00C3000E" w:rsidRPr="003C6DBD" w:rsidRDefault="00C3000E" w:rsidP="00C3000E">
      <w:pPr>
        <w:pStyle w:val="Caption"/>
        <w:keepNext/>
        <w:spacing w:line="480" w:lineRule="auto"/>
        <w:rPr>
          <w:rFonts w:ascii="Times New Roman" w:hAnsi="Times New Roman" w:cs="Times New Roman"/>
          <w:i w:val="0"/>
          <w:iCs w:val="0"/>
          <w:color w:val="0D0D0D" w:themeColor="text1" w:themeTint="F2"/>
          <w:sz w:val="24"/>
          <w:szCs w:val="24"/>
        </w:rPr>
      </w:pPr>
      <w:r w:rsidRPr="003C6DBD">
        <w:rPr>
          <w:rFonts w:ascii="Times New Roman" w:hAnsi="Times New Roman" w:cs="Times New Roman"/>
          <w:i w:val="0"/>
          <w:iCs w:val="0"/>
          <w:color w:val="0D0D0D" w:themeColor="text1" w:themeTint="F2"/>
          <w:sz w:val="24"/>
          <w:szCs w:val="24"/>
        </w:rPr>
        <w:t>Note: This list was prepared after screening the total list of companies obtained using NAICS Biofuel firms identified using NAICS codes 324110, 324119, 325193 and inspecting their recent annual reports to the Securities and Exchange Commission. S.N. stands for serial number, used as an identifier.</w:t>
      </w:r>
    </w:p>
    <w:p w14:paraId="4EDA8BDD" w14:textId="6AC94D7C" w:rsidR="00C3000E" w:rsidRPr="003C6DBD" w:rsidRDefault="00C3000E" w:rsidP="00C3000E">
      <w:pPr>
        <w:pStyle w:val="Caption"/>
        <w:keepNext/>
        <w:spacing w:line="480" w:lineRule="auto"/>
        <w:rPr>
          <w:rFonts w:ascii="Times New Roman" w:hAnsi="Times New Roman" w:cs="Times New Roman"/>
          <w:color w:val="0D0D0D" w:themeColor="text1" w:themeTint="F2"/>
          <w:sz w:val="24"/>
          <w:szCs w:val="24"/>
        </w:rPr>
      </w:pPr>
      <w:bookmarkStart w:id="55" w:name="_Toc132671817"/>
      <w:r w:rsidRPr="003C6DBD">
        <w:rPr>
          <w:rFonts w:ascii="Times New Roman" w:hAnsi="Times New Roman" w:cs="Times New Roman"/>
          <w:color w:val="0D0D0D" w:themeColor="text1" w:themeTint="F2"/>
          <w:sz w:val="24"/>
          <w:szCs w:val="24"/>
        </w:rPr>
        <w:t xml:space="preserve">Table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Table \* ARABIC </w:instrText>
      </w:r>
      <w:r w:rsidRPr="003C6DBD">
        <w:rPr>
          <w:rFonts w:ascii="Times New Roman" w:hAnsi="Times New Roman" w:cs="Times New Roman"/>
          <w:color w:val="0D0D0D" w:themeColor="text1" w:themeTint="F2"/>
          <w:sz w:val="24"/>
          <w:szCs w:val="24"/>
        </w:rPr>
        <w:fldChar w:fldCharType="separate"/>
      </w:r>
      <w:r w:rsidR="00154E66" w:rsidRPr="003C6DBD">
        <w:rPr>
          <w:rFonts w:ascii="Times New Roman" w:hAnsi="Times New Roman" w:cs="Times New Roman"/>
          <w:noProof/>
          <w:color w:val="0D0D0D" w:themeColor="text1" w:themeTint="F2"/>
          <w:sz w:val="24"/>
          <w:szCs w:val="24"/>
        </w:rPr>
        <w:t>3</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Biofuel companies identified from google search and journal articles.</w:t>
      </w:r>
      <w:bookmarkEnd w:id="55"/>
    </w:p>
    <w:tbl>
      <w:tblPr>
        <w:tblW w:w="8760" w:type="dxa"/>
        <w:tblBorders>
          <w:top w:val="single" w:sz="4" w:space="0" w:color="auto"/>
          <w:bottom w:val="single" w:sz="4" w:space="0" w:color="auto"/>
        </w:tblBorders>
        <w:tblLook w:val="04A0" w:firstRow="1" w:lastRow="0" w:firstColumn="1" w:lastColumn="0" w:noHBand="0" w:noVBand="1"/>
      </w:tblPr>
      <w:tblGrid>
        <w:gridCol w:w="657"/>
        <w:gridCol w:w="2297"/>
        <w:gridCol w:w="1967"/>
        <w:gridCol w:w="1127"/>
        <w:gridCol w:w="1347"/>
        <w:gridCol w:w="1365"/>
      </w:tblGrid>
      <w:tr w:rsidR="003C6DBD" w:rsidRPr="003C6DBD" w14:paraId="518DD7AE" w14:textId="77777777" w:rsidTr="003117FC">
        <w:trPr>
          <w:trHeight w:val="463"/>
        </w:trPr>
        <w:tc>
          <w:tcPr>
            <w:tcW w:w="657" w:type="dxa"/>
            <w:tcBorders>
              <w:top w:val="single" w:sz="4" w:space="0" w:color="auto"/>
              <w:bottom w:val="single" w:sz="4" w:space="0" w:color="auto"/>
            </w:tcBorders>
          </w:tcPr>
          <w:p w14:paraId="31346E0F" w14:textId="77777777" w:rsidR="00C3000E" w:rsidRPr="003C6DBD" w:rsidRDefault="00C3000E" w:rsidP="003117FC">
            <w:pPr>
              <w:spacing w:after="0" w:line="24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S.N.</w:t>
            </w:r>
          </w:p>
        </w:tc>
        <w:tc>
          <w:tcPr>
            <w:tcW w:w="2297" w:type="dxa"/>
            <w:tcBorders>
              <w:top w:val="single" w:sz="4" w:space="0" w:color="auto"/>
              <w:bottom w:val="single" w:sz="4" w:space="0" w:color="auto"/>
            </w:tcBorders>
            <w:shd w:val="clear" w:color="auto" w:fill="auto"/>
            <w:noWrap/>
          </w:tcPr>
          <w:p w14:paraId="436F07F2" w14:textId="77777777" w:rsidR="00C3000E" w:rsidRPr="003C6DBD" w:rsidRDefault="00C3000E" w:rsidP="003117FC">
            <w:pPr>
              <w:pStyle w:val="Default"/>
              <w:autoSpaceDE/>
              <w:autoSpaceDN/>
              <w:adjustRightInd/>
              <w:rPr>
                <w:rFonts w:eastAsia="Times New Roman"/>
                <w:b/>
                <w:bCs/>
                <w:color w:val="0D0D0D" w:themeColor="text1" w:themeTint="F2"/>
              </w:rPr>
            </w:pPr>
            <w:r w:rsidRPr="003C6DBD">
              <w:rPr>
                <w:rFonts w:eastAsia="Times New Roman"/>
                <w:b/>
                <w:bCs/>
                <w:color w:val="0D0D0D" w:themeColor="text1" w:themeTint="F2"/>
              </w:rPr>
              <w:t>Name of companies</w:t>
            </w:r>
          </w:p>
        </w:tc>
        <w:tc>
          <w:tcPr>
            <w:tcW w:w="1967" w:type="dxa"/>
            <w:tcBorders>
              <w:top w:val="single" w:sz="4" w:space="0" w:color="auto"/>
              <w:bottom w:val="single" w:sz="4" w:space="0" w:color="auto"/>
            </w:tcBorders>
            <w:shd w:val="clear" w:color="auto" w:fill="auto"/>
            <w:noWrap/>
          </w:tcPr>
          <w:p w14:paraId="1590A83B" w14:textId="77777777" w:rsidR="00C3000E" w:rsidRPr="003C6DBD" w:rsidRDefault="00C3000E" w:rsidP="003117FC">
            <w:pPr>
              <w:spacing w:after="0" w:line="24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 xml:space="preserve">Headquarters </w:t>
            </w:r>
          </w:p>
        </w:tc>
        <w:tc>
          <w:tcPr>
            <w:tcW w:w="1127" w:type="dxa"/>
            <w:tcBorders>
              <w:top w:val="single" w:sz="4" w:space="0" w:color="auto"/>
              <w:bottom w:val="single" w:sz="4" w:space="0" w:color="auto"/>
            </w:tcBorders>
            <w:shd w:val="clear" w:color="auto" w:fill="auto"/>
            <w:noWrap/>
          </w:tcPr>
          <w:p w14:paraId="6992A6B0" w14:textId="77777777" w:rsidR="00C3000E" w:rsidRPr="003C6DBD" w:rsidRDefault="00C3000E" w:rsidP="003117FC">
            <w:pPr>
              <w:spacing w:after="0" w:line="24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Ticker</w:t>
            </w:r>
          </w:p>
        </w:tc>
        <w:tc>
          <w:tcPr>
            <w:tcW w:w="1347" w:type="dxa"/>
            <w:tcBorders>
              <w:top w:val="single" w:sz="4" w:space="0" w:color="auto"/>
              <w:bottom w:val="single" w:sz="4" w:space="0" w:color="auto"/>
            </w:tcBorders>
            <w:shd w:val="clear" w:color="auto" w:fill="auto"/>
            <w:noWrap/>
          </w:tcPr>
          <w:p w14:paraId="3A11A42D" w14:textId="77777777" w:rsidR="00C3000E" w:rsidRPr="003C6DBD" w:rsidRDefault="00C3000E" w:rsidP="003117FC">
            <w:pPr>
              <w:pStyle w:val="Default"/>
              <w:autoSpaceDE/>
              <w:autoSpaceDN/>
              <w:adjustRightInd/>
              <w:rPr>
                <w:rFonts w:eastAsia="Times New Roman"/>
                <w:b/>
                <w:bCs/>
                <w:color w:val="0D0D0D" w:themeColor="text1" w:themeTint="F2"/>
              </w:rPr>
            </w:pPr>
            <w:r w:rsidRPr="003C6DBD">
              <w:rPr>
                <w:rFonts w:eastAsia="Times New Roman"/>
                <w:b/>
                <w:bCs/>
                <w:color w:val="0D0D0D" w:themeColor="text1" w:themeTint="F2"/>
              </w:rPr>
              <w:t>Stock Name</w:t>
            </w:r>
          </w:p>
        </w:tc>
        <w:tc>
          <w:tcPr>
            <w:tcW w:w="1365" w:type="dxa"/>
            <w:tcBorders>
              <w:top w:val="single" w:sz="4" w:space="0" w:color="auto"/>
              <w:bottom w:val="single" w:sz="4" w:space="0" w:color="auto"/>
            </w:tcBorders>
          </w:tcPr>
          <w:p w14:paraId="51D41DF3" w14:textId="77777777" w:rsidR="00C3000E" w:rsidRPr="003C6DBD" w:rsidRDefault="00C3000E" w:rsidP="003117FC">
            <w:pPr>
              <w:spacing w:after="0" w:line="24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References</w:t>
            </w:r>
          </w:p>
        </w:tc>
      </w:tr>
      <w:tr w:rsidR="003C6DBD" w:rsidRPr="003C6DBD" w14:paraId="018360E6" w14:textId="77777777" w:rsidTr="003117FC">
        <w:trPr>
          <w:trHeight w:val="463"/>
        </w:trPr>
        <w:tc>
          <w:tcPr>
            <w:tcW w:w="657" w:type="dxa"/>
            <w:tcBorders>
              <w:top w:val="single" w:sz="4" w:space="0" w:color="auto"/>
              <w:bottom w:val="nil"/>
            </w:tcBorders>
          </w:tcPr>
          <w:p w14:paraId="49981756" w14:textId="77777777" w:rsidR="00C3000E" w:rsidRPr="003C6DBD" w:rsidRDefault="00C3000E" w:rsidP="003117FC">
            <w:pPr>
              <w:spacing w:after="0" w:line="24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w:t>
            </w:r>
          </w:p>
        </w:tc>
        <w:tc>
          <w:tcPr>
            <w:tcW w:w="2297" w:type="dxa"/>
            <w:tcBorders>
              <w:top w:val="single" w:sz="4" w:space="0" w:color="auto"/>
              <w:bottom w:val="nil"/>
            </w:tcBorders>
            <w:shd w:val="clear" w:color="auto" w:fill="auto"/>
            <w:noWrap/>
          </w:tcPr>
          <w:p w14:paraId="6AC41202"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proofErr w:type="spellStart"/>
            <w:r w:rsidRPr="003C6DBD">
              <w:rPr>
                <w:rFonts w:ascii="Times New Roman" w:hAnsi="Times New Roman" w:cs="Times New Roman"/>
                <w:color w:val="0D0D0D" w:themeColor="text1" w:themeTint="F2"/>
                <w:sz w:val="24"/>
                <w:szCs w:val="24"/>
              </w:rPr>
              <w:t>Abengoa</w:t>
            </w:r>
            <w:proofErr w:type="spellEnd"/>
            <w:r w:rsidRPr="003C6DBD">
              <w:rPr>
                <w:rFonts w:ascii="Times New Roman" w:hAnsi="Times New Roman" w:cs="Times New Roman"/>
                <w:color w:val="0D0D0D" w:themeColor="text1" w:themeTint="F2"/>
                <w:sz w:val="24"/>
                <w:szCs w:val="24"/>
              </w:rPr>
              <w:t xml:space="preserve"> SA</w:t>
            </w:r>
          </w:p>
        </w:tc>
        <w:tc>
          <w:tcPr>
            <w:tcW w:w="1967" w:type="dxa"/>
            <w:tcBorders>
              <w:top w:val="single" w:sz="4" w:space="0" w:color="auto"/>
              <w:bottom w:val="nil"/>
            </w:tcBorders>
            <w:shd w:val="clear" w:color="auto" w:fill="auto"/>
            <w:noWrap/>
          </w:tcPr>
          <w:p w14:paraId="7EF3D9C6" w14:textId="77777777" w:rsidR="00C3000E" w:rsidRPr="003C6DBD" w:rsidRDefault="00C3000E" w:rsidP="003117FC">
            <w:pPr>
              <w:pStyle w:val="comp"/>
              <w:spacing w:before="0" w:beforeAutospacing="0" w:after="0" w:afterAutospacing="0"/>
              <w:rPr>
                <w:rFonts w:eastAsiaTheme="minorHAnsi"/>
                <w:color w:val="0D0D0D" w:themeColor="text1" w:themeTint="F2"/>
              </w:rPr>
            </w:pPr>
            <w:r w:rsidRPr="003C6DBD">
              <w:rPr>
                <w:rFonts w:eastAsiaTheme="minorHAnsi"/>
                <w:color w:val="0D0D0D" w:themeColor="text1" w:themeTint="F2"/>
              </w:rPr>
              <w:t>Seville, Spain</w:t>
            </w:r>
          </w:p>
        </w:tc>
        <w:tc>
          <w:tcPr>
            <w:tcW w:w="1127" w:type="dxa"/>
            <w:tcBorders>
              <w:top w:val="single" w:sz="4" w:space="0" w:color="auto"/>
              <w:bottom w:val="nil"/>
            </w:tcBorders>
            <w:shd w:val="clear" w:color="auto" w:fill="auto"/>
            <w:noWrap/>
          </w:tcPr>
          <w:p w14:paraId="6BF67537"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ABG</w:t>
            </w:r>
          </w:p>
        </w:tc>
        <w:tc>
          <w:tcPr>
            <w:tcW w:w="1347" w:type="dxa"/>
            <w:tcBorders>
              <w:top w:val="single" w:sz="4" w:space="0" w:color="auto"/>
              <w:bottom w:val="nil"/>
            </w:tcBorders>
            <w:shd w:val="clear" w:color="auto" w:fill="auto"/>
            <w:noWrap/>
          </w:tcPr>
          <w:p w14:paraId="68FBBB96"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BME</w:t>
            </w:r>
          </w:p>
        </w:tc>
        <w:tc>
          <w:tcPr>
            <w:tcW w:w="1365" w:type="dxa"/>
            <w:tcBorders>
              <w:top w:val="single" w:sz="4" w:space="0" w:color="auto"/>
              <w:bottom w:val="nil"/>
            </w:tcBorders>
          </w:tcPr>
          <w:p w14:paraId="1C584608" w14:textId="77777777" w:rsidR="00C3000E" w:rsidRPr="003C6DBD" w:rsidRDefault="00C3000E" w:rsidP="003117FC">
            <w:pPr>
              <w:pStyle w:val="Default"/>
              <w:autoSpaceDE/>
              <w:autoSpaceDN/>
              <w:adjustRightInd/>
              <w:rPr>
                <w:rFonts w:eastAsia="Times New Roman"/>
                <w:color w:val="0D0D0D" w:themeColor="text1" w:themeTint="F2"/>
              </w:rPr>
            </w:pPr>
            <w:r w:rsidRPr="003C6DBD">
              <w:rPr>
                <w:rFonts w:eastAsia="Times New Roman"/>
                <w:color w:val="0D0D0D" w:themeColor="text1" w:themeTint="F2"/>
              </w:rPr>
              <w:fldChar w:fldCharType="begin"/>
            </w:r>
            <w:r w:rsidRPr="003C6DBD">
              <w:rPr>
                <w:rFonts w:eastAsia="Times New Roman"/>
                <w:color w:val="0D0D0D" w:themeColor="text1" w:themeTint="F2"/>
              </w:rPr>
              <w:instrText xml:space="preserve"> ADDIN ZOTERO_ITEM CSL_CITATION {"citationID":"KednvzE5","properties":{"formattedCitation":"(Pries et al., 2016)","plainCitation":"(Pries et al., 2016)","dontUpdate":true,"noteIndex":0},"citationItems":[{"id":251,"uris":["http://zotero.org/users/8949154/items/P6NYLUEB"],"itemData":{"id":251,"type":"article-journal","container-title":"Energy Policy","note":"publisher: Elsevier","page":"93–101","source":"Google Scholar","title":"Risks affecting the biofuels industry: A US and Canadian company perspective","title-short":"Risks affecting the biofuels industry","volume":"97","author":[{"family":"Pries","given":"Fred"},{"family":"Talebi","given":"Alireza"},{"family":"Schillo","given":"R. Sandra"},{"family":"Lemay","given":"Margaret A."}],"issued":{"date-parts":[["2016"]]}}}],"schema":"https://github.com/citation-style-language/schema/raw/master/csl-citation.json"} </w:instrText>
            </w:r>
            <w:r w:rsidRPr="003C6DBD">
              <w:rPr>
                <w:rFonts w:eastAsia="Times New Roman"/>
                <w:color w:val="0D0D0D" w:themeColor="text1" w:themeTint="F2"/>
              </w:rPr>
              <w:fldChar w:fldCharType="separate"/>
            </w:r>
            <w:r w:rsidRPr="003C6DBD">
              <w:rPr>
                <w:color w:val="0D0D0D" w:themeColor="text1" w:themeTint="F2"/>
              </w:rPr>
              <w:t>Pries et al. (2016)</w:t>
            </w:r>
            <w:r w:rsidRPr="003C6DBD">
              <w:rPr>
                <w:rFonts w:eastAsia="Times New Roman"/>
                <w:color w:val="0D0D0D" w:themeColor="text1" w:themeTint="F2"/>
              </w:rPr>
              <w:fldChar w:fldCharType="end"/>
            </w:r>
          </w:p>
        </w:tc>
      </w:tr>
      <w:tr w:rsidR="003C6DBD" w:rsidRPr="003C6DBD" w14:paraId="161450B8" w14:textId="77777777" w:rsidTr="003117FC">
        <w:trPr>
          <w:trHeight w:val="463"/>
        </w:trPr>
        <w:tc>
          <w:tcPr>
            <w:tcW w:w="657" w:type="dxa"/>
            <w:tcBorders>
              <w:top w:val="nil"/>
            </w:tcBorders>
          </w:tcPr>
          <w:p w14:paraId="28290FAE"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w:t>
            </w:r>
          </w:p>
        </w:tc>
        <w:tc>
          <w:tcPr>
            <w:tcW w:w="2297" w:type="dxa"/>
            <w:tcBorders>
              <w:top w:val="nil"/>
            </w:tcBorders>
            <w:shd w:val="clear" w:color="auto" w:fill="auto"/>
            <w:noWrap/>
            <w:hideMark/>
          </w:tcPr>
          <w:p w14:paraId="4A4B3B90" w14:textId="77777777" w:rsidR="00C3000E" w:rsidRPr="003C6DBD" w:rsidRDefault="00C3000E" w:rsidP="003117FC">
            <w:pPr>
              <w:pStyle w:val="Default"/>
              <w:autoSpaceDE/>
              <w:autoSpaceDN/>
              <w:adjustRightInd/>
              <w:rPr>
                <w:rFonts w:eastAsia="Times New Roman"/>
                <w:color w:val="0D0D0D" w:themeColor="text1" w:themeTint="F2"/>
              </w:rPr>
            </w:pPr>
            <w:proofErr w:type="spellStart"/>
            <w:r w:rsidRPr="003C6DBD">
              <w:rPr>
                <w:rFonts w:eastAsia="Times New Roman"/>
                <w:color w:val="0D0D0D" w:themeColor="text1" w:themeTint="F2"/>
              </w:rPr>
              <w:t>Adecoagro</w:t>
            </w:r>
            <w:proofErr w:type="spellEnd"/>
            <w:r w:rsidRPr="003C6DBD">
              <w:rPr>
                <w:rFonts w:eastAsia="Times New Roman"/>
                <w:color w:val="0D0D0D" w:themeColor="text1" w:themeTint="F2"/>
              </w:rPr>
              <w:t xml:space="preserve"> S.A. </w:t>
            </w:r>
          </w:p>
        </w:tc>
        <w:tc>
          <w:tcPr>
            <w:tcW w:w="1967" w:type="dxa"/>
            <w:tcBorders>
              <w:top w:val="nil"/>
            </w:tcBorders>
            <w:shd w:val="clear" w:color="auto" w:fill="auto"/>
            <w:noWrap/>
            <w:hideMark/>
          </w:tcPr>
          <w:p w14:paraId="4338CEE1" w14:textId="77777777" w:rsidR="00C3000E" w:rsidRPr="003C6DBD" w:rsidRDefault="00000000" w:rsidP="003117FC">
            <w:pPr>
              <w:spacing w:after="0" w:line="240" w:lineRule="auto"/>
              <w:rPr>
                <w:rFonts w:ascii="Times New Roman" w:eastAsia="Times New Roman" w:hAnsi="Times New Roman" w:cs="Times New Roman"/>
                <w:color w:val="0D0D0D" w:themeColor="text1" w:themeTint="F2"/>
                <w:sz w:val="24"/>
                <w:szCs w:val="24"/>
              </w:rPr>
            </w:pPr>
            <w:hyperlink r:id="rId12" w:history="1">
              <w:r w:rsidR="00C3000E" w:rsidRPr="003C6DBD">
                <w:rPr>
                  <w:rFonts w:ascii="Times New Roman" w:eastAsia="Times New Roman" w:hAnsi="Times New Roman" w:cs="Times New Roman"/>
                  <w:color w:val="0D0D0D" w:themeColor="text1" w:themeTint="F2"/>
                  <w:sz w:val="24"/>
                  <w:szCs w:val="24"/>
                </w:rPr>
                <w:t>Luxembourg</w:t>
              </w:r>
            </w:hyperlink>
          </w:p>
        </w:tc>
        <w:tc>
          <w:tcPr>
            <w:tcW w:w="1127" w:type="dxa"/>
            <w:tcBorders>
              <w:top w:val="nil"/>
            </w:tcBorders>
            <w:shd w:val="clear" w:color="auto" w:fill="auto"/>
            <w:noWrap/>
            <w:hideMark/>
          </w:tcPr>
          <w:p w14:paraId="75655B83" w14:textId="77777777" w:rsidR="00C3000E" w:rsidRPr="003C6DBD" w:rsidRDefault="00C3000E" w:rsidP="003117FC">
            <w:pPr>
              <w:pStyle w:val="Default"/>
              <w:autoSpaceDE/>
              <w:autoSpaceDN/>
              <w:adjustRightInd/>
              <w:rPr>
                <w:rFonts w:eastAsia="Times New Roman"/>
                <w:color w:val="0D0D0D" w:themeColor="text1" w:themeTint="F2"/>
              </w:rPr>
            </w:pPr>
            <w:r w:rsidRPr="003C6DBD">
              <w:rPr>
                <w:rFonts w:eastAsia="Times New Roman"/>
                <w:color w:val="0D0D0D" w:themeColor="text1" w:themeTint="F2"/>
              </w:rPr>
              <w:t>AGRO</w:t>
            </w:r>
          </w:p>
        </w:tc>
        <w:tc>
          <w:tcPr>
            <w:tcW w:w="1347" w:type="dxa"/>
            <w:tcBorders>
              <w:top w:val="nil"/>
            </w:tcBorders>
            <w:shd w:val="clear" w:color="auto" w:fill="auto"/>
            <w:noWrap/>
            <w:hideMark/>
          </w:tcPr>
          <w:p w14:paraId="4C749F42"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NYSE</w:t>
            </w:r>
          </w:p>
        </w:tc>
        <w:tc>
          <w:tcPr>
            <w:tcW w:w="1365" w:type="dxa"/>
            <w:tcBorders>
              <w:top w:val="nil"/>
            </w:tcBorders>
          </w:tcPr>
          <w:p w14:paraId="310E8BC2"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fldChar w:fldCharType="begin"/>
            </w:r>
            <w:r w:rsidRPr="003C6DBD">
              <w:rPr>
                <w:rFonts w:ascii="Times New Roman" w:eastAsia="Times New Roman" w:hAnsi="Times New Roman" w:cs="Times New Roman"/>
                <w:color w:val="0D0D0D" w:themeColor="text1" w:themeTint="F2"/>
                <w:sz w:val="24"/>
                <w:szCs w:val="24"/>
              </w:rPr>
              <w:instrText xml:space="preserve"> ADDIN ZOTERO_ITEM CSL_CITATION {"citationID":"DbQpGArS","properties":{"formattedCitation":"(Saravia-Matus et al., 2018)","plainCitation":"(Saravia-Matus et al., 2018)","dontUpdate":true,"noteIndex":0},"citationItems":[{"id":31,"uris":["http://zotero.org/users/8949154/items/AMED83UF"],"itemData":{"id":31,"type":"article-journal","abstract":"Purpose The purpose of this paper is to review and examine the recent investment trends of firms operating in the food, feed and biofuel production and processing sectors in Latin America. The inter-related nature of these three sub-sectors and the great expansion they have gone through in the last decade showcases a series of socioeconomic and environmental policy challenges thus making it relevant to identify their different business models through a typology. Design/methodology/approach The paper first presents an unprecedented literature review based on field observations and media coverage of agri-business strategies of the food, feed and biofuel production in the region. It then moves to an in-depth analysis of investment operations that serve to classify such firms into a business model typology considering degree of internationalization and integration. The typology is a useful mechanism to enhance public policy analysis and uncover market or government incentives behind business decisions. Findings By focusing on investment strategies, the paper illustrates how both market and government incentives shape and affect the performance and consolidation of different players in the food, feed and biofuel sub-sectors in Latin America. The resulting effects have strong economic as well as social and environmental implications because such economic activities have an impact on global food and energy security. Research limitations/implications Limitations include a reliance on largely qualitative evidence and research methods due to unavailability of consistent numerical data in these specific agri-business sub-sectors. Originality/value This paper is unique in its focus on business models in a particularly relevant set of agri-business sub-sectors in Latin America and its implications to promote investment and innovation in value chain development while considering regional-specific challenges.","container-title":"Journal of Agribusiness in Developing and Emerging Economies","DOI":"10.1108/JADEE-09-2014-0036","ISSN":"2044-0839","issue":"2","note":"publisher: Emerald Publishing Limited","page":"320-338","source":"Emerald Insight","title":"Investment strategies in the Latin American agri-business sub-sectors of agricultural commodities, biofuels and meat chains","volume":"8","author":[{"family":"Saravia-Matus","given":"Silvia"},{"family":"Saravia Matus","given":"Jimmy"},{"family":"Sotomayor","given":"Octavio"},{"family":"Rodriguez","given":"Adrian"}],"issued":{"date-parts":[["2018",1,1]]}}}],"schema":"https://github.com/citation-style-language/schema/raw/master/csl-citation.json"} </w:instrText>
            </w:r>
            <w:r w:rsidRPr="003C6DBD">
              <w:rPr>
                <w:rFonts w:ascii="Times New Roman" w:eastAsia="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Saravia-Matus et al. (2018)</w:t>
            </w:r>
            <w:r w:rsidRPr="003C6DBD">
              <w:rPr>
                <w:rFonts w:ascii="Times New Roman" w:eastAsia="Times New Roman" w:hAnsi="Times New Roman" w:cs="Times New Roman"/>
                <w:color w:val="0D0D0D" w:themeColor="text1" w:themeTint="F2"/>
                <w:sz w:val="24"/>
                <w:szCs w:val="24"/>
              </w:rPr>
              <w:fldChar w:fldCharType="end"/>
            </w:r>
          </w:p>
        </w:tc>
      </w:tr>
      <w:tr w:rsidR="003C6DBD" w:rsidRPr="003C6DBD" w14:paraId="04CA7E8E" w14:textId="77777777" w:rsidTr="003117FC">
        <w:trPr>
          <w:trHeight w:val="463"/>
        </w:trPr>
        <w:tc>
          <w:tcPr>
            <w:tcW w:w="657" w:type="dxa"/>
          </w:tcPr>
          <w:p w14:paraId="24696203"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w:t>
            </w:r>
          </w:p>
        </w:tc>
        <w:tc>
          <w:tcPr>
            <w:tcW w:w="2297" w:type="dxa"/>
            <w:shd w:val="clear" w:color="auto" w:fill="auto"/>
            <w:noWrap/>
            <w:hideMark/>
          </w:tcPr>
          <w:p w14:paraId="79E1C548"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Archer-Daniels-Midland Company </w:t>
            </w:r>
          </w:p>
        </w:tc>
        <w:tc>
          <w:tcPr>
            <w:tcW w:w="1967" w:type="dxa"/>
            <w:shd w:val="clear" w:color="auto" w:fill="auto"/>
            <w:noWrap/>
            <w:hideMark/>
          </w:tcPr>
          <w:p w14:paraId="655A6433"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Illinois, US</w:t>
            </w:r>
          </w:p>
        </w:tc>
        <w:tc>
          <w:tcPr>
            <w:tcW w:w="1127" w:type="dxa"/>
            <w:shd w:val="clear" w:color="auto" w:fill="auto"/>
            <w:noWrap/>
            <w:hideMark/>
          </w:tcPr>
          <w:p w14:paraId="57C2DAE8"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ADM</w:t>
            </w:r>
          </w:p>
        </w:tc>
        <w:tc>
          <w:tcPr>
            <w:tcW w:w="1347" w:type="dxa"/>
            <w:shd w:val="clear" w:color="auto" w:fill="auto"/>
            <w:noWrap/>
            <w:hideMark/>
          </w:tcPr>
          <w:p w14:paraId="6954E313"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NYSE</w:t>
            </w:r>
          </w:p>
        </w:tc>
        <w:tc>
          <w:tcPr>
            <w:tcW w:w="1365" w:type="dxa"/>
          </w:tcPr>
          <w:p w14:paraId="78984636"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fldChar w:fldCharType="begin"/>
            </w:r>
            <w:r w:rsidRPr="003C6DBD">
              <w:rPr>
                <w:rFonts w:ascii="Times New Roman" w:eastAsia="Times New Roman" w:hAnsi="Times New Roman" w:cs="Times New Roman"/>
                <w:color w:val="0D0D0D" w:themeColor="text1" w:themeTint="F2"/>
                <w:sz w:val="24"/>
                <w:szCs w:val="24"/>
              </w:rPr>
              <w:instrText xml:space="preserve"> ADDIN ZOTERO_ITEM CSL_CITATION {"citationID":"9fpIuWUm","properties":{"formattedCitation":"(Khanal et al., 2014)","plainCitation":"(Khanal et al., 2014)","dontUpdate":true,"noteIndex":0},"citationItems":[{"id":33,"uris":["http://zotero.org/users/8949154/items/CKBLEYYA"],"itemData":{"id":33,"type":"article-journal","abstract":"Corporate restructuring activities in the form of mergers and acquisitions (M&amp;As) are ongoing in the U.S. ethanol-based biofuel industry. With regard to M&amp;As, a widespread concern is about financial performance of an individual firm and stable financial performance of the overall industry. Using an event analysis method, this study explores the impact of recent M&amp;As on stock prices and value of the firm of publicly traded ethanol-based biofuel industry between 2010 and 2012 in the United States. Results regarding the average cumulative abnormal returns of acquiring firms suggest that the market positively responded toward recent M&amp;As in the industry. Around 4% positive growth on a 60-day event window was attributed to M&amp;As using market-adjusted market portfolio. A significant positive 0.47% gain in cumulative returns in a 4-day event window and a 2.7% positive gain in a 10-day event window were suggested by this study.","container-title":"Biomass and Bioenergy","DOI":"10.1016/j.biombioe.2013.12.004","ISSN":"0961-9534","journalAbbreviation":"Biomass and Bioenergy","language":"en","page":"138-145","source":"ScienceDirect","title":"Impact of mergers and acquisitions on stock prices: The U.S. ethanol-based biofuel industry","title-short":"Impact of mergers and acquisitions on stock prices","volume":"61","author":[{"family":"Khanal","given":"Aditya R."},{"family":"Mishra","given":"Ashok K."},{"family":"Mottaleb","given":"Kh. A."}],"issued":{"date-parts":[["2014",2,1]]}}}],"schema":"https://github.com/citation-style-language/schema/raw/master/csl-citation.json"} </w:instrText>
            </w:r>
            <w:r w:rsidRPr="003C6DBD">
              <w:rPr>
                <w:rFonts w:ascii="Times New Roman" w:eastAsia="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Khanal et al. (2014)</w:t>
            </w:r>
            <w:r w:rsidRPr="003C6DBD">
              <w:rPr>
                <w:rFonts w:ascii="Times New Roman" w:eastAsia="Times New Roman" w:hAnsi="Times New Roman" w:cs="Times New Roman"/>
                <w:color w:val="0D0D0D" w:themeColor="text1" w:themeTint="F2"/>
                <w:sz w:val="24"/>
                <w:szCs w:val="24"/>
              </w:rPr>
              <w:fldChar w:fldCharType="end"/>
            </w:r>
          </w:p>
        </w:tc>
      </w:tr>
      <w:tr w:rsidR="003C6DBD" w:rsidRPr="003C6DBD" w14:paraId="4E11F08D" w14:textId="77777777" w:rsidTr="003117FC">
        <w:trPr>
          <w:trHeight w:val="463"/>
        </w:trPr>
        <w:tc>
          <w:tcPr>
            <w:tcW w:w="657" w:type="dxa"/>
          </w:tcPr>
          <w:p w14:paraId="6765C7A7"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4</w:t>
            </w:r>
          </w:p>
        </w:tc>
        <w:tc>
          <w:tcPr>
            <w:tcW w:w="2297" w:type="dxa"/>
            <w:shd w:val="clear" w:color="auto" w:fill="auto"/>
            <w:noWrap/>
            <w:hideMark/>
          </w:tcPr>
          <w:p w14:paraId="46A9491B"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Bunge Limited </w:t>
            </w:r>
          </w:p>
        </w:tc>
        <w:tc>
          <w:tcPr>
            <w:tcW w:w="1967" w:type="dxa"/>
            <w:shd w:val="clear" w:color="auto" w:fill="auto"/>
            <w:noWrap/>
            <w:hideMark/>
          </w:tcPr>
          <w:p w14:paraId="676658D0"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Missouri, US</w:t>
            </w:r>
          </w:p>
        </w:tc>
        <w:tc>
          <w:tcPr>
            <w:tcW w:w="1127" w:type="dxa"/>
            <w:shd w:val="clear" w:color="auto" w:fill="auto"/>
            <w:noWrap/>
            <w:hideMark/>
          </w:tcPr>
          <w:p w14:paraId="5C6A12C1"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BG</w:t>
            </w:r>
          </w:p>
        </w:tc>
        <w:tc>
          <w:tcPr>
            <w:tcW w:w="1347" w:type="dxa"/>
            <w:shd w:val="clear" w:color="auto" w:fill="auto"/>
            <w:noWrap/>
            <w:hideMark/>
          </w:tcPr>
          <w:p w14:paraId="6C5E653B"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NYSE</w:t>
            </w:r>
          </w:p>
        </w:tc>
        <w:tc>
          <w:tcPr>
            <w:tcW w:w="1365" w:type="dxa"/>
          </w:tcPr>
          <w:p w14:paraId="7C5E7095"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fldChar w:fldCharType="begin"/>
            </w:r>
            <w:r w:rsidRPr="003C6DBD">
              <w:rPr>
                <w:rFonts w:ascii="Times New Roman" w:eastAsia="Times New Roman" w:hAnsi="Times New Roman" w:cs="Times New Roman"/>
                <w:color w:val="0D0D0D" w:themeColor="text1" w:themeTint="F2"/>
                <w:sz w:val="24"/>
                <w:szCs w:val="24"/>
              </w:rPr>
              <w:instrText xml:space="preserve"> ADDIN ZOTERO_ITEM CSL_CITATION {"citationID":"34vZIAvB","properties":{"formattedCitation":"(Saravia-Matus et al., 2018)","plainCitation":"(Saravia-Matus et al., 2018)","dontUpdate":true,"noteIndex":0},"citationItems":[{"id":31,"uris":["http://zotero.org/users/8949154/items/AMED83UF"],"itemData":{"id":31,"type":"article-journal","abstract":"Purpose The purpose of this paper is to review and examine the recent investment trends of firms operating in the food, feed and biofuel production and processing sectors in Latin America. The inter-related nature of these three sub-sectors and the great expansion they have gone through in the last decade showcases a series of socioeconomic and environmental policy challenges thus making it relevant to identify their different business models through a typology. Design/methodology/approach The paper first presents an unprecedented literature review based on field observations and media coverage of agri-business strategies of the food, feed and biofuel production in the region. It then moves to an in-depth analysis of investment operations that serve to classify such firms into a business model typology considering degree of internationalization and integration. The typology is a useful mechanism to enhance public policy analysis and uncover market or government incentives behind business decisions. Findings By focusing on investment strategies, the paper illustrates how both market and government incentives shape and affect the performance and consolidation of different players in the food, feed and biofuel sub-sectors in Latin America. The resulting effects have strong economic as well as social and environmental implications because such economic activities have an impact on global food and energy security. Research limitations/implications Limitations include a reliance on largely qualitative evidence and research methods due to unavailability of consistent numerical data in these specific agri-business sub-sectors. Originality/value This paper is unique in its focus on business models in a particularly relevant set of agri-business sub-sectors in Latin America and its implications to promote investment and innovation in value chain development while considering regional-specific challenges.","container-title":"Journal of Agribusiness in Developing and Emerging Economies","DOI":"10.1108/JADEE-09-2014-0036","ISSN":"2044-0839","issue":"2","note":"publisher: Emerald Publishing Limited","page":"320-338","source":"Emerald Insight","title":"Investment strategies in the Latin American agri-business sub-sectors of agricultural commodities, biofuels and meat chains","volume":"8","author":[{"family":"Saravia-Matus","given":"Silvia"},{"family":"Saravia Matus","given":"Jimmy"},{"family":"Sotomayor","given":"Octavio"},{"family":"Rodriguez","given":"Adrian"}],"issued":{"date-parts":[["2018",1,1]]}}}],"schema":"https://github.com/citation-style-language/schema/raw/master/csl-citation.json"} </w:instrText>
            </w:r>
            <w:r w:rsidRPr="003C6DBD">
              <w:rPr>
                <w:rFonts w:ascii="Times New Roman" w:eastAsia="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Saravia-Matus et al. (2018)</w:t>
            </w:r>
            <w:r w:rsidRPr="003C6DBD">
              <w:rPr>
                <w:rFonts w:ascii="Times New Roman" w:eastAsia="Times New Roman" w:hAnsi="Times New Roman" w:cs="Times New Roman"/>
                <w:color w:val="0D0D0D" w:themeColor="text1" w:themeTint="F2"/>
                <w:sz w:val="24"/>
                <w:szCs w:val="24"/>
              </w:rPr>
              <w:fldChar w:fldCharType="end"/>
            </w:r>
          </w:p>
        </w:tc>
      </w:tr>
      <w:tr w:rsidR="003C6DBD" w:rsidRPr="003C6DBD" w14:paraId="2B2E0FB5" w14:textId="77777777" w:rsidTr="003117FC">
        <w:trPr>
          <w:trHeight w:val="463"/>
        </w:trPr>
        <w:tc>
          <w:tcPr>
            <w:tcW w:w="657" w:type="dxa"/>
          </w:tcPr>
          <w:p w14:paraId="214624C5" w14:textId="77777777" w:rsidR="00C3000E" w:rsidRPr="003C6DBD" w:rsidRDefault="00C3000E" w:rsidP="003117FC">
            <w:pPr>
              <w:spacing w:after="0" w:line="24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5</w:t>
            </w:r>
          </w:p>
        </w:tc>
        <w:tc>
          <w:tcPr>
            <w:tcW w:w="2297" w:type="dxa"/>
            <w:shd w:val="clear" w:color="auto" w:fill="auto"/>
            <w:noWrap/>
          </w:tcPr>
          <w:p w14:paraId="1AFD615A" w14:textId="77777777" w:rsidR="00C3000E" w:rsidRPr="003C6DBD" w:rsidRDefault="00C3000E" w:rsidP="003117FC">
            <w:pPr>
              <w:pStyle w:val="Default"/>
              <w:autoSpaceDE/>
              <w:autoSpaceDN/>
              <w:adjustRightInd/>
              <w:rPr>
                <w:rFonts w:eastAsia="Times New Roman"/>
                <w:color w:val="0D0D0D" w:themeColor="text1" w:themeTint="F2"/>
              </w:rPr>
            </w:pPr>
            <w:proofErr w:type="spellStart"/>
            <w:r w:rsidRPr="003C6DBD">
              <w:rPr>
                <w:color w:val="0D0D0D" w:themeColor="text1" w:themeTint="F2"/>
              </w:rPr>
              <w:t>Cosan</w:t>
            </w:r>
            <w:proofErr w:type="spellEnd"/>
            <w:r w:rsidRPr="003C6DBD">
              <w:rPr>
                <w:color w:val="0D0D0D" w:themeColor="text1" w:themeTint="F2"/>
              </w:rPr>
              <w:t xml:space="preserve"> S.A.</w:t>
            </w:r>
          </w:p>
        </w:tc>
        <w:tc>
          <w:tcPr>
            <w:tcW w:w="1967" w:type="dxa"/>
            <w:shd w:val="clear" w:color="auto" w:fill="auto"/>
            <w:noWrap/>
          </w:tcPr>
          <w:p w14:paraId="058C6DA0"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Sao Paulo, Brazil</w:t>
            </w:r>
          </w:p>
        </w:tc>
        <w:tc>
          <w:tcPr>
            <w:tcW w:w="1127" w:type="dxa"/>
            <w:shd w:val="clear" w:color="auto" w:fill="auto"/>
            <w:noWrap/>
          </w:tcPr>
          <w:p w14:paraId="775641E1"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CSAN3</w:t>
            </w:r>
          </w:p>
        </w:tc>
        <w:tc>
          <w:tcPr>
            <w:tcW w:w="1347" w:type="dxa"/>
            <w:shd w:val="clear" w:color="auto" w:fill="auto"/>
            <w:noWrap/>
          </w:tcPr>
          <w:p w14:paraId="432A3BC4"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BOVESPA</w:t>
            </w:r>
          </w:p>
        </w:tc>
        <w:tc>
          <w:tcPr>
            <w:tcW w:w="1365" w:type="dxa"/>
          </w:tcPr>
          <w:p w14:paraId="46439EC0"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fldChar w:fldCharType="begin"/>
            </w:r>
            <w:r w:rsidRPr="003C6DBD">
              <w:rPr>
                <w:rFonts w:ascii="Times New Roman" w:eastAsia="Times New Roman" w:hAnsi="Times New Roman" w:cs="Times New Roman"/>
                <w:color w:val="0D0D0D" w:themeColor="text1" w:themeTint="F2"/>
                <w:sz w:val="24"/>
                <w:szCs w:val="24"/>
              </w:rPr>
              <w:instrText xml:space="preserve"> ADDIN ZOTERO_ITEM CSL_CITATION {"citationID":"GLvzsa8G","properties":{"formattedCitation":"(Pries et al., 2016)","plainCitation":"(Pries et al., 2016)","dontUpdate":true,"noteIndex":0},"citationItems":[{"id":251,"uris":["http://zotero.org/users/8949154/items/P6NYLUEB"],"itemData":{"id":251,"type":"article-journal","container-title":"Energy Policy","note":"publisher: Elsevier","page":"93–101","source":"Google Scholar","title":"Risks affecting the biofuels industry: A US and Canadian company perspective","title-short":"Risks affecting the biofuels industry","volume":"97","author":[{"family":"Pries","given":"Fred"},{"family":"Talebi","given":"Alireza"},{"family":"Schillo","given":"R. Sandra"},{"family":"Lemay","given":"Margaret A."}],"issued":{"date-parts":[["2016"]]}}}],"schema":"https://github.com/citation-style-language/schema/raw/master/csl-citation.json"} </w:instrText>
            </w:r>
            <w:r w:rsidRPr="003C6DBD">
              <w:rPr>
                <w:rFonts w:ascii="Times New Roman" w:eastAsia="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Pries et al. (2016)</w:t>
            </w:r>
            <w:r w:rsidRPr="003C6DBD">
              <w:rPr>
                <w:rFonts w:ascii="Times New Roman" w:eastAsia="Times New Roman" w:hAnsi="Times New Roman" w:cs="Times New Roman"/>
                <w:color w:val="0D0D0D" w:themeColor="text1" w:themeTint="F2"/>
                <w:sz w:val="24"/>
                <w:szCs w:val="24"/>
              </w:rPr>
              <w:fldChar w:fldCharType="end"/>
            </w:r>
          </w:p>
        </w:tc>
      </w:tr>
      <w:tr w:rsidR="003C6DBD" w:rsidRPr="003C6DBD" w14:paraId="2B80BCB1" w14:textId="77777777" w:rsidTr="003117FC">
        <w:trPr>
          <w:trHeight w:val="463"/>
        </w:trPr>
        <w:tc>
          <w:tcPr>
            <w:tcW w:w="657" w:type="dxa"/>
          </w:tcPr>
          <w:p w14:paraId="211D5212" w14:textId="77777777" w:rsidR="00C3000E" w:rsidRPr="003C6DBD" w:rsidRDefault="00C3000E" w:rsidP="003117FC">
            <w:pPr>
              <w:pStyle w:val="Default"/>
              <w:autoSpaceDE/>
              <w:autoSpaceDN/>
              <w:adjustRightInd/>
              <w:rPr>
                <w:rFonts w:eastAsia="Times New Roman"/>
                <w:color w:val="0D0D0D" w:themeColor="text1" w:themeTint="F2"/>
              </w:rPr>
            </w:pPr>
            <w:r w:rsidRPr="003C6DBD">
              <w:rPr>
                <w:color w:val="0D0D0D" w:themeColor="text1" w:themeTint="F2"/>
              </w:rPr>
              <w:t>6</w:t>
            </w:r>
          </w:p>
        </w:tc>
        <w:tc>
          <w:tcPr>
            <w:tcW w:w="2297" w:type="dxa"/>
            <w:shd w:val="clear" w:color="auto" w:fill="auto"/>
            <w:noWrap/>
            <w:hideMark/>
          </w:tcPr>
          <w:p w14:paraId="7CE242AB"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Darling Ingredients Inc. </w:t>
            </w:r>
          </w:p>
        </w:tc>
        <w:tc>
          <w:tcPr>
            <w:tcW w:w="1967" w:type="dxa"/>
            <w:shd w:val="clear" w:color="auto" w:fill="auto"/>
            <w:noWrap/>
            <w:hideMark/>
          </w:tcPr>
          <w:p w14:paraId="0F249AED"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Texas, US</w:t>
            </w:r>
          </w:p>
        </w:tc>
        <w:tc>
          <w:tcPr>
            <w:tcW w:w="1127" w:type="dxa"/>
            <w:shd w:val="clear" w:color="auto" w:fill="auto"/>
            <w:noWrap/>
            <w:hideMark/>
          </w:tcPr>
          <w:p w14:paraId="0A5832DE"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DAR</w:t>
            </w:r>
          </w:p>
        </w:tc>
        <w:tc>
          <w:tcPr>
            <w:tcW w:w="1347" w:type="dxa"/>
            <w:shd w:val="clear" w:color="auto" w:fill="auto"/>
            <w:noWrap/>
            <w:hideMark/>
          </w:tcPr>
          <w:p w14:paraId="74A42E09"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NYSE</w:t>
            </w:r>
          </w:p>
        </w:tc>
        <w:tc>
          <w:tcPr>
            <w:tcW w:w="1365" w:type="dxa"/>
          </w:tcPr>
          <w:p w14:paraId="598702BC"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fldChar w:fldCharType="begin"/>
            </w:r>
            <w:r w:rsidRPr="003C6DBD">
              <w:rPr>
                <w:rFonts w:ascii="Times New Roman" w:eastAsia="Times New Roman" w:hAnsi="Times New Roman" w:cs="Times New Roman"/>
                <w:color w:val="0D0D0D" w:themeColor="text1" w:themeTint="F2"/>
                <w:sz w:val="24"/>
                <w:szCs w:val="24"/>
              </w:rPr>
              <w:instrText xml:space="preserve"> ADDIN ZOTERO_ITEM CSL_CITATION {"citationID":"vfXR4aps","properties":{"formattedCitation":"(Garten et al., 2017)","plainCitation":"(Garten et al., 2017)","dontUpdate":true,"noteIndex":0},"citationItems":[{"id":100,"uris":["http://zotero.org/users/8949154/items/4AI2ZPVT"],"itemData":{"id":100,"type":"article-journal","container-title":"Business Faculty Publications and Presentations","title":"SeQuential: Sustainability and Growth in the Biofuels Business","title-short":"SeQuential","URL":"https://pdxscholar.library.pdx.edu/busadmin_fac/55","author":[{"family":"Garten","given":"Dave"},{"family":"Greene","given":"Jacen"},{"family":"Niehaus","given":"Carolyn"},{"family":"Aikath","given":"Devdeep"}],"issued":{"date-parts":[["2017",1,1]]}}}],"schema":"https://github.com/citation-style-language/schema/raw/master/csl-citation.json"} </w:instrText>
            </w:r>
            <w:r w:rsidRPr="003C6DBD">
              <w:rPr>
                <w:rFonts w:ascii="Times New Roman" w:eastAsia="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Garten et al. (2017)</w:t>
            </w:r>
            <w:r w:rsidRPr="003C6DBD">
              <w:rPr>
                <w:rFonts w:ascii="Times New Roman" w:eastAsia="Times New Roman" w:hAnsi="Times New Roman" w:cs="Times New Roman"/>
                <w:color w:val="0D0D0D" w:themeColor="text1" w:themeTint="F2"/>
                <w:sz w:val="24"/>
                <w:szCs w:val="24"/>
              </w:rPr>
              <w:fldChar w:fldCharType="end"/>
            </w:r>
          </w:p>
        </w:tc>
      </w:tr>
      <w:tr w:rsidR="003C6DBD" w:rsidRPr="003C6DBD" w14:paraId="5679AAD0" w14:textId="77777777" w:rsidTr="003117FC">
        <w:trPr>
          <w:trHeight w:val="463"/>
        </w:trPr>
        <w:tc>
          <w:tcPr>
            <w:tcW w:w="657" w:type="dxa"/>
          </w:tcPr>
          <w:p w14:paraId="04D39657" w14:textId="77777777" w:rsidR="00C3000E" w:rsidRPr="003C6DBD" w:rsidRDefault="00C3000E" w:rsidP="003117FC">
            <w:pPr>
              <w:pStyle w:val="Default"/>
              <w:autoSpaceDE/>
              <w:autoSpaceDN/>
              <w:adjustRightInd/>
              <w:rPr>
                <w:rFonts w:eastAsia="Times New Roman"/>
                <w:color w:val="0D0D0D" w:themeColor="text1" w:themeTint="F2"/>
              </w:rPr>
            </w:pPr>
            <w:r w:rsidRPr="003C6DBD">
              <w:rPr>
                <w:color w:val="0D0D0D" w:themeColor="text1" w:themeTint="F2"/>
              </w:rPr>
              <w:t>7</w:t>
            </w:r>
          </w:p>
        </w:tc>
        <w:tc>
          <w:tcPr>
            <w:tcW w:w="2297" w:type="dxa"/>
            <w:shd w:val="clear" w:color="auto" w:fill="auto"/>
            <w:noWrap/>
            <w:hideMark/>
          </w:tcPr>
          <w:p w14:paraId="443B3862"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Green Plains Partners LP </w:t>
            </w:r>
          </w:p>
        </w:tc>
        <w:tc>
          <w:tcPr>
            <w:tcW w:w="1967" w:type="dxa"/>
            <w:shd w:val="clear" w:color="auto" w:fill="auto"/>
            <w:noWrap/>
            <w:hideMark/>
          </w:tcPr>
          <w:p w14:paraId="2EEEEAF5"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Nebraska, US</w:t>
            </w:r>
          </w:p>
        </w:tc>
        <w:tc>
          <w:tcPr>
            <w:tcW w:w="1127" w:type="dxa"/>
            <w:shd w:val="clear" w:color="auto" w:fill="auto"/>
            <w:noWrap/>
            <w:hideMark/>
          </w:tcPr>
          <w:p w14:paraId="1EB88D4D"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GPP</w:t>
            </w:r>
          </w:p>
        </w:tc>
        <w:tc>
          <w:tcPr>
            <w:tcW w:w="1347" w:type="dxa"/>
            <w:shd w:val="clear" w:color="auto" w:fill="auto"/>
            <w:noWrap/>
            <w:hideMark/>
          </w:tcPr>
          <w:p w14:paraId="291183B6"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NASDAQ</w:t>
            </w:r>
          </w:p>
        </w:tc>
        <w:tc>
          <w:tcPr>
            <w:tcW w:w="1365" w:type="dxa"/>
          </w:tcPr>
          <w:p w14:paraId="1FF6B490"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Google Search</w:t>
            </w:r>
            <w:r w:rsidRPr="003C6DBD">
              <w:rPr>
                <w:rStyle w:val="FootnoteReference"/>
                <w:rFonts w:ascii="Times New Roman" w:hAnsi="Times New Roman" w:cs="Times New Roman"/>
                <w:color w:val="0D0D0D" w:themeColor="text1" w:themeTint="F2"/>
                <w:sz w:val="24"/>
                <w:szCs w:val="24"/>
              </w:rPr>
              <w:footnoteReference w:id="13"/>
            </w:r>
          </w:p>
        </w:tc>
      </w:tr>
      <w:tr w:rsidR="003C6DBD" w:rsidRPr="003C6DBD" w14:paraId="49AFA6C2" w14:textId="77777777" w:rsidTr="003117FC">
        <w:trPr>
          <w:trHeight w:val="463"/>
        </w:trPr>
        <w:tc>
          <w:tcPr>
            <w:tcW w:w="657" w:type="dxa"/>
          </w:tcPr>
          <w:p w14:paraId="149AD7BD"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8</w:t>
            </w:r>
          </w:p>
        </w:tc>
        <w:tc>
          <w:tcPr>
            <w:tcW w:w="2297" w:type="dxa"/>
            <w:shd w:val="clear" w:color="auto" w:fill="auto"/>
            <w:noWrap/>
            <w:hideMark/>
          </w:tcPr>
          <w:p w14:paraId="13532FE6"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The Andersons, Inc.</w:t>
            </w:r>
          </w:p>
        </w:tc>
        <w:tc>
          <w:tcPr>
            <w:tcW w:w="1967" w:type="dxa"/>
            <w:shd w:val="clear" w:color="auto" w:fill="auto"/>
            <w:noWrap/>
            <w:hideMark/>
          </w:tcPr>
          <w:p w14:paraId="796153E8" w14:textId="77777777" w:rsidR="00C3000E" w:rsidRPr="003C6DBD" w:rsidRDefault="00C3000E" w:rsidP="003117FC">
            <w:pPr>
              <w:spacing w:after="0" w:line="24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Ohio, US</w:t>
            </w:r>
          </w:p>
        </w:tc>
        <w:tc>
          <w:tcPr>
            <w:tcW w:w="1127" w:type="dxa"/>
            <w:shd w:val="clear" w:color="auto" w:fill="auto"/>
            <w:noWrap/>
            <w:hideMark/>
          </w:tcPr>
          <w:p w14:paraId="25DCE4D1"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ANDE</w:t>
            </w:r>
          </w:p>
        </w:tc>
        <w:tc>
          <w:tcPr>
            <w:tcW w:w="1347" w:type="dxa"/>
            <w:shd w:val="clear" w:color="auto" w:fill="auto"/>
            <w:noWrap/>
            <w:hideMark/>
          </w:tcPr>
          <w:p w14:paraId="2642F161"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NASDAQ</w:t>
            </w:r>
          </w:p>
        </w:tc>
        <w:tc>
          <w:tcPr>
            <w:tcW w:w="1365" w:type="dxa"/>
          </w:tcPr>
          <w:p w14:paraId="7132ECB4" w14:textId="77777777" w:rsidR="00C3000E" w:rsidRPr="003C6DBD" w:rsidRDefault="00C3000E" w:rsidP="003117FC">
            <w:pPr>
              <w:spacing w:after="0" w:line="24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ADDIN ZOTERO_ITEM CSL_CITATION {"citationID":"KE514ezA","properties":{"formattedCitation":"(Khanal et al., 2014)","plainCitation":"(Khanal et al., 2014)","dontUpdate":true,"noteIndex":0},"citationItems":[{"id":33,"uris":["http://zotero.org/users/8949154/items/CKBLEYYA"],"itemData":{"id":33,"type":"article-journal","abstract":"Corporate restructuring activities in the form of mergers and acquisitions (M&amp;As) are ongoing in the U.S. ethanol-based biofuel industry. With regard to M&amp;As, a widespread concern is about financial performance of an individual firm and stable financial performance of the overall industry. Using an event analysis method, this study explores the impact of recent M&amp;As on stock prices and value of the firm of publicly traded ethanol-based biofuel industry between 2010 and 2012 in the United States. Results regarding the average cumulative abnormal returns of acquiring firms suggest that the market positively responded toward recent M&amp;As in the industry. Around 4% positive growth on a 60-day event window was attributed to M&amp;As using market-adjusted market portfolio. A significant positive 0.47% gain in cumulative returns in a 4-day event window and a 2.7% positive gain in a 10-day event window were suggested by this study.","container-title":"Biomass and Bioenergy","DOI":"10.1016/j.biombioe.2013.12.004","ISSN":"0961-9534","journalAbbreviation":"Biomass and Bioenergy","language":"en","page":"138-145","source":"ScienceDirect","title":"Impact of mergers and acquisitions on stock prices: The U.S. ethanol-based biofuel industry","title-short":"Impact of mergers and acquisitions on stock prices","volume":"61","author":[{"family":"Khanal","given":"Aditya R."},{"family":"Mishra","given":"Ashok K."},{"family":"Mottaleb","given":"Kh. A."}],"issued":{"date-parts":[["2014",2,1]]}}}],"schema":"https://github.com/citation-style-language/schema/raw/master/csl-citation.json"}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color w:val="0D0D0D" w:themeColor="text1" w:themeTint="F2"/>
                <w:sz w:val="24"/>
                <w:szCs w:val="24"/>
              </w:rPr>
              <w:t>Khanal et al. (2014)</w:t>
            </w:r>
            <w:r w:rsidRPr="003C6DBD">
              <w:rPr>
                <w:rFonts w:ascii="Times New Roman" w:hAnsi="Times New Roman" w:cs="Times New Roman"/>
                <w:color w:val="0D0D0D" w:themeColor="text1" w:themeTint="F2"/>
                <w:sz w:val="24"/>
                <w:szCs w:val="24"/>
              </w:rPr>
              <w:fldChar w:fldCharType="end"/>
            </w:r>
          </w:p>
        </w:tc>
      </w:tr>
      <w:tr w:rsidR="00651E8F" w:rsidRPr="003C6DBD" w14:paraId="2F58FC42" w14:textId="77777777" w:rsidTr="003117FC">
        <w:trPr>
          <w:trHeight w:val="463"/>
        </w:trPr>
        <w:tc>
          <w:tcPr>
            <w:tcW w:w="657" w:type="dxa"/>
          </w:tcPr>
          <w:p w14:paraId="729D3392" w14:textId="77777777" w:rsidR="00C3000E" w:rsidRPr="003C6DBD" w:rsidRDefault="00C3000E" w:rsidP="003117FC">
            <w:pPr>
              <w:pStyle w:val="Default"/>
              <w:autoSpaceDE/>
              <w:autoSpaceDN/>
              <w:adjustRightInd/>
              <w:rPr>
                <w:rFonts w:eastAsia="Times New Roman"/>
                <w:color w:val="0D0D0D" w:themeColor="text1" w:themeTint="F2"/>
              </w:rPr>
            </w:pPr>
            <w:r w:rsidRPr="003C6DBD">
              <w:rPr>
                <w:color w:val="0D0D0D" w:themeColor="text1" w:themeTint="F2"/>
              </w:rPr>
              <w:t>9</w:t>
            </w:r>
          </w:p>
        </w:tc>
        <w:tc>
          <w:tcPr>
            <w:tcW w:w="2297" w:type="dxa"/>
            <w:shd w:val="clear" w:color="auto" w:fill="auto"/>
            <w:noWrap/>
            <w:hideMark/>
          </w:tcPr>
          <w:p w14:paraId="13D052BD"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VERBIO </w:t>
            </w:r>
            <w:proofErr w:type="spellStart"/>
            <w:r w:rsidRPr="003C6DBD">
              <w:rPr>
                <w:rFonts w:ascii="Times New Roman" w:eastAsia="Times New Roman" w:hAnsi="Times New Roman" w:cs="Times New Roman"/>
                <w:color w:val="0D0D0D" w:themeColor="text1" w:themeTint="F2"/>
                <w:sz w:val="24"/>
                <w:szCs w:val="24"/>
              </w:rPr>
              <w:t>Vereinigte</w:t>
            </w:r>
            <w:proofErr w:type="spellEnd"/>
            <w:r w:rsidRPr="003C6DBD">
              <w:rPr>
                <w:rFonts w:ascii="Times New Roman" w:eastAsia="Times New Roman" w:hAnsi="Times New Roman" w:cs="Times New Roman"/>
                <w:color w:val="0D0D0D" w:themeColor="text1" w:themeTint="F2"/>
                <w:sz w:val="24"/>
                <w:szCs w:val="24"/>
              </w:rPr>
              <w:t xml:space="preserve"> </w:t>
            </w:r>
            <w:proofErr w:type="spellStart"/>
            <w:r w:rsidRPr="003C6DBD">
              <w:rPr>
                <w:rFonts w:ascii="Times New Roman" w:eastAsia="Times New Roman" w:hAnsi="Times New Roman" w:cs="Times New Roman"/>
                <w:color w:val="0D0D0D" w:themeColor="text1" w:themeTint="F2"/>
                <w:sz w:val="24"/>
                <w:szCs w:val="24"/>
              </w:rPr>
              <w:t>BioEnergie</w:t>
            </w:r>
            <w:proofErr w:type="spellEnd"/>
            <w:r w:rsidRPr="003C6DBD">
              <w:rPr>
                <w:rFonts w:ascii="Times New Roman" w:eastAsia="Times New Roman" w:hAnsi="Times New Roman" w:cs="Times New Roman"/>
                <w:color w:val="0D0D0D" w:themeColor="text1" w:themeTint="F2"/>
                <w:sz w:val="24"/>
                <w:szCs w:val="24"/>
              </w:rPr>
              <w:t xml:space="preserve"> AG </w:t>
            </w:r>
          </w:p>
        </w:tc>
        <w:tc>
          <w:tcPr>
            <w:tcW w:w="1967" w:type="dxa"/>
            <w:shd w:val="clear" w:color="auto" w:fill="auto"/>
            <w:noWrap/>
            <w:hideMark/>
          </w:tcPr>
          <w:p w14:paraId="3A02E950" w14:textId="77777777" w:rsidR="00C3000E" w:rsidRPr="003C6DBD" w:rsidRDefault="00000000" w:rsidP="003117FC">
            <w:pPr>
              <w:spacing w:after="0" w:line="240" w:lineRule="auto"/>
              <w:rPr>
                <w:rFonts w:ascii="Times New Roman" w:eastAsia="Times New Roman" w:hAnsi="Times New Roman" w:cs="Times New Roman"/>
                <w:color w:val="0D0D0D" w:themeColor="text1" w:themeTint="F2"/>
                <w:sz w:val="24"/>
                <w:szCs w:val="24"/>
              </w:rPr>
            </w:pPr>
            <w:hyperlink r:id="rId13" w:history="1">
              <w:proofErr w:type="spellStart"/>
              <w:r w:rsidR="00C3000E" w:rsidRPr="003C6DBD">
                <w:rPr>
                  <w:rFonts w:ascii="Times New Roman" w:eastAsia="Times New Roman" w:hAnsi="Times New Roman" w:cs="Times New Roman"/>
                  <w:color w:val="0D0D0D" w:themeColor="text1" w:themeTint="F2"/>
                  <w:sz w:val="24"/>
                  <w:szCs w:val="24"/>
                </w:rPr>
                <w:t>Zörbig</w:t>
              </w:r>
              <w:proofErr w:type="spellEnd"/>
              <w:r w:rsidR="00C3000E" w:rsidRPr="003C6DBD">
                <w:rPr>
                  <w:rFonts w:ascii="Times New Roman" w:eastAsia="Times New Roman" w:hAnsi="Times New Roman" w:cs="Times New Roman"/>
                  <w:color w:val="0D0D0D" w:themeColor="text1" w:themeTint="F2"/>
                  <w:sz w:val="24"/>
                  <w:szCs w:val="24"/>
                </w:rPr>
                <w:t>, Germany</w:t>
              </w:r>
            </w:hyperlink>
          </w:p>
        </w:tc>
        <w:tc>
          <w:tcPr>
            <w:tcW w:w="1127" w:type="dxa"/>
            <w:shd w:val="clear" w:color="auto" w:fill="auto"/>
            <w:noWrap/>
            <w:hideMark/>
          </w:tcPr>
          <w:p w14:paraId="1CBD74F0"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VBK.DE</w:t>
            </w:r>
          </w:p>
        </w:tc>
        <w:tc>
          <w:tcPr>
            <w:tcW w:w="1347" w:type="dxa"/>
            <w:shd w:val="clear" w:color="auto" w:fill="auto"/>
            <w:noWrap/>
            <w:hideMark/>
          </w:tcPr>
          <w:p w14:paraId="2B3BCA9E"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XTRA</w:t>
            </w:r>
          </w:p>
        </w:tc>
        <w:tc>
          <w:tcPr>
            <w:tcW w:w="1365" w:type="dxa"/>
          </w:tcPr>
          <w:p w14:paraId="2FD8E86A"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Google Search</w:t>
            </w:r>
            <w:r w:rsidRPr="003C6DBD">
              <w:rPr>
                <w:rStyle w:val="FootnoteReference"/>
                <w:rFonts w:ascii="Times New Roman" w:hAnsi="Times New Roman" w:cs="Times New Roman"/>
                <w:color w:val="0D0D0D" w:themeColor="text1" w:themeTint="F2"/>
                <w:sz w:val="24"/>
                <w:szCs w:val="24"/>
              </w:rPr>
              <w:footnoteReference w:id="14"/>
            </w:r>
          </w:p>
        </w:tc>
      </w:tr>
    </w:tbl>
    <w:p w14:paraId="30A0FF90" w14:textId="099F79A6" w:rsidR="00C3000E" w:rsidRPr="003C6DBD" w:rsidRDefault="00C3000E" w:rsidP="00C3000E">
      <w:pPr>
        <w:pStyle w:val="Caption"/>
        <w:keepNext/>
        <w:spacing w:line="480" w:lineRule="auto"/>
        <w:rPr>
          <w:rFonts w:ascii="Times New Roman" w:hAnsi="Times New Roman" w:cs="Times New Roman"/>
          <w:color w:val="0D0D0D" w:themeColor="text1" w:themeTint="F2"/>
          <w:sz w:val="24"/>
          <w:szCs w:val="24"/>
        </w:rPr>
      </w:pPr>
      <w:bookmarkStart w:id="56" w:name="_Toc132671818"/>
      <w:r w:rsidRPr="003C6DBD">
        <w:rPr>
          <w:rFonts w:ascii="Times New Roman" w:hAnsi="Times New Roman" w:cs="Times New Roman"/>
          <w:color w:val="0D0D0D" w:themeColor="text1" w:themeTint="F2"/>
          <w:sz w:val="24"/>
          <w:szCs w:val="24"/>
        </w:rPr>
        <w:lastRenderedPageBreak/>
        <w:t xml:space="preserve">Table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Table \* ARABIC </w:instrText>
      </w:r>
      <w:r w:rsidRPr="003C6DBD">
        <w:rPr>
          <w:rFonts w:ascii="Times New Roman" w:hAnsi="Times New Roman" w:cs="Times New Roman"/>
          <w:color w:val="0D0D0D" w:themeColor="text1" w:themeTint="F2"/>
          <w:sz w:val="24"/>
          <w:szCs w:val="24"/>
        </w:rPr>
        <w:fldChar w:fldCharType="separate"/>
      </w:r>
      <w:r w:rsidR="00154E66" w:rsidRPr="003C6DBD">
        <w:rPr>
          <w:rFonts w:ascii="Times New Roman" w:hAnsi="Times New Roman" w:cs="Times New Roman"/>
          <w:noProof/>
          <w:color w:val="0D0D0D" w:themeColor="text1" w:themeTint="F2"/>
          <w:sz w:val="24"/>
          <w:szCs w:val="24"/>
        </w:rPr>
        <w:t>4</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Biofuel companies identified from S&amp;P quick comparable instrument.</w:t>
      </w:r>
      <w:bookmarkEnd w:id="56"/>
    </w:p>
    <w:tbl>
      <w:tblPr>
        <w:tblW w:w="8970" w:type="dxa"/>
        <w:tblBorders>
          <w:top w:val="single" w:sz="4" w:space="0" w:color="auto"/>
          <w:bottom w:val="single" w:sz="4" w:space="0" w:color="auto"/>
        </w:tblBorders>
        <w:tblLook w:val="04A0" w:firstRow="1" w:lastRow="0" w:firstColumn="1" w:lastColumn="0" w:noHBand="0" w:noVBand="1"/>
      </w:tblPr>
      <w:tblGrid>
        <w:gridCol w:w="689"/>
        <w:gridCol w:w="2675"/>
        <w:gridCol w:w="3122"/>
        <w:gridCol w:w="1016"/>
        <w:gridCol w:w="1468"/>
      </w:tblGrid>
      <w:tr w:rsidR="003C6DBD" w:rsidRPr="003C6DBD" w14:paraId="5371A63B" w14:textId="77777777" w:rsidTr="003117FC">
        <w:trPr>
          <w:trHeight w:val="327"/>
        </w:trPr>
        <w:tc>
          <w:tcPr>
            <w:tcW w:w="689" w:type="dxa"/>
            <w:tcBorders>
              <w:top w:val="single" w:sz="4" w:space="0" w:color="auto"/>
              <w:bottom w:val="single" w:sz="4" w:space="0" w:color="auto"/>
            </w:tcBorders>
          </w:tcPr>
          <w:p w14:paraId="2B790371" w14:textId="77777777" w:rsidR="00C3000E" w:rsidRPr="003C6DBD" w:rsidRDefault="00C3000E" w:rsidP="003117FC">
            <w:pPr>
              <w:spacing w:after="0" w:line="24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S.N.</w:t>
            </w:r>
          </w:p>
        </w:tc>
        <w:tc>
          <w:tcPr>
            <w:tcW w:w="2675" w:type="dxa"/>
            <w:tcBorders>
              <w:top w:val="single" w:sz="4" w:space="0" w:color="auto"/>
              <w:bottom w:val="single" w:sz="4" w:space="0" w:color="auto"/>
            </w:tcBorders>
            <w:shd w:val="clear" w:color="auto" w:fill="auto"/>
            <w:noWrap/>
          </w:tcPr>
          <w:p w14:paraId="5C85CE81" w14:textId="77777777" w:rsidR="00C3000E" w:rsidRPr="003C6DBD" w:rsidRDefault="00C3000E" w:rsidP="003117FC">
            <w:pPr>
              <w:spacing w:after="0" w:line="24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Name of companies</w:t>
            </w:r>
          </w:p>
        </w:tc>
        <w:tc>
          <w:tcPr>
            <w:tcW w:w="3122" w:type="dxa"/>
            <w:tcBorders>
              <w:top w:val="single" w:sz="4" w:space="0" w:color="auto"/>
              <w:bottom w:val="single" w:sz="4" w:space="0" w:color="auto"/>
            </w:tcBorders>
            <w:shd w:val="clear" w:color="auto" w:fill="auto"/>
            <w:noWrap/>
          </w:tcPr>
          <w:p w14:paraId="14501D82" w14:textId="77777777" w:rsidR="00C3000E" w:rsidRPr="003C6DBD" w:rsidRDefault="00C3000E" w:rsidP="003117FC">
            <w:pPr>
              <w:spacing w:after="0" w:line="24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 xml:space="preserve">Headquarters </w:t>
            </w:r>
          </w:p>
        </w:tc>
        <w:tc>
          <w:tcPr>
            <w:tcW w:w="1016" w:type="dxa"/>
            <w:tcBorders>
              <w:top w:val="single" w:sz="4" w:space="0" w:color="auto"/>
              <w:bottom w:val="single" w:sz="4" w:space="0" w:color="auto"/>
            </w:tcBorders>
            <w:shd w:val="clear" w:color="auto" w:fill="auto"/>
            <w:noWrap/>
          </w:tcPr>
          <w:p w14:paraId="6088B441" w14:textId="77777777" w:rsidR="00C3000E" w:rsidRPr="003C6DBD" w:rsidRDefault="00C3000E" w:rsidP="003117FC">
            <w:pPr>
              <w:spacing w:after="0" w:line="24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Ticker</w:t>
            </w:r>
          </w:p>
        </w:tc>
        <w:tc>
          <w:tcPr>
            <w:tcW w:w="1468" w:type="dxa"/>
            <w:tcBorders>
              <w:top w:val="single" w:sz="4" w:space="0" w:color="auto"/>
              <w:bottom w:val="single" w:sz="4" w:space="0" w:color="auto"/>
            </w:tcBorders>
            <w:shd w:val="clear" w:color="auto" w:fill="auto"/>
            <w:noWrap/>
          </w:tcPr>
          <w:p w14:paraId="77780C02" w14:textId="77777777" w:rsidR="00C3000E" w:rsidRPr="003C6DBD" w:rsidRDefault="00C3000E" w:rsidP="003117FC">
            <w:pPr>
              <w:spacing w:after="0" w:line="24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Stock Name</w:t>
            </w:r>
          </w:p>
        </w:tc>
      </w:tr>
      <w:tr w:rsidR="003C6DBD" w:rsidRPr="003C6DBD" w14:paraId="7E958EB9" w14:textId="77777777" w:rsidTr="003117FC">
        <w:trPr>
          <w:trHeight w:val="327"/>
        </w:trPr>
        <w:tc>
          <w:tcPr>
            <w:tcW w:w="689" w:type="dxa"/>
            <w:tcBorders>
              <w:top w:val="single" w:sz="4" w:space="0" w:color="auto"/>
            </w:tcBorders>
          </w:tcPr>
          <w:p w14:paraId="4A0308DD"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w:t>
            </w:r>
          </w:p>
        </w:tc>
        <w:tc>
          <w:tcPr>
            <w:tcW w:w="2675" w:type="dxa"/>
            <w:tcBorders>
              <w:top w:val="single" w:sz="4" w:space="0" w:color="auto"/>
            </w:tcBorders>
            <w:shd w:val="clear" w:color="auto" w:fill="auto"/>
            <w:noWrap/>
            <w:hideMark/>
          </w:tcPr>
          <w:p w14:paraId="7177E18C" w14:textId="77777777" w:rsidR="00C3000E" w:rsidRPr="003C6DBD" w:rsidRDefault="00C3000E" w:rsidP="003117FC">
            <w:pPr>
              <w:pStyle w:val="Default"/>
              <w:autoSpaceDE/>
              <w:autoSpaceDN/>
              <w:adjustRightInd/>
              <w:rPr>
                <w:rFonts w:eastAsia="Times New Roman"/>
                <w:color w:val="0D0D0D" w:themeColor="text1" w:themeTint="F2"/>
              </w:rPr>
            </w:pPr>
            <w:r w:rsidRPr="003C6DBD">
              <w:rPr>
                <w:rFonts w:eastAsia="Times New Roman"/>
                <w:color w:val="0D0D0D" w:themeColor="text1" w:themeTint="F2"/>
              </w:rPr>
              <w:t xml:space="preserve">China Clean Energy Inc. </w:t>
            </w:r>
          </w:p>
        </w:tc>
        <w:tc>
          <w:tcPr>
            <w:tcW w:w="3122" w:type="dxa"/>
            <w:tcBorders>
              <w:top w:val="single" w:sz="4" w:space="0" w:color="auto"/>
            </w:tcBorders>
            <w:shd w:val="clear" w:color="auto" w:fill="auto"/>
            <w:noWrap/>
            <w:hideMark/>
          </w:tcPr>
          <w:p w14:paraId="1F149AD8"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proofErr w:type="spellStart"/>
            <w:r w:rsidRPr="003C6DBD">
              <w:rPr>
                <w:rFonts w:ascii="Times New Roman" w:eastAsia="Times New Roman" w:hAnsi="Times New Roman" w:cs="Times New Roman"/>
                <w:color w:val="0D0D0D" w:themeColor="text1" w:themeTint="F2"/>
                <w:sz w:val="24"/>
                <w:szCs w:val="24"/>
              </w:rPr>
              <w:t>Fuqing</w:t>
            </w:r>
            <w:proofErr w:type="spellEnd"/>
            <w:r w:rsidRPr="003C6DBD">
              <w:rPr>
                <w:rFonts w:ascii="Times New Roman" w:eastAsia="Times New Roman" w:hAnsi="Times New Roman" w:cs="Times New Roman"/>
                <w:color w:val="0D0D0D" w:themeColor="text1" w:themeTint="F2"/>
                <w:sz w:val="24"/>
                <w:szCs w:val="24"/>
              </w:rPr>
              <w:t>, China</w:t>
            </w:r>
          </w:p>
        </w:tc>
        <w:tc>
          <w:tcPr>
            <w:tcW w:w="1016" w:type="dxa"/>
            <w:tcBorders>
              <w:top w:val="single" w:sz="4" w:space="0" w:color="auto"/>
            </w:tcBorders>
            <w:shd w:val="clear" w:color="auto" w:fill="auto"/>
            <w:noWrap/>
            <w:hideMark/>
          </w:tcPr>
          <w:p w14:paraId="748501FE"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CCGY</w:t>
            </w:r>
          </w:p>
        </w:tc>
        <w:tc>
          <w:tcPr>
            <w:tcW w:w="1468" w:type="dxa"/>
            <w:tcBorders>
              <w:top w:val="single" w:sz="4" w:space="0" w:color="auto"/>
            </w:tcBorders>
            <w:shd w:val="clear" w:color="auto" w:fill="auto"/>
            <w:noWrap/>
            <w:hideMark/>
          </w:tcPr>
          <w:p w14:paraId="2DAA6FF3"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OTCPK</w:t>
            </w:r>
          </w:p>
        </w:tc>
      </w:tr>
      <w:tr w:rsidR="003C6DBD" w:rsidRPr="003C6DBD" w14:paraId="31FAC79D" w14:textId="77777777" w:rsidTr="003117FC">
        <w:trPr>
          <w:trHeight w:val="327"/>
        </w:trPr>
        <w:tc>
          <w:tcPr>
            <w:tcW w:w="689" w:type="dxa"/>
          </w:tcPr>
          <w:p w14:paraId="4A913A0E"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w:t>
            </w:r>
          </w:p>
        </w:tc>
        <w:tc>
          <w:tcPr>
            <w:tcW w:w="2675" w:type="dxa"/>
            <w:shd w:val="clear" w:color="auto" w:fill="auto"/>
            <w:noWrap/>
            <w:hideMark/>
          </w:tcPr>
          <w:p w14:paraId="406D05D3"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Clean Energy Fuels Corp. </w:t>
            </w:r>
          </w:p>
        </w:tc>
        <w:tc>
          <w:tcPr>
            <w:tcW w:w="3122" w:type="dxa"/>
            <w:shd w:val="clear" w:color="auto" w:fill="auto"/>
            <w:noWrap/>
            <w:hideMark/>
          </w:tcPr>
          <w:p w14:paraId="31854838" w14:textId="77777777" w:rsidR="00C3000E" w:rsidRPr="003C6DBD" w:rsidRDefault="00C3000E" w:rsidP="003117FC">
            <w:pPr>
              <w:pStyle w:val="Default"/>
              <w:autoSpaceDE/>
              <w:autoSpaceDN/>
              <w:adjustRightInd/>
              <w:rPr>
                <w:rFonts w:eastAsia="Times New Roman"/>
                <w:color w:val="0D0D0D" w:themeColor="text1" w:themeTint="F2"/>
              </w:rPr>
            </w:pPr>
            <w:r w:rsidRPr="003C6DBD">
              <w:rPr>
                <w:rFonts w:eastAsia="Times New Roman"/>
                <w:color w:val="0D0D0D" w:themeColor="text1" w:themeTint="F2"/>
              </w:rPr>
              <w:t>California, US</w:t>
            </w:r>
          </w:p>
        </w:tc>
        <w:tc>
          <w:tcPr>
            <w:tcW w:w="1016" w:type="dxa"/>
            <w:shd w:val="clear" w:color="000000" w:fill="FFFFFF"/>
            <w:hideMark/>
          </w:tcPr>
          <w:p w14:paraId="61305AA4"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CLNE</w:t>
            </w:r>
          </w:p>
        </w:tc>
        <w:tc>
          <w:tcPr>
            <w:tcW w:w="1468" w:type="dxa"/>
            <w:shd w:val="clear" w:color="auto" w:fill="auto"/>
            <w:noWrap/>
            <w:hideMark/>
          </w:tcPr>
          <w:p w14:paraId="17123EAA"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NASDAQ</w:t>
            </w:r>
          </w:p>
        </w:tc>
      </w:tr>
      <w:tr w:rsidR="003C6DBD" w:rsidRPr="003C6DBD" w14:paraId="7673C364" w14:textId="77777777" w:rsidTr="003117FC">
        <w:trPr>
          <w:trHeight w:val="327"/>
        </w:trPr>
        <w:tc>
          <w:tcPr>
            <w:tcW w:w="689" w:type="dxa"/>
          </w:tcPr>
          <w:p w14:paraId="7CC8B34A" w14:textId="77777777" w:rsidR="00C3000E" w:rsidRPr="003C6DBD" w:rsidRDefault="00C3000E" w:rsidP="003117FC">
            <w:pPr>
              <w:spacing w:after="0" w:line="24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w:t>
            </w:r>
          </w:p>
        </w:tc>
        <w:tc>
          <w:tcPr>
            <w:tcW w:w="2675" w:type="dxa"/>
            <w:shd w:val="clear" w:color="auto" w:fill="auto"/>
            <w:noWrap/>
          </w:tcPr>
          <w:p w14:paraId="3A93153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proofErr w:type="spellStart"/>
            <w:r w:rsidRPr="003C6DBD">
              <w:rPr>
                <w:rFonts w:ascii="Times New Roman" w:eastAsia="Times New Roman" w:hAnsi="Times New Roman" w:cs="Times New Roman"/>
                <w:color w:val="0D0D0D" w:themeColor="text1" w:themeTint="F2"/>
                <w:sz w:val="24"/>
                <w:szCs w:val="24"/>
              </w:rPr>
              <w:t>CropEnergies</w:t>
            </w:r>
            <w:proofErr w:type="spellEnd"/>
            <w:r w:rsidRPr="003C6DBD">
              <w:rPr>
                <w:rFonts w:ascii="Times New Roman" w:eastAsia="Times New Roman" w:hAnsi="Times New Roman" w:cs="Times New Roman"/>
                <w:color w:val="0D0D0D" w:themeColor="text1" w:themeTint="F2"/>
                <w:sz w:val="24"/>
                <w:szCs w:val="24"/>
              </w:rPr>
              <w:t xml:space="preserve"> AG</w:t>
            </w:r>
          </w:p>
        </w:tc>
        <w:tc>
          <w:tcPr>
            <w:tcW w:w="3122" w:type="dxa"/>
            <w:shd w:val="clear" w:color="auto" w:fill="auto"/>
            <w:noWrap/>
          </w:tcPr>
          <w:p w14:paraId="37A2D300" w14:textId="77777777" w:rsidR="00C3000E" w:rsidRPr="003C6DBD" w:rsidRDefault="00C3000E" w:rsidP="003117FC">
            <w:pPr>
              <w:pStyle w:val="Default"/>
              <w:autoSpaceDE/>
              <w:autoSpaceDN/>
              <w:adjustRightInd/>
              <w:rPr>
                <w:rFonts w:eastAsia="Times New Roman"/>
                <w:color w:val="0D0D0D" w:themeColor="text1" w:themeTint="F2"/>
              </w:rPr>
            </w:pPr>
            <w:r w:rsidRPr="003C6DBD">
              <w:rPr>
                <w:color w:val="0D0D0D" w:themeColor="text1" w:themeTint="F2"/>
              </w:rPr>
              <w:t>Saxony-Anhalt, Germany</w:t>
            </w:r>
          </w:p>
        </w:tc>
        <w:tc>
          <w:tcPr>
            <w:tcW w:w="1016" w:type="dxa"/>
            <w:shd w:val="clear" w:color="000000" w:fill="FFFFFF"/>
          </w:tcPr>
          <w:p w14:paraId="7C857AEB" w14:textId="77777777" w:rsidR="00C3000E" w:rsidRPr="003C6DBD" w:rsidRDefault="00C3000E" w:rsidP="003117FC">
            <w:pPr>
              <w:pStyle w:val="Default"/>
              <w:autoSpaceDE/>
              <w:autoSpaceDN/>
              <w:adjustRightInd/>
              <w:rPr>
                <w:rFonts w:eastAsia="Times New Roman"/>
                <w:color w:val="0D0D0D" w:themeColor="text1" w:themeTint="F2"/>
              </w:rPr>
            </w:pPr>
            <w:r w:rsidRPr="003C6DBD">
              <w:rPr>
                <w:rFonts w:eastAsia="Times New Roman"/>
                <w:color w:val="0D0D0D" w:themeColor="text1" w:themeTint="F2"/>
              </w:rPr>
              <w:t>CE2</w:t>
            </w:r>
          </w:p>
        </w:tc>
        <w:tc>
          <w:tcPr>
            <w:tcW w:w="1468" w:type="dxa"/>
            <w:shd w:val="clear" w:color="auto" w:fill="auto"/>
            <w:noWrap/>
          </w:tcPr>
          <w:p w14:paraId="27C973F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XTRA</w:t>
            </w:r>
          </w:p>
        </w:tc>
      </w:tr>
      <w:tr w:rsidR="003C6DBD" w:rsidRPr="003C6DBD" w14:paraId="3A20B881" w14:textId="77777777" w:rsidTr="003117FC">
        <w:trPr>
          <w:trHeight w:val="327"/>
        </w:trPr>
        <w:tc>
          <w:tcPr>
            <w:tcW w:w="689" w:type="dxa"/>
          </w:tcPr>
          <w:p w14:paraId="521BD7A7"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4</w:t>
            </w:r>
          </w:p>
        </w:tc>
        <w:tc>
          <w:tcPr>
            <w:tcW w:w="2675" w:type="dxa"/>
            <w:shd w:val="clear" w:color="auto" w:fill="auto"/>
            <w:noWrap/>
            <w:hideMark/>
          </w:tcPr>
          <w:p w14:paraId="112CF31E"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proofErr w:type="spellStart"/>
            <w:r w:rsidRPr="003C6DBD">
              <w:rPr>
                <w:rFonts w:ascii="Times New Roman" w:eastAsia="Times New Roman" w:hAnsi="Times New Roman" w:cs="Times New Roman"/>
                <w:color w:val="0D0D0D" w:themeColor="text1" w:themeTint="F2"/>
                <w:sz w:val="24"/>
                <w:szCs w:val="24"/>
              </w:rPr>
              <w:t>Delek</w:t>
            </w:r>
            <w:proofErr w:type="spellEnd"/>
            <w:r w:rsidRPr="003C6DBD">
              <w:rPr>
                <w:rFonts w:ascii="Times New Roman" w:eastAsia="Times New Roman" w:hAnsi="Times New Roman" w:cs="Times New Roman"/>
                <w:color w:val="0D0D0D" w:themeColor="text1" w:themeTint="F2"/>
                <w:sz w:val="24"/>
                <w:szCs w:val="24"/>
              </w:rPr>
              <w:t xml:space="preserve"> US Holdings, Inc. </w:t>
            </w:r>
          </w:p>
        </w:tc>
        <w:tc>
          <w:tcPr>
            <w:tcW w:w="3122" w:type="dxa"/>
            <w:shd w:val="clear" w:color="auto" w:fill="auto"/>
            <w:noWrap/>
            <w:hideMark/>
          </w:tcPr>
          <w:p w14:paraId="04778A63"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Tennessee, US</w:t>
            </w:r>
          </w:p>
        </w:tc>
        <w:tc>
          <w:tcPr>
            <w:tcW w:w="1016" w:type="dxa"/>
            <w:shd w:val="clear" w:color="auto" w:fill="auto"/>
            <w:noWrap/>
            <w:hideMark/>
          </w:tcPr>
          <w:p w14:paraId="7904AC30"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DK</w:t>
            </w:r>
          </w:p>
        </w:tc>
        <w:tc>
          <w:tcPr>
            <w:tcW w:w="1468" w:type="dxa"/>
            <w:shd w:val="clear" w:color="auto" w:fill="auto"/>
            <w:noWrap/>
            <w:hideMark/>
          </w:tcPr>
          <w:p w14:paraId="434E9E6E"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NYSE</w:t>
            </w:r>
          </w:p>
        </w:tc>
      </w:tr>
      <w:tr w:rsidR="003C6DBD" w:rsidRPr="003C6DBD" w14:paraId="378BE878" w14:textId="77777777" w:rsidTr="003117FC">
        <w:trPr>
          <w:trHeight w:val="327"/>
        </w:trPr>
        <w:tc>
          <w:tcPr>
            <w:tcW w:w="689" w:type="dxa"/>
          </w:tcPr>
          <w:p w14:paraId="1452FED6"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5</w:t>
            </w:r>
          </w:p>
        </w:tc>
        <w:tc>
          <w:tcPr>
            <w:tcW w:w="2675" w:type="dxa"/>
            <w:shd w:val="clear" w:color="auto" w:fill="auto"/>
            <w:noWrap/>
            <w:hideMark/>
          </w:tcPr>
          <w:p w14:paraId="4F0726A4"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Galp </w:t>
            </w:r>
            <w:proofErr w:type="spellStart"/>
            <w:r w:rsidRPr="003C6DBD">
              <w:rPr>
                <w:rFonts w:ascii="Times New Roman" w:eastAsia="Times New Roman" w:hAnsi="Times New Roman" w:cs="Times New Roman"/>
                <w:color w:val="0D0D0D" w:themeColor="text1" w:themeTint="F2"/>
                <w:sz w:val="24"/>
                <w:szCs w:val="24"/>
              </w:rPr>
              <w:t>Energia</w:t>
            </w:r>
            <w:proofErr w:type="spellEnd"/>
            <w:r w:rsidRPr="003C6DBD">
              <w:rPr>
                <w:rFonts w:ascii="Times New Roman" w:eastAsia="Times New Roman" w:hAnsi="Times New Roman" w:cs="Times New Roman"/>
                <w:color w:val="0D0D0D" w:themeColor="text1" w:themeTint="F2"/>
                <w:sz w:val="24"/>
                <w:szCs w:val="24"/>
              </w:rPr>
              <w:t xml:space="preserve">, SGPS, S.A. </w:t>
            </w:r>
          </w:p>
        </w:tc>
        <w:tc>
          <w:tcPr>
            <w:tcW w:w="3122" w:type="dxa"/>
            <w:shd w:val="clear" w:color="auto" w:fill="auto"/>
            <w:noWrap/>
            <w:hideMark/>
          </w:tcPr>
          <w:p w14:paraId="606245AE"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Lisbon, Portugal</w:t>
            </w:r>
          </w:p>
        </w:tc>
        <w:tc>
          <w:tcPr>
            <w:tcW w:w="1016" w:type="dxa"/>
            <w:shd w:val="clear" w:color="auto" w:fill="auto"/>
            <w:noWrap/>
            <w:hideMark/>
          </w:tcPr>
          <w:p w14:paraId="351817D4"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GALP</w:t>
            </w:r>
          </w:p>
        </w:tc>
        <w:tc>
          <w:tcPr>
            <w:tcW w:w="1468" w:type="dxa"/>
            <w:shd w:val="clear" w:color="auto" w:fill="auto"/>
            <w:noWrap/>
            <w:hideMark/>
          </w:tcPr>
          <w:p w14:paraId="7856DDE7"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ENXTLS</w:t>
            </w:r>
          </w:p>
        </w:tc>
      </w:tr>
      <w:tr w:rsidR="003C6DBD" w:rsidRPr="003C6DBD" w14:paraId="7B3C8FF5" w14:textId="77777777" w:rsidTr="003117FC">
        <w:trPr>
          <w:trHeight w:val="327"/>
        </w:trPr>
        <w:tc>
          <w:tcPr>
            <w:tcW w:w="689" w:type="dxa"/>
          </w:tcPr>
          <w:p w14:paraId="0D621FA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6</w:t>
            </w:r>
          </w:p>
        </w:tc>
        <w:tc>
          <w:tcPr>
            <w:tcW w:w="2675" w:type="dxa"/>
            <w:shd w:val="clear" w:color="auto" w:fill="auto"/>
            <w:noWrap/>
            <w:hideMark/>
          </w:tcPr>
          <w:p w14:paraId="0866391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Global </w:t>
            </w:r>
            <w:proofErr w:type="spellStart"/>
            <w:r w:rsidRPr="003C6DBD">
              <w:rPr>
                <w:rFonts w:ascii="Times New Roman" w:eastAsia="Times New Roman" w:hAnsi="Times New Roman" w:cs="Times New Roman"/>
                <w:color w:val="0D0D0D" w:themeColor="text1" w:themeTint="F2"/>
                <w:sz w:val="24"/>
                <w:szCs w:val="24"/>
              </w:rPr>
              <w:t>Bioenergies</w:t>
            </w:r>
            <w:proofErr w:type="spellEnd"/>
            <w:r w:rsidRPr="003C6DBD">
              <w:rPr>
                <w:rFonts w:ascii="Times New Roman" w:eastAsia="Times New Roman" w:hAnsi="Times New Roman" w:cs="Times New Roman"/>
                <w:color w:val="0D0D0D" w:themeColor="text1" w:themeTint="F2"/>
                <w:sz w:val="24"/>
                <w:szCs w:val="24"/>
              </w:rPr>
              <w:t xml:space="preserve"> SA </w:t>
            </w:r>
          </w:p>
        </w:tc>
        <w:tc>
          <w:tcPr>
            <w:tcW w:w="3122" w:type="dxa"/>
            <w:shd w:val="clear" w:color="auto" w:fill="auto"/>
            <w:noWrap/>
            <w:hideMark/>
          </w:tcPr>
          <w:p w14:paraId="54AA04B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proofErr w:type="spellStart"/>
            <w:r w:rsidRPr="003C6DBD">
              <w:rPr>
                <w:rFonts w:ascii="Times New Roman" w:eastAsia="Times New Roman" w:hAnsi="Times New Roman" w:cs="Times New Roman"/>
                <w:color w:val="0D0D0D" w:themeColor="text1" w:themeTint="F2"/>
                <w:sz w:val="24"/>
                <w:szCs w:val="24"/>
              </w:rPr>
              <w:t>Evry</w:t>
            </w:r>
            <w:proofErr w:type="spellEnd"/>
            <w:r w:rsidRPr="003C6DBD">
              <w:rPr>
                <w:rFonts w:ascii="Times New Roman" w:eastAsia="Times New Roman" w:hAnsi="Times New Roman" w:cs="Times New Roman"/>
                <w:color w:val="0D0D0D" w:themeColor="text1" w:themeTint="F2"/>
                <w:sz w:val="24"/>
                <w:szCs w:val="24"/>
              </w:rPr>
              <w:t>, France</w:t>
            </w:r>
          </w:p>
        </w:tc>
        <w:tc>
          <w:tcPr>
            <w:tcW w:w="1016" w:type="dxa"/>
            <w:shd w:val="clear" w:color="auto" w:fill="auto"/>
            <w:noWrap/>
            <w:hideMark/>
          </w:tcPr>
          <w:p w14:paraId="1984ECDB"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ALGBE</w:t>
            </w:r>
          </w:p>
        </w:tc>
        <w:tc>
          <w:tcPr>
            <w:tcW w:w="1468" w:type="dxa"/>
            <w:shd w:val="clear" w:color="auto" w:fill="auto"/>
            <w:noWrap/>
            <w:hideMark/>
          </w:tcPr>
          <w:p w14:paraId="1B7F3C64"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ENXTPA</w:t>
            </w:r>
          </w:p>
        </w:tc>
      </w:tr>
      <w:tr w:rsidR="006A0B54" w:rsidRPr="003C6DBD" w14:paraId="2EC74048" w14:textId="77777777" w:rsidTr="003117FC">
        <w:trPr>
          <w:trHeight w:val="338"/>
        </w:trPr>
        <w:tc>
          <w:tcPr>
            <w:tcW w:w="689" w:type="dxa"/>
          </w:tcPr>
          <w:p w14:paraId="5D6B9CB8"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7</w:t>
            </w:r>
          </w:p>
        </w:tc>
        <w:tc>
          <w:tcPr>
            <w:tcW w:w="2675" w:type="dxa"/>
            <w:shd w:val="clear" w:color="auto" w:fill="auto"/>
            <w:noWrap/>
            <w:hideMark/>
          </w:tcPr>
          <w:p w14:paraId="04681C49"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Neste </w:t>
            </w:r>
            <w:proofErr w:type="spellStart"/>
            <w:r w:rsidRPr="003C6DBD">
              <w:rPr>
                <w:rFonts w:ascii="Times New Roman" w:eastAsia="Times New Roman" w:hAnsi="Times New Roman" w:cs="Times New Roman"/>
                <w:color w:val="0D0D0D" w:themeColor="text1" w:themeTint="F2"/>
                <w:sz w:val="24"/>
                <w:szCs w:val="24"/>
              </w:rPr>
              <w:t>Oyj</w:t>
            </w:r>
            <w:proofErr w:type="spellEnd"/>
            <w:r w:rsidRPr="003C6DBD">
              <w:rPr>
                <w:rFonts w:ascii="Times New Roman" w:eastAsia="Times New Roman" w:hAnsi="Times New Roman" w:cs="Times New Roman"/>
                <w:color w:val="0D0D0D" w:themeColor="text1" w:themeTint="F2"/>
                <w:sz w:val="24"/>
                <w:szCs w:val="24"/>
              </w:rPr>
              <w:t xml:space="preserve"> </w:t>
            </w:r>
          </w:p>
        </w:tc>
        <w:tc>
          <w:tcPr>
            <w:tcW w:w="3122" w:type="dxa"/>
            <w:shd w:val="clear" w:color="auto" w:fill="auto"/>
            <w:noWrap/>
            <w:hideMark/>
          </w:tcPr>
          <w:p w14:paraId="2911BD0A"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Espoo, Finland</w:t>
            </w:r>
          </w:p>
        </w:tc>
        <w:tc>
          <w:tcPr>
            <w:tcW w:w="1016" w:type="dxa"/>
            <w:shd w:val="clear" w:color="auto" w:fill="auto"/>
            <w:noWrap/>
            <w:hideMark/>
          </w:tcPr>
          <w:p w14:paraId="288DFC08"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NESTE</w:t>
            </w:r>
          </w:p>
        </w:tc>
        <w:tc>
          <w:tcPr>
            <w:tcW w:w="1468" w:type="dxa"/>
            <w:shd w:val="clear" w:color="auto" w:fill="auto"/>
            <w:noWrap/>
            <w:hideMark/>
          </w:tcPr>
          <w:p w14:paraId="6A0A78C0"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HLSE</w:t>
            </w:r>
          </w:p>
        </w:tc>
      </w:tr>
    </w:tbl>
    <w:p w14:paraId="2CF9DE87" w14:textId="77777777" w:rsidR="00C3000E" w:rsidRPr="003C6DBD" w:rsidRDefault="00C3000E" w:rsidP="00C3000E">
      <w:pPr>
        <w:pStyle w:val="Caption"/>
        <w:keepNext/>
        <w:spacing w:line="480" w:lineRule="auto"/>
        <w:rPr>
          <w:rFonts w:ascii="Times New Roman" w:hAnsi="Times New Roman" w:cs="Times New Roman"/>
          <w:color w:val="0D0D0D" w:themeColor="text1" w:themeTint="F2"/>
          <w:sz w:val="24"/>
          <w:szCs w:val="24"/>
        </w:rPr>
      </w:pPr>
    </w:p>
    <w:p w14:paraId="476C7678" w14:textId="77777777" w:rsidR="00C6134D" w:rsidRPr="003C6DBD" w:rsidRDefault="00C6134D" w:rsidP="00C6134D">
      <w:pPr>
        <w:rPr>
          <w:rFonts w:ascii="Times New Roman" w:hAnsi="Times New Roman" w:cs="Times New Roman"/>
          <w:color w:val="0D0D0D" w:themeColor="text1" w:themeTint="F2"/>
        </w:rPr>
      </w:pPr>
    </w:p>
    <w:p w14:paraId="3B2CAFE0" w14:textId="77777777" w:rsidR="00C6134D" w:rsidRPr="003C6DBD" w:rsidRDefault="00C6134D" w:rsidP="00C6134D">
      <w:pPr>
        <w:rPr>
          <w:rFonts w:ascii="Times New Roman" w:hAnsi="Times New Roman" w:cs="Times New Roman"/>
          <w:color w:val="0D0D0D" w:themeColor="text1" w:themeTint="F2"/>
        </w:rPr>
      </w:pPr>
    </w:p>
    <w:p w14:paraId="17E910B9" w14:textId="77777777" w:rsidR="00C6134D" w:rsidRPr="003C6DBD" w:rsidRDefault="00C6134D" w:rsidP="00C6134D">
      <w:pPr>
        <w:rPr>
          <w:rFonts w:ascii="Times New Roman" w:hAnsi="Times New Roman" w:cs="Times New Roman"/>
          <w:color w:val="0D0D0D" w:themeColor="text1" w:themeTint="F2"/>
        </w:rPr>
      </w:pPr>
    </w:p>
    <w:p w14:paraId="0C408AC4" w14:textId="77777777" w:rsidR="00C6134D" w:rsidRPr="003C6DBD" w:rsidRDefault="00C6134D" w:rsidP="00C6134D">
      <w:pPr>
        <w:rPr>
          <w:rFonts w:ascii="Times New Roman" w:hAnsi="Times New Roman" w:cs="Times New Roman"/>
          <w:color w:val="0D0D0D" w:themeColor="text1" w:themeTint="F2"/>
        </w:rPr>
      </w:pPr>
    </w:p>
    <w:p w14:paraId="235E8DC4" w14:textId="77777777" w:rsidR="00C6134D" w:rsidRPr="003C6DBD" w:rsidRDefault="00C6134D" w:rsidP="00C6134D">
      <w:pPr>
        <w:rPr>
          <w:rFonts w:ascii="Times New Roman" w:hAnsi="Times New Roman" w:cs="Times New Roman"/>
          <w:color w:val="0D0D0D" w:themeColor="text1" w:themeTint="F2"/>
        </w:rPr>
      </w:pPr>
    </w:p>
    <w:p w14:paraId="7B8D9F11" w14:textId="77777777" w:rsidR="00C6134D" w:rsidRPr="003C6DBD" w:rsidRDefault="00C6134D" w:rsidP="00C6134D">
      <w:pPr>
        <w:rPr>
          <w:rFonts w:ascii="Times New Roman" w:hAnsi="Times New Roman" w:cs="Times New Roman"/>
          <w:color w:val="0D0D0D" w:themeColor="text1" w:themeTint="F2"/>
        </w:rPr>
      </w:pPr>
    </w:p>
    <w:p w14:paraId="659B7627" w14:textId="77777777" w:rsidR="00C6134D" w:rsidRPr="003C6DBD" w:rsidRDefault="00C6134D" w:rsidP="00C6134D">
      <w:pPr>
        <w:rPr>
          <w:rFonts w:ascii="Times New Roman" w:hAnsi="Times New Roman" w:cs="Times New Roman"/>
          <w:color w:val="0D0D0D" w:themeColor="text1" w:themeTint="F2"/>
        </w:rPr>
      </w:pPr>
    </w:p>
    <w:p w14:paraId="7D57028C" w14:textId="77777777" w:rsidR="00C6134D" w:rsidRPr="003C6DBD" w:rsidRDefault="00C6134D" w:rsidP="00C6134D">
      <w:pPr>
        <w:rPr>
          <w:rFonts w:ascii="Times New Roman" w:hAnsi="Times New Roman" w:cs="Times New Roman"/>
          <w:color w:val="0D0D0D" w:themeColor="text1" w:themeTint="F2"/>
        </w:rPr>
      </w:pPr>
    </w:p>
    <w:p w14:paraId="64A7EFE1" w14:textId="77777777" w:rsidR="00C6134D" w:rsidRPr="003C6DBD" w:rsidRDefault="00C6134D" w:rsidP="00C6134D">
      <w:pPr>
        <w:rPr>
          <w:rFonts w:ascii="Times New Roman" w:hAnsi="Times New Roman" w:cs="Times New Roman"/>
          <w:color w:val="0D0D0D" w:themeColor="text1" w:themeTint="F2"/>
        </w:rPr>
      </w:pPr>
    </w:p>
    <w:p w14:paraId="16C0CE7E" w14:textId="77777777" w:rsidR="00C6134D" w:rsidRPr="003C6DBD" w:rsidRDefault="00C6134D" w:rsidP="00C6134D">
      <w:pPr>
        <w:rPr>
          <w:rFonts w:ascii="Times New Roman" w:hAnsi="Times New Roman" w:cs="Times New Roman"/>
          <w:color w:val="0D0D0D" w:themeColor="text1" w:themeTint="F2"/>
        </w:rPr>
      </w:pPr>
    </w:p>
    <w:p w14:paraId="28408DBB" w14:textId="77777777" w:rsidR="00C6134D" w:rsidRPr="003C6DBD" w:rsidRDefault="00C6134D" w:rsidP="00C6134D">
      <w:pPr>
        <w:rPr>
          <w:rFonts w:ascii="Times New Roman" w:hAnsi="Times New Roman" w:cs="Times New Roman"/>
          <w:color w:val="0D0D0D" w:themeColor="text1" w:themeTint="F2"/>
        </w:rPr>
      </w:pPr>
    </w:p>
    <w:p w14:paraId="1B678980" w14:textId="77777777" w:rsidR="00C6134D" w:rsidRPr="003C6DBD" w:rsidRDefault="00C6134D" w:rsidP="00C6134D">
      <w:pPr>
        <w:rPr>
          <w:rFonts w:ascii="Times New Roman" w:hAnsi="Times New Roman" w:cs="Times New Roman"/>
          <w:color w:val="0D0D0D" w:themeColor="text1" w:themeTint="F2"/>
        </w:rPr>
      </w:pPr>
    </w:p>
    <w:p w14:paraId="67AEE642" w14:textId="77777777" w:rsidR="00C6134D" w:rsidRPr="003C6DBD" w:rsidRDefault="00C6134D" w:rsidP="00C6134D">
      <w:pPr>
        <w:rPr>
          <w:rFonts w:ascii="Times New Roman" w:hAnsi="Times New Roman" w:cs="Times New Roman"/>
          <w:color w:val="0D0D0D" w:themeColor="text1" w:themeTint="F2"/>
        </w:rPr>
      </w:pPr>
    </w:p>
    <w:p w14:paraId="61C8A0E5" w14:textId="77777777" w:rsidR="00C6134D" w:rsidRPr="003C6DBD" w:rsidRDefault="00C6134D" w:rsidP="00C6134D">
      <w:pPr>
        <w:rPr>
          <w:rFonts w:ascii="Times New Roman" w:hAnsi="Times New Roman" w:cs="Times New Roman"/>
          <w:color w:val="0D0D0D" w:themeColor="text1" w:themeTint="F2"/>
        </w:rPr>
      </w:pPr>
    </w:p>
    <w:p w14:paraId="2633AAB4" w14:textId="77777777" w:rsidR="00C6134D" w:rsidRPr="003C6DBD" w:rsidRDefault="00C6134D" w:rsidP="00C6134D">
      <w:pPr>
        <w:rPr>
          <w:rFonts w:ascii="Times New Roman" w:hAnsi="Times New Roman" w:cs="Times New Roman"/>
          <w:color w:val="0D0D0D" w:themeColor="text1" w:themeTint="F2"/>
        </w:rPr>
      </w:pPr>
    </w:p>
    <w:p w14:paraId="1852DEEB" w14:textId="77777777" w:rsidR="00C6134D" w:rsidRPr="003C6DBD" w:rsidRDefault="00C6134D" w:rsidP="00C6134D">
      <w:pPr>
        <w:rPr>
          <w:rFonts w:ascii="Times New Roman" w:hAnsi="Times New Roman" w:cs="Times New Roman"/>
          <w:color w:val="0D0D0D" w:themeColor="text1" w:themeTint="F2"/>
        </w:rPr>
      </w:pPr>
    </w:p>
    <w:p w14:paraId="08DAA8C1" w14:textId="3B34078E" w:rsidR="00C3000E" w:rsidRPr="003C6DBD" w:rsidRDefault="00C3000E" w:rsidP="00C3000E">
      <w:pPr>
        <w:pStyle w:val="Caption"/>
        <w:keepNext/>
        <w:spacing w:line="480" w:lineRule="auto"/>
        <w:rPr>
          <w:rFonts w:ascii="Times New Roman" w:hAnsi="Times New Roman" w:cs="Times New Roman"/>
          <w:color w:val="0D0D0D" w:themeColor="text1" w:themeTint="F2"/>
          <w:sz w:val="24"/>
          <w:szCs w:val="24"/>
        </w:rPr>
      </w:pPr>
      <w:bookmarkStart w:id="57" w:name="_Toc132671819"/>
      <w:r w:rsidRPr="003C6DBD">
        <w:rPr>
          <w:rFonts w:ascii="Times New Roman" w:hAnsi="Times New Roman" w:cs="Times New Roman"/>
          <w:color w:val="0D0D0D" w:themeColor="text1" w:themeTint="F2"/>
          <w:sz w:val="24"/>
          <w:szCs w:val="24"/>
        </w:rPr>
        <w:lastRenderedPageBreak/>
        <w:t xml:space="preserve">Table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Table \* ARABIC </w:instrText>
      </w:r>
      <w:r w:rsidRPr="003C6DBD">
        <w:rPr>
          <w:rFonts w:ascii="Times New Roman" w:hAnsi="Times New Roman" w:cs="Times New Roman"/>
          <w:color w:val="0D0D0D" w:themeColor="text1" w:themeTint="F2"/>
          <w:sz w:val="24"/>
          <w:szCs w:val="24"/>
        </w:rPr>
        <w:fldChar w:fldCharType="separate"/>
      </w:r>
      <w:r w:rsidR="00154E66" w:rsidRPr="003C6DBD">
        <w:rPr>
          <w:rFonts w:ascii="Times New Roman" w:hAnsi="Times New Roman" w:cs="Times New Roman"/>
          <w:noProof/>
          <w:color w:val="0D0D0D" w:themeColor="text1" w:themeTint="F2"/>
          <w:sz w:val="24"/>
          <w:szCs w:val="24"/>
        </w:rPr>
        <w:t>5</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w:t>
      </w:r>
      <w:r w:rsidR="009363D5" w:rsidRPr="003C6DBD">
        <w:rPr>
          <w:rFonts w:ascii="Times New Roman" w:hAnsi="Times New Roman" w:cs="Times New Roman"/>
          <w:color w:val="0D0D0D" w:themeColor="text1" w:themeTint="F2"/>
          <w:sz w:val="24"/>
          <w:szCs w:val="24"/>
        </w:rPr>
        <w:t xml:space="preserve">Sample </w:t>
      </w:r>
      <w:r w:rsidRPr="003C6DBD">
        <w:rPr>
          <w:rFonts w:ascii="Times New Roman" w:hAnsi="Times New Roman" w:cs="Times New Roman"/>
          <w:color w:val="0D0D0D" w:themeColor="text1" w:themeTint="F2"/>
          <w:sz w:val="24"/>
          <w:szCs w:val="24"/>
        </w:rPr>
        <w:t>of biofuel companies</w:t>
      </w:r>
      <w:bookmarkEnd w:id="57"/>
      <w:r w:rsidR="009363D5" w:rsidRPr="003C6DBD">
        <w:rPr>
          <w:rFonts w:ascii="Times New Roman" w:hAnsi="Times New Roman" w:cs="Times New Roman"/>
          <w:color w:val="0D0D0D" w:themeColor="text1" w:themeTint="F2"/>
          <w:sz w:val="24"/>
          <w:szCs w:val="24"/>
        </w:rPr>
        <w:t xml:space="preserve"> before filtering for risk and financial data availability</w:t>
      </w:r>
    </w:p>
    <w:tbl>
      <w:tblPr>
        <w:tblW w:w="9356" w:type="dxa"/>
        <w:tblBorders>
          <w:top w:val="single" w:sz="4" w:space="0" w:color="auto"/>
          <w:bottom w:val="single" w:sz="4" w:space="0" w:color="auto"/>
        </w:tblBorders>
        <w:tblLook w:val="04A0" w:firstRow="1" w:lastRow="0" w:firstColumn="1" w:lastColumn="0" w:noHBand="0" w:noVBand="1"/>
      </w:tblPr>
      <w:tblGrid>
        <w:gridCol w:w="643"/>
        <w:gridCol w:w="2794"/>
        <w:gridCol w:w="1603"/>
        <w:gridCol w:w="1363"/>
        <w:gridCol w:w="1376"/>
        <w:gridCol w:w="1577"/>
      </w:tblGrid>
      <w:tr w:rsidR="003C6DBD" w:rsidRPr="003C6DBD" w14:paraId="41BBC88E" w14:textId="77777777" w:rsidTr="00F803D8">
        <w:trPr>
          <w:trHeight w:val="280"/>
        </w:trPr>
        <w:tc>
          <w:tcPr>
            <w:tcW w:w="643" w:type="dxa"/>
            <w:tcBorders>
              <w:top w:val="single" w:sz="4" w:space="0" w:color="auto"/>
              <w:bottom w:val="single" w:sz="4" w:space="0" w:color="auto"/>
            </w:tcBorders>
          </w:tcPr>
          <w:p w14:paraId="4788A112" w14:textId="77777777" w:rsidR="00C3000E" w:rsidRPr="003C6DBD" w:rsidRDefault="00C3000E" w:rsidP="003117FC">
            <w:pPr>
              <w:spacing w:after="0" w:line="24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S.N.</w:t>
            </w:r>
          </w:p>
        </w:tc>
        <w:tc>
          <w:tcPr>
            <w:tcW w:w="2794" w:type="dxa"/>
            <w:tcBorders>
              <w:top w:val="single" w:sz="4" w:space="0" w:color="auto"/>
              <w:bottom w:val="single" w:sz="4" w:space="0" w:color="auto"/>
            </w:tcBorders>
            <w:shd w:val="clear" w:color="auto" w:fill="auto"/>
            <w:noWrap/>
          </w:tcPr>
          <w:p w14:paraId="5F9808C7" w14:textId="77777777" w:rsidR="00C3000E" w:rsidRPr="003C6DBD" w:rsidRDefault="00C3000E" w:rsidP="003117FC">
            <w:pPr>
              <w:pStyle w:val="Default"/>
              <w:autoSpaceDE/>
              <w:autoSpaceDN/>
              <w:adjustRightInd/>
              <w:rPr>
                <w:rFonts w:eastAsia="Times New Roman"/>
                <w:b/>
                <w:bCs/>
                <w:color w:val="0D0D0D" w:themeColor="text1" w:themeTint="F2"/>
              </w:rPr>
            </w:pPr>
            <w:r w:rsidRPr="003C6DBD">
              <w:rPr>
                <w:rFonts w:eastAsia="Times New Roman"/>
                <w:b/>
                <w:bCs/>
                <w:color w:val="0D0D0D" w:themeColor="text1" w:themeTint="F2"/>
              </w:rPr>
              <w:t>Name of companies</w:t>
            </w:r>
          </w:p>
        </w:tc>
        <w:tc>
          <w:tcPr>
            <w:tcW w:w="1603" w:type="dxa"/>
            <w:tcBorders>
              <w:top w:val="single" w:sz="4" w:space="0" w:color="auto"/>
              <w:bottom w:val="single" w:sz="4" w:space="0" w:color="auto"/>
            </w:tcBorders>
            <w:shd w:val="clear" w:color="auto" w:fill="auto"/>
            <w:noWrap/>
          </w:tcPr>
          <w:p w14:paraId="6695A0F1" w14:textId="77777777" w:rsidR="00C3000E" w:rsidRPr="003C6DBD" w:rsidRDefault="00C3000E" w:rsidP="003117FC">
            <w:pPr>
              <w:spacing w:after="0" w:line="24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Ticker</w:t>
            </w:r>
          </w:p>
        </w:tc>
        <w:tc>
          <w:tcPr>
            <w:tcW w:w="1363" w:type="dxa"/>
            <w:tcBorders>
              <w:top w:val="single" w:sz="4" w:space="0" w:color="auto"/>
              <w:bottom w:val="single" w:sz="4" w:space="0" w:color="auto"/>
            </w:tcBorders>
            <w:shd w:val="clear" w:color="auto" w:fill="auto"/>
            <w:noWrap/>
          </w:tcPr>
          <w:p w14:paraId="154C37E9" w14:textId="77777777" w:rsidR="00C3000E" w:rsidRPr="003C6DBD" w:rsidRDefault="00C3000E" w:rsidP="003117FC">
            <w:pPr>
              <w:spacing w:after="0" w:line="24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Stock Name</w:t>
            </w:r>
          </w:p>
        </w:tc>
        <w:tc>
          <w:tcPr>
            <w:tcW w:w="1376" w:type="dxa"/>
            <w:tcBorders>
              <w:top w:val="single" w:sz="4" w:space="0" w:color="auto"/>
              <w:bottom w:val="single" w:sz="4" w:space="0" w:color="auto"/>
            </w:tcBorders>
          </w:tcPr>
          <w:p w14:paraId="2809B0E0" w14:textId="77777777" w:rsidR="00C3000E" w:rsidRPr="003C6DBD" w:rsidRDefault="00C3000E" w:rsidP="003117FC">
            <w:pPr>
              <w:spacing w:after="0" w:line="24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Country of Stock Exchange</w:t>
            </w:r>
          </w:p>
        </w:tc>
        <w:tc>
          <w:tcPr>
            <w:tcW w:w="1577" w:type="dxa"/>
            <w:tcBorders>
              <w:top w:val="single" w:sz="4" w:space="0" w:color="auto"/>
              <w:bottom w:val="single" w:sz="4" w:space="0" w:color="auto"/>
            </w:tcBorders>
          </w:tcPr>
          <w:p w14:paraId="16D342F1" w14:textId="77777777" w:rsidR="00C3000E" w:rsidRPr="003C6DBD" w:rsidRDefault="00C3000E" w:rsidP="003117FC">
            <w:pPr>
              <w:pStyle w:val="Heading4"/>
              <w:spacing w:line="240" w:lineRule="auto"/>
              <w:rPr>
                <w:color w:val="0D0D0D" w:themeColor="text1" w:themeTint="F2"/>
              </w:rPr>
            </w:pPr>
            <w:r w:rsidRPr="003C6DBD">
              <w:rPr>
                <w:color w:val="0D0D0D" w:themeColor="text1" w:themeTint="F2"/>
              </w:rPr>
              <w:t>Classification</w:t>
            </w:r>
          </w:p>
        </w:tc>
      </w:tr>
      <w:tr w:rsidR="003C6DBD" w:rsidRPr="003C6DBD" w14:paraId="2AC603B9" w14:textId="77777777" w:rsidTr="00F803D8">
        <w:trPr>
          <w:trHeight w:val="280"/>
        </w:trPr>
        <w:tc>
          <w:tcPr>
            <w:tcW w:w="643" w:type="dxa"/>
            <w:tcBorders>
              <w:top w:val="single" w:sz="4" w:space="0" w:color="auto"/>
              <w:bottom w:val="nil"/>
            </w:tcBorders>
          </w:tcPr>
          <w:p w14:paraId="5C09C17B" w14:textId="77777777" w:rsidR="00C3000E" w:rsidRPr="003C6DBD" w:rsidRDefault="00C3000E" w:rsidP="003117FC">
            <w:pPr>
              <w:spacing w:after="0" w:line="24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w:t>
            </w:r>
          </w:p>
        </w:tc>
        <w:tc>
          <w:tcPr>
            <w:tcW w:w="2794" w:type="dxa"/>
            <w:tcBorders>
              <w:top w:val="single" w:sz="4" w:space="0" w:color="auto"/>
              <w:bottom w:val="nil"/>
            </w:tcBorders>
            <w:shd w:val="clear" w:color="auto" w:fill="auto"/>
            <w:noWrap/>
          </w:tcPr>
          <w:p w14:paraId="7D5079FA" w14:textId="77777777" w:rsidR="00C3000E" w:rsidRPr="003C6DBD" w:rsidRDefault="00C3000E" w:rsidP="003117FC">
            <w:pPr>
              <w:pStyle w:val="Default"/>
              <w:autoSpaceDE/>
              <w:autoSpaceDN/>
              <w:adjustRightInd/>
              <w:rPr>
                <w:rFonts w:eastAsia="Times New Roman"/>
                <w:color w:val="0D0D0D" w:themeColor="text1" w:themeTint="F2"/>
              </w:rPr>
            </w:pPr>
            <w:proofErr w:type="spellStart"/>
            <w:r w:rsidRPr="003C6DBD">
              <w:rPr>
                <w:color w:val="0D0D0D" w:themeColor="text1" w:themeTint="F2"/>
              </w:rPr>
              <w:t>Abengoa</w:t>
            </w:r>
            <w:proofErr w:type="spellEnd"/>
            <w:r w:rsidRPr="003C6DBD">
              <w:rPr>
                <w:color w:val="0D0D0D" w:themeColor="text1" w:themeTint="F2"/>
              </w:rPr>
              <w:t xml:space="preserve"> SA</w:t>
            </w:r>
          </w:p>
        </w:tc>
        <w:tc>
          <w:tcPr>
            <w:tcW w:w="1603" w:type="dxa"/>
            <w:tcBorders>
              <w:top w:val="single" w:sz="4" w:space="0" w:color="auto"/>
              <w:bottom w:val="nil"/>
            </w:tcBorders>
            <w:shd w:val="clear" w:color="auto" w:fill="auto"/>
            <w:noWrap/>
          </w:tcPr>
          <w:p w14:paraId="1364540C"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ABG</w:t>
            </w:r>
          </w:p>
        </w:tc>
        <w:tc>
          <w:tcPr>
            <w:tcW w:w="1363" w:type="dxa"/>
            <w:tcBorders>
              <w:top w:val="single" w:sz="4" w:space="0" w:color="auto"/>
              <w:bottom w:val="nil"/>
            </w:tcBorders>
            <w:shd w:val="clear" w:color="auto" w:fill="auto"/>
            <w:noWrap/>
          </w:tcPr>
          <w:p w14:paraId="0AF91D50"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BME</w:t>
            </w:r>
          </w:p>
        </w:tc>
        <w:tc>
          <w:tcPr>
            <w:tcW w:w="1376" w:type="dxa"/>
            <w:tcBorders>
              <w:top w:val="single" w:sz="4" w:space="0" w:color="auto"/>
              <w:bottom w:val="nil"/>
            </w:tcBorders>
          </w:tcPr>
          <w:p w14:paraId="11E64E72"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Spain</w:t>
            </w:r>
          </w:p>
        </w:tc>
        <w:tc>
          <w:tcPr>
            <w:tcW w:w="1577" w:type="dxa"/>
            <w:tcBorders>
              <w:top w:val="single" w:sz="4" w:space="0" w:color="auto"/>
              <w:bottom w:val="nil"/>
            </w:tcBorders>
          </w:tcPr>
          <w:p w14:paraId="4B5C30B9"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w:t>
            </w:r>
          </w:p>
        </w:tc>
      </w:tr>
      <w:tr w:rsidR="003C6DBD" w:rsidRPr="003C6DBD" w14:paraId="0FF885E7" w14:textId="77777777" w:rsidTr="00F803D8">
        <w:trPr>
          <w:trHeight w:val="280"/>
        </w:trPr>
        <w:tc>
          <w:tcPr>
            <w:tcW w:w="643" w:type="dxa"/>
            <w:tcBorders>
              <w:top w:val="nil"/>
            </w:tcBorders>
          </w:tcPr>
          <w:p w14:paraId="098993D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bookmarkStart w:id="58" w:name="_Hlk94624924"/>
            <w:r w:rsidRPr="003C6DBD">
              <w:rPr>
                <w:rFonts w:ascii="Times New Roman" w:hAnsi="Times New Roman" w:cs="Times New Roman"/>
                <w:color w:val="0D0D0D" w:themeColor="text1" w:themeTint="F2"/>
                <w:sz w:val="24"/>
                <w:szCs w:val="24"/>
              </w:rPr>
              <w:t>2</w:t>
            </w:r>
          </w:p>
        </w:tc>
        <w:tc>
          <w:tcPr>
            <w:tcW w:w="2794" w:type="dxa"/>
            <w:tcBorders>
              <w:top w:val="nil"/>
            </w:tcBorders>
            <w:shd w:val="clear" w:color="auto" w:fill="auto"/>
            <w:noWrap/>
            <w:hideMark/>
          </w:tcPr>
          <w:p w14:paraId="7DFA864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proofErr w:type="spellStart"/>
            <w:r w:rsidRPr="003C6DBD">
              <w:rPr>
                <w:rFonts w:ascii="Times New Roman" w:eastAsia="Times New Roman" w:hAnsi="Times New Roman" w:cs="Times New Roman"/>
                <w:color w:val="0D0D0D" w:themeColor="text1" w:themeTint="F2"/>
                <w:sz w:val="24"/>
                <w:szCs w:val="24"/>
              </w:rPr>
              <w:t>Adecoagro</w:t>
            </w:r>
            <w:proofErr w:type="spellEnd"/>
            <w:r w:rsidRPr="003C6DBD">
              <w:rPr>
                <w:rFonts w:ascii="Times New Roman" w:eastAsia="Times New Roman" w:hAnsi="Times New Roman" w:cs="Times New Roman"/>
                <w:color w:val="0D0D0D" w:themeColor="text1" w:themeTint="F2"/>
                <w:sz w:val="24"/>
                <w:szCs w:val="24"/>
              </w:rPr>
              <w:t xml:space="preserve"> S.A. </w:t>
            </w:r>
          </w:p>
        </w:tc>
        <w:tc>
          <w:tcPr>
            <w:tcW w:w="1603" w:type="dxa"/>
            <w:tcBorders>
              <w:top w:val="nil"/>
            </w:tcBorders>
            <w:shd w:val="clear" w:color="auto" w:fill="auto"/>
            <w:noWrap/>
            <w:hideMark/>
          </w:tcPr>
          <w:p w14:paraId="0EFF7CAA"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AGRO</w:t>
            </w:r>
          </w:p>
        </w:tc>
        <w:tc>
          <w:tcPr>
            <w:tcW w:w="1363" w:type="dxa"/>
            <w:tcBorders>
              <w:top w:val="nil"/>
            </w:tcBorders>
            <w:shd w:val="clear" w:color="auto" w:fill="auto"/>
            <w:noWrap/>
            <w:hideMark/>
          </w:tcPr>
          <w:p w14:paraId="7A5E31E3"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NYSE</w:t>
            </w:r>
          </w:p>
        </w:tc>
        <w:tc>
          <w:tcPr>
            <w:tcW w:w="1376" w:type="dxa"/>
            <w:tcBorders>
              <w:top w:val="nil"/>
            </w:tcBorders>
          </w:tcPr>
          <w:p w14:paraId="0AACD125"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Borders>
              <w:top w:val="nil"/>
            </w:tcBorders>
          </w:tcPr>
          <w:p w14:paraId="22E03FB3"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w:t>
            </w:r>
          </w:p>
        </w:tc>
      </w:tr>
      <w:tr w:rsidR="003C6DBD" w:rsidRPr="003C6DBD" w14:paraId="5B9785B7" w14:textId="77777777" w:rsidTr="00F803D8">
        <w:trPr>
          <w:trHeight w:val="280"/>
        </w:trPr>
        <w:tc>
          <w:tcPr>
            <w:tcW w:w="643" w:type="dxa"/>
          </w:tcPr>
          <w:p w14:paraId="4C35BA85"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w:t>
            </w:r>
          </w:p>
        </w:tc>
        <w:tc>
          <w:tcPr>
            <w:tcW w:w="2794" w:type="dxa"/>
            <w:shd w:val="clear" w:color="auto" w:fill="auto"/>
            <w:noWrap/>
            <w:hideMark/>
          </w:tcPr>
          <w:p w14:paraId="444164B8" w14:textId="77777777" w:rsidR="00C3000E" w:rsidRPr="003C6DBD" w:rsidRDefault="00C3000E" w:rsidP="003117FC">
            <w:pPr>
              <w:pStyle w:val="Default"/>
              <w:autoSpaceDE/>
              <w:autoSpaceDN/>
              <w:adjustRightInd/>
              <w:rPr>
                <w:rFonts w:eastAsia="Times New Roman"/>
                <w:color w:val="0D0D0D" w:themeColor="text1" w:themeTint="F2"/>
              </w:rPr>
            </w:pPr>
            <w:proofErr w:type="spellStart"/>
            <w:r w:rsidRPr="003C6DBD">
              <w:rPr>
                <w:rFonts w:eastAsia="Times New Roman"/>
                <w:color w:val="0D0D0D" w:themeColor="text1" w:themeTint="F2"/>
              </w:rPr>
              <w:t>Aemetis</w:t>
            </w:r>
            <w:proofErr w:type="spellEnd"/>
            <w:r w:rsidRPr="003C6DBD">
              <w:rPr>
                <w:rFonts w:eastAsia="Times New Roman"/>
                <w:color w:val="0D0D0D" w:themeColor="text1" w:themeTint="F2"/>
              </w:rPr>
              <w:t xml:space="preserve">, Inc. </w:t>
            </w:r>
          </w:p>
        </w:tc>
        <w:tc>
          <w:tcPr>
            <w:tcW w:w="1603" w:type="dxa"/>
            <w:shd w:val="clear" w:color="auto" w:fill="auto"/>
            <w:noWrap/>
            <w:hideMark/>
          </w:tcPr>
          <w:p w14:paraId="1BC1CFF8"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AMTX</w:t>
            </w:r>
          </w:p>
        </w:tc>
        <w:tc>
          <w:tcPr>
            <w:tcW w:w="1363" w:type="dxa"/>
            <w:shd w:val="clear" w:color="auto" w:fill="auto"/>
            <w:noWrap/>
            <w:hideMark/>
          </w:tcPr>
          <w:p w14:paraId="755430DC"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NASDAQ</w:t>
            </w:r>
          </w:p>
        </w:tc>
        <w:tc>
          <w:tcPr>
            <w:tcW w:w="1376" w:type="dxa"/>
          </w:tcPr>
          <w:p w14:paraId="39E36AF9"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Pr>
          <w:p w14:paraId="648BA075" w14:textId="77777777" w:rsidR="00C3000E" w:rsidRPr="003C6DBD" w:rsidRDefault="00C3000E" w:rsidP="003117FC">
            <w:pPr>
              <w:pStyle w:val="Default"/>
              <w:autoSpaceDE/>
              <w:autoSpaceDN/>
              <w:adjustRightInd/>
              <w:rPr>
                <w:rFonts w:eastAsia="Times New Roman"/>
                <w:color w:val="0D0D0D" w:themeColor="text1" w:themeTint="F2"/>
              </w:rPr>
            </w:pPr>
            <w:r w:rsidRPr="003C6DBD">
              <w:rPr>
                <w:rFonts w:eastAsia="Times New Roman"/>
                <w:color w:val="0D0D0D" w:themeColor="text1" w:themeTint="F2"/>
              </w:rPr>
              <w:t>Production</w:t>
            </w:r>
          </w:p>
        </w:tc>
      </w:tr>
      <w:tr w:rsidR="003C6DBD" w:rsidRPr="003C6DBD" w14:paraId="17A4BC5F" w14:textId="77777777" w:rsidTr="00F803D8">
        <w:trPr>
          <w:trHeight w:val="280"/>
        </w:trPr>
        <w:tc>
          <w:tcPr>
            <w:tcW w:w="643" w:type="dxa"/>
          </w:tcPr>
          <w:p w14:paraId="5EF195D2"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4</w:t>
            </w:r>
          </w:p>
        </w:tc>
        <w:tc>
          <w:tcPr>
            <w:tcW w:w="2794" w:type="dxa"/>
            <w:shd w:val="clear" w:color="auto" w:fill="auto"/>
            <w:noWrap/>
            <w:hideMark/>
          </w:tcPr>
          <w:p w14:paraId="750D790B"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Alto Ingredients, Inc. </w:t>
            </w:r>
          </w:p>
        </w:tc>
        <w:tc>
          <w:tcPr>
            <w:tcW w:w="1603" w:type="dxa"/>
            <w:shd w:val="clear" w:color="auto" w:fill="auto"/>
            <w:noWrap/>
            <w:hideMark/>
          </w:tcPr>
          <w:p w14:paraId="20E9A072"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ALTO</w:t>
            </w:r>
          </w:p>
        </w:tc>
        <w:tc>
          <w:tcPr>
            <w:tcW w:w="1363" w:type="dxa"/>
            <w:shd w:val="clear" w:color="auto" w:fill="auto"/>
            <w:noWrap/>
            <w:hideMark/>
          </w:tcPr>
          <w:p w14:paraId="3DBCFC39"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NASDAQ</w:t>
            </w:r>
          </w:p>
        </w:tc>
        <w:tc>
          <w:tcPr>
            <w:tcW w:w="1376" w:type="dxa"/>
          </w:tcPr>
          <w:p w14:paraId="1624E323"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Pr>
          <w:p w14:paraId="202A73A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 and Marketing</w:t>
            </w:r>
          </w:p>
        </w:tc>
      </w:tr>
      <w:tr w:rsidR="003C6DBD" w:rsidRPr="003C6DBD" w14:paraId="454EEFF0" w14:textId="77777777" w:rsidTr="00F803D8">
        <w:trPr>
          <w:trHeight w:val="280"/>
        </w:trPr>
        <w:tc>
          <w:tcPr>
            <w:tcW w:w="643" w:type="dxa"/>
          </w:tcPr>
          <w:p w14:paraId="25DB3A0B"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5</w:t>
            </w:r>
          </w:p>
        </w:tc>
        <w:tc>
          <w:tcPr>
            <w:tcW w:w="2794" w:type="dxa"/>
            <w:shd w:val="clear" w:color="auto" w:fill="auto"/>
            <w:noWrap/>
            <w:hideMark/>
          </w:tcPr>
          <w:p w14:paraId="664E6DF1"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Archer-Daniels-Midland Company </w:t>
            </w:r>
          </w:p>
        </w:tc>
        <w:tc>
          <w:tcPr>
            <w:tcW w:w="1603" w:type="dxa"/>
            <w:shd w:val="clear" w:color="auto" w:fill="auto"/>
            <w:noWrap/>
            <w:hideMark/>
          </w:tcPr>
          <w:p w14:paraId="69DCAE5C" w14:textId="77777777" w:rsidR="00C3000E" w:rsidRPr="003C6DBD" w:rsidRDefault="00C3000E" w:rsidP="003117FC">
            <w:pPr>
              <w:pStyle w:val="Default"/>
              <w:autoSpaceDE/>
              <w:autoSpaceDN/>
              <w:adjustRightInd/>
              <w:rPr>
                <w:rFonts w:eastAsia="Times New Roman"/>
                <w:color w:val="0D0D0D" w:themeColor="text1" w:themeTint="F2"/>
              </w:rPr>
            </w:pPr>
            <w:r w:rsidRPr="003C6DBD">
              <w:rPr>
                <w:rFonts w:eastAsia="Times New Roman"/>
                <w:color w:val="0D0D0D" w:themeColor="text1" w:themeTint="F2"/>
              </w:rPr>
              <w:t>ADM</w:t>
            </w:r>
          </w:p>
        </w:tc>
        <w:tc>
          <w:tcPr>
            <w:tcW w:w="1363" w:type="dxa"/>
            <w:shd w:val="clear" w:color="auto" w:fill="auto"/>
            <w:noWrap/>
            <w:hideMark/>
          </w:tcPr>
          <w:p w14:paraId="5219EA45"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NYSE</w:t>
            </w:r>
          </w:p>
        </w:tc>
        <w:tc>
          <w:tcPr>
            <w:tcW w:w="1376" w:type="dxa"/>
          </w:tcPr>
          <w:p w14:paraId="473D33A8" w14:textId="77777777" w:rsidR="00C3000E" w:rsidRPr="003C6DBD" w:rsidRDefault="00C3000E" w:rsidP="003117FC">
            <w:pPr>
              <w:pStyle w:val="Default"/>
              <w:autoSpaceDE/>
              <w:autoSpaceDN/>
              <w:adjustRightInd/>
              <w:rPr>
                <w:rFonts w:eastAsia="Times New Roman"/>
                <w:color w:val="0D0D0D" w:themeColor="text1" w:themeTint="F2"/>
              </w:rPr>
            </w:pPr>
            <w:r w:rsidRPr="003C6DBD">
              <w:rPr>
                <w:rFonts w:eastAsia="Times New Roman"/>
                <w:color w:val="0D0D0D" w:themeColor="text1" w:themeTint="F2"/>
              </w:rPr>
              <w:t>US</w:t>
            </w:r>
          </w:p>
        </w:tc>
        <w:tc>
          <w:tcPr>
            <w:tcW w:w="1577" w:type="dxa"/>
          </w:tcPr>
          <w:p w14:paraId="11F37EAA"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w:t>
            </w:r>
          </w:p>
        </w:tc>
      </w:tr>
      <w:tr w:rsidR="003C6DBD" w:rsidRPr="003C6DBD" w14:paraId="3309D363" w14:textId="77777777" w:rsidTr="00F803D8">
        <w:trPr>
          <w:trHeight w:val="280"/>
        </w:trPr>
        <w:tc>
          <w:tcPr>
            <w:tcW w:w="643" w:type="dxa"/>
          </w:tcPr>
          <w:p w14:paraId="00579C2A"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6</w:t>
            </w:r>
          </w:p>
        </w:tc>
        <w:tc>
          <w:tcPr>
            <w:tcW w:w="2794" w:type="dxa"/>
            <w:shd w:val="clear" w:color="auto" w:fill="auto"/>
            <w:noWrap/>
            <w:hideMark/>
          </w:tcPr>
          <w:p w14:paraId="3C0E9FCB"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BP p.l.c. </w:t>
            </w:r>
          </w:p>
        </w:tc>
        <w:tc>
          <w:tcPr>
            <w:tcW w:w="1603" w:type="dxa"/>
            <w:shd w:val="clear" w:color="auto" w:fill="auto"/>
            <w:noWrap/>
            <w:hideMark/>
          </w:tcPr>
          <w:p w14:paraId="181512DB"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BP</w:t>
            </w:r>
          </w:p>
        </w:tc>
        <w:tc>
          <w:tcPr>
            <w:tcW w:w="1363" w:type="dxa"/>
            <w:shd w:val="clear" w:color="auto" w:fill="auto"/>
            <w:noWrap/>
            <w:hideMark/>
          </w:tcPr>
          <w:p w14:paraId="7B8110D4"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LSE</w:t>
            </w:r>
          </w:p>
        </w:tc>
        <w:tc>
          <w:tcPr>
            <w:tcW w:w="1376" w:type="dxa"/>
          </w:tcPr>
          <w:p w14:paraId="216F9AD7"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United Kingdom</w:t>
            </w:r>
          </w:p>
        </w:tc>
        <w:tc>
          <w:tcPr>
            <w:tcW w:w="1577" w:type="dxa"/>
          </w:tcPr>
          <w:p w14:paraId="5193ED77"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w:t>
            </w:r>
          </w:p>
        </w:tc>
      </w:tr>
      <w:tr w:rsidR="003C6DBD" w:rsidRPr="003C6DBD" w14:paraId="3FBA2445" w14:textId="77777777" w:rsidTr="00F803D8">
        <w:trPr>
          <w:trHeight w:val="280"/>
        </w:trPr>
        <w:tc>
          <w:tcPr>
            <w:tcW w:w="643" w:type="dxa"/>
          </w:tcPr>
          <w:p w14:paraId="1AFF38A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7</w:t>
            </w:r>
          </w:p>
        </w:tc>
        <w:tc>
          <w:tcPr>
            <w:tcW w:w="2794" w:type="dxa"/>
            <w:shd w:val="clear" w:color="auto" w:fill="auto"/>
            <w:noWrap/>
            <w:hideMark/>
          </w:tcPr>
          <w:p w14:paraId="4C2E627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Bunge Limited </w:t>
            </w:r>
          </w:p>
        </w:tc>
        <w:tc>
          <w:tcPr>
            <w:tcW w:w="1603" w:type="dxa"/>
            <w:shd w:val="clear" w:color="auto" w:fill="auto"/>
            <w:noWrap/>
            <w:hideMark/>
          </w:tcPr>
          <w:p w14:paraId="2A858292"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BG</w:t>
            </w:r>
          </w:p>
        </w:tc>
        <w:tc>
          <w:tcPr>
            <w:tcW w:w="1363" w:type="dxa"/>
            <w:shd w:val="clear" w:color="auto" w:fill="auto"/>
            <w:noWrap/>
            <w:hideMark/>
          </w:tcPr>
          <w:p w14:paraId="5EEEEC1C"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NYSE</w:t>
            </w:r>
          </w:p>
        </w:tc>
        <w:tc>
          <w:tcPr>
            <w:tcW w:w="1376" w:type="dxa"/>
          </w:tcPr>
          <w:p w14:paraId="0EE4DC8B" w14:textId="77777777" w:rsidR="00C3000E" w:rsidRPr="003C6DBD" w:rsidRDefault="00C3000E" w:rsidP="003117FC">
            <w:pPr>
              <w:pStyle w:val="Default"/>
              <w:autoSpaceDE/>
              <w:autoSpaceDN/>
              <w:adjustRightInd/>
              <w:rPr>
                <w:rFonts w:eastAsia="Times New Roman"/>
                <w:color w:val="0D0D0D" w:themeColor="text1" w:themeTint="F2"/>
              </w:rPr>
            </w:pPr>
            <w:r w:rsidRPr="003C6DBD">
              <w:rPr>
                <w:rFonts w:eastAsia="Times New Roman"/>
                <w:color w:val="0D0D0D" w:themeColor="text1" w:themeTint="F2"/>
              </w:rPr>
              <w:t>US</w:t>
            </w:r>
          </w:p>
        </w:tc>
        <w:tc>
          <w:tcPr>
            <w:tcW w:w="1577" w:type="dxa"/>
          </w:tcPr>
          <w:p w14:paraId="7CED8953"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 and Marketing</w:t>
            </w:r>
          </w:p>
        </w:tc>
      </w:tr>
      <w:tr w:rsidR="003C6DBD" w:rsidRPr="003C6DBD" w14:paraId="6C4C608E" w14:textId="77777777" w:rsidTr="00F803D8">
        <w:trPr>
          <w:trHeight w:val="280"/>
        </w:trPr>
        <w:tc>
          <w:tcPr>
            <w:tcW w:w="643" w:type="dxa"/>
          </w:tcPr>
          <w:p w14:paraId="630E534A"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8</w:t>
            </w:r>
          </w:p>
        </w:tc>
        <w:tc>
          <w:tcPr>
            <w:tcW w:w="2794" w:type="dxa"/>
            <w:shd w:val="clear" w:color="auto" w:fill="auto"/>
            <w:noWrap/>
            <w:hideMark/>
          </w:tcPr>
          <w:p w14:paraId="379E3120"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Cardinal Ethanol, LLC </w:t>
            </w:r>
          </w:p>
        </w:tc>
        <w:tc>
          <w:tcPr>
            <w:tcW w:w="1603" w:type="dxa"/>
            <w:shd w:val="clear" w:color="auto" w:fill="auto"/>
            <w:noWrap/>
            <w:hideMark/>
          </w:tcPr>
          <w:p w14:paraId="4ACF5A09"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CRDE</w:t>
            </w:r>
          </w:p>
        </w:tc>
        <w:tc>
          <w:tcPr>
            <w:tcW w:w="1363" w:type="dxa"/>
            <w:shd w:val="clear" w:color="auto" w:fill="auto"/>
            <w:noWrap/>
            <w:hideMark/>
          </w:tcPr>
          <w:p w14:paraId="0FBDFB11"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OTCPK</w:t>
            </w:r>
          </w:p>
        </w:tc>
        <w:tc>
          <w:tcPr>
            <w:tcW w:w="1376" w:type="dxa"/>
          </w:tcPr>
          <w:p w14:paraId="06556EF5"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Pr>
          <w:p w14:paraId="168E4DD3"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w:t>
            </w:r>
          </w:p>
        </w:tc>
      </w:tr>
      <w:tr w:rsidR="003C6DBD" w:rsidRPr="003C6DBD" w14:paraId="7C64B631" w14:textId="77777777" w:rsidTr="00F803D8">
        <w:trPr>
          <w:trHeight w:val="280"/>
        </w:trPr>
        <w:tc>
          <w:tcPr>
            <w:tcW w:w="643" w:type="dxa"/>
          </w:tcPr>
          <w:p w14:paraId="49211DAC"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9</w:t>
            </w:r>
          </w:p>
        </w:tc>
        <w:tc>
          <w:tcPr>
            <w:tcW w:w="2794" w:type="dxa"/>
            <w:shd w:val="clear" w:color="auto" w:fill="auto"/>
            <w:noWrap/>
            <w:hideMark/>
          </w:tcPr>
          <w:p w14:paraId="167C3384"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China Clean Energy Inc. </w:t>
            </w:r>
          </w:p>
        </w:tc>
        <w:tc>
          <w:tcPr>
            <w:tcW w:w="1603" w:type="dxa"/>
            <w:shd w:val="clear" w:color="auto" w:fill="auto"/>
            <w:noWrap/>
            <w:hideMark/>
          </w:tcPr>
          <w:p w14:paraId="35D1153D"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CCGY</w:t>
            </w:r>
          </w:p>
        </w:tc>
        <w:tc>
          <w:tcPr>
            <w:tcW w:w="1363" w:type="dxa"/>
            <w:shd w:val="clear" w:color="auto" w:fill="auto"/>
            <w:noWrap/>
            <w:hideMark/>
          </w:tcPr>
          <w:p w14:paraId="3128872C"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OTCPK</w:t>
            </w:r>
          </w:p>
        </w:tc>
        <w:tc>
          <w:tcPr>
            <w:tcW w:w="1376" w:type="dxa"/>
          </w:tcPr>
          <w:p w14:paraId="7AD67DCB"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Pr>
          <w:p w14:paraId="11A4DAA5"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w:t>
            </w:r>
          </w:p>
        </w:tc>
      </w:tr>
      <w:tr w:rsidR="003C6DBD" w:rsidRPr="003C6DBD" w14:paraId="274D24B2" w14:textId="77777777" w:rsidTr="00F803D8">
        <w:trPr>
          <w:trHeight w:val="280"/>
        </w:trPr>
        <w:tc>
          <w:tcPr>
            <w:tcW w:w="643" w:type="dxa"/>
          </w:tcPr>
          <w:p w14:paraId="3EAE763A"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10</w:t>
            </w:r>
          </w:p>
        </w:tc>
        <w:tc>
          <w:tcPr>
            <w:tcW w:w="2794" w:type="dxa"/>
            <w:shd w:val="clear" w:color="auto" w:fill="auto"/>
            <w:noWrap/>
            <w:hideMark/>
          </w:tcPr>
          <w:p w14:paraId="45FA75CC"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Clean Energy Fuels Corp.</w:t>
            </w:r>
          </w:p>
        </w:tc>
        <w:tc>
          <w:tcPr>
            <w:tcW w:w="1603" w:type="dxa"/>
            <w:shd w:val="clear" w:color="000000" w:fill="FFFFFF"/>
            <w:hideMark/>
          </w:tcPr>
          <w:p w14:paraId="3485EE13"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CLNE</w:t>
            </w:r>
          </w:p>
        </w:tc>
        <w:tc>
          <w:tcPr>
            <w:tcW w:w="1363" w:type="dxa"/>
            <w:shd w:val="clear" w:color="auto" w:fill="auto"/>
            <w:noWrap/>
            <w:hideMark/>
          </w:tcPr>
          <w:p w14:paraId="110B1603"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NASDAQ</w:t>
            </w:r>
          </w:p>
        </w:tc>
        <w:tc>
          <w:tcPr>
            <w:tcW w:w="1376" w:type="dxa"/>
          </w:tcPr>
          <w:p w14:paraId="71583306"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Pr>
          <w:p w14:paraId="5FAA6763"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w:t>
            </w:r>
          </w:p>
        </w:tc>
      </w:tr>
      <w:tr w:rsidR="003C6DBD" w:rsidRPr="003C6DBD" w14:paraId="2C6D872A" w14:textId="77777777" w:rsidTr="00F803D8">
        <w:trPr>
          <w:trHeight w:val="280"/>
        </w:trPr>
        <w:tc>
          <w:tcPr>
            <w:tcW w:w="643" w:type="dxa"/>
          </w:tcPr>
          <w:p w14:paraId="55859170" w14:textId="77777777" w:rsidR="00C3000E" w:rsidRPr="003C6DBD" w:rsidRDefault="00C3000E" w:rsidP="003117FC">
            <w:pPr>
              <w:spacing w:after="0" w:line="24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11</w:t>
            </w:r>
          </w:p>
        </w:tc>
        <w:tc>
          <w:tcPr>
            <w:tcW w:w="2794" w:type="dxa"/>
            <w:shd w:val="clear" w:color="auto" w:fill="auto"/>
            <w:noWrap/>
          </w:tcPr>
          <w:p w14:paraId="00294830"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proofErr w:type="spellStart"/>
            <w:r w:rsidRPr="003C6DBD">
              <w:rPr>
                <w:rFonts w:ascii="Times New Roman" w:eastAsia="Times New Roman" w:hAnsi="Times New Roman" w:cs="Times New Roman"/>
                <w:color w:val="0D0D0D" w:themeColor="text1" w:themeTint="F2"/>
                <w:sz w:val="24"/>
                <w:szCs w:val="24"/>
              </w:rPr>
              <w:t>CropEnergies</w:t>
            </w:r>
            <w:proofErr w:type="spellEnd"/>
            <w:r w:rsidRPr="003C6DBD">
              <w:rPr>
                <w:rFonts w:ascii="Times New Roman" w:eastAsia="Times New Roman" w:hAnsi="Times New Roman" w:cs="Times New Roman"/>
                <w:color w:val="0D0D0D" w:themeColor="text1" w:themeTint="F2"/>
                <w:sz w:val="24"/>
                <w:szCs w:val="24"/>
              </w:rPr>
              <w:t xml:space="preserve"> AG</w:t>
            </w:r>
          </w:p>
        </w:tc>
        <w:tc>
          <w:tcPr>
            <w:tcW w:w="1603" w:type="dxa"/>
            <w:shd w:val="clear" w:color="000000" w:fill="FFFFFF"/>
          </w:tcPr>
          <w:p w14:paraId="4AC30C63"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CE2</w:t>
            </w:r>
          </w:p>
        </w:tc>
        <w:tc>
          <w:tcPr>
            <w:tcW w:w="1363" w:type="dxa"/>
            <w:shd w:val="clear" w:color="auto" w:fill="auto"/>
            <w:noWrap/>
          </w:tcPr>
          <w:p w14:paraId="37BF1F96"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XTRA</w:t>
            </w:r>
          </w:p>
        </w:tc>
        <w:tc>
          <w:tcPr>
            <w:tcW w:w="1376" w:type="dxa"/>
          </w:tcPr>
          <w:p w14:paraId="3A2B9BC1"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Germany</w:t>
            </w:r>
          </w:p>
        </w:tc>
        <w:tc>
          <w:tcPr>
            <w:tcW w:w="1577" w:type="dxa"/>
          </w:tcPr>
          <w:p w14:paraId="360301EC"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w:t>
            </w:r>
          </w:p>
        </w:tc>
      </w:tr>
      <w:tr w:rsidR="003C6DBD" w:rsidRPr="003C6DBD" w14:paraId="20ECC041" w14:textId="77777777" w:rsidTr="00F803D8">
        <w:trPr>
          <w:trHeight w:val="280"/>
        </w:trPr>
        <w:tc>
          <w:tcPr>
            <w:tcW w:w="643" w:type="dxa"/>
          </w:tcPr>
          <w:p w14:paraId="00E7143A" w14:textId="77777777" w:rsidR="00C3000E" w:rsidRPr="003C6DBD" w:rsidRDefault="00C3000E" w:rsidP="003117FC">
            <w:pPr>
              <w:pStyle w:val="Default"/>
              <w:autoSpaceDE/>
              <w:autoSpaceDN/>
              <w:adjustRightInd/>
              <w:rPr>
                <w:color w:val="0D0D0D" w:themeColor="text1" w:themeTint="F2"/>
              </w:rPr>
            </w:pPr>
            <w:r w:rsidRPr="003C6DBD">
              <w:rPr>
                <w:color w:val="0D0D0D" w:themeColor="text1" w:themeTint="F2"/>
              </w:rPr>
              <w:t>12</w:t>
            </w:r>
          </w:p>
        </w:tc>
        <w:tc>
          <w:tcPr>
            <w:tcW w:w="2794" w:type="dxa"/>
            <w:shd w:val="clear" w:color="auto" w:fill="auto"/>
            <w:noWrap/>
          </w:tcPr>
          <w:p w14:paraId="3BFFB0DD"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proofErr w:type="spellStart"/>
            <w:r w:rsidRPr="003C6DBD">
              <w:rPr>
                <w:rFonts w:ascii="Times New Roman" w:hAnsi="Times New Roman" w:cs="Times New Roman"/>
                <w:color w:val="0D0D0D" w:themeColor="text1" w:themeTint="F2"/>
                <w:sz w:val="24"/>
                <w:szCs w:val="24"/>
              </w:rPr>
              <w:t>Cosan</w:t>
            </w:r>
            <w:proofErr w:type="spellEnd"/>
            <w:r w:rsidRPr="003C6DBD">
              <w:rPr>
                <w:rFonts w:ascii="Times New Roman" w:hAnsi="Times New Roman" w:cs="Times New Roman"/>
                <w:color w:val="0D0D0D" w:themeColor="text1" w:themeTint="F2"/>
                <w:sz w:val="24"/>
                <w:szCs w:val="24"/>
              </w:rPr>
              <w:t xml:space="preserve"> S.A.</w:t>
            </w:r>
          </w:p>
        </w:tc>
        <w:tc>
          <w:tcPr>
            <w:tcW w:w="1603" w:type="dxa"/>
            <w:shd w:val="clear" w:color="000000" w:fill="FFFFFF"/>
          </w:tcPr>
          <w:p w14:paraId="5B30E62D"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CSAN3</w:t>
            </w:r>
          </w:p>
        </w:tc>
        <w:tc>
          <w:tcPr>
            <w:tcW w:w="1363" w:type="dxa"/>
            <w:shd w:val="clear" w:color="auto" w:fill="auto"/>
            <w:noWrap/>
          </w:tcPr>
          <w:p w14:paraId="7DFB341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BOVESPA</w:t>
            </w:r>
          </w:p>
        </w:tc>
        <w:tc>
          <w:tcPr>
            <w:tcW w:w="1376" w:type="dxa"/>
          </w:tcPr>
          <w:p w14:paraId="290B790E" w14:textId="77777777" w:rsidR="00C3000E" w:rsidRPr="003C6DBD" w:rsidRDefault="00C3000E" w:rsidP="003117FC">
            <w:pPr>
              <w:pStyle w:val="Default"/>
              <w:autoSpaceDE/>
              <w:autoSpaceDN/>
              <w:adjustRightInd/>
              <w:rPr>
                <w:rFonts w:eastAsia="Times New Roman"/>
                <w:color w:val="0D0D0D" w:themeColor="text1" w:themeTint="F2"/>
              </w:rPr>
            </w:pPr>
            <w:r w:rsidRPr="003C6DBD">
              <w:rPr>
                <w:rFonts w:eastAsia="Times New Roman"/>
                <w:color w:val="0D0D0D" w:themeColor="text1" w:themeTint="F2"/>
              </w:rPr>
              <w:t>Brazil</w:t>
            </w:r>
          </w:p>
        </w:tc>
        <w:tc>
          <w:tcPr>
            <w:tcW w:w="1577" w:type="dxa"/>
          </w:tcPr>
          <w:p w14:paraId="382FE83A" w14:textId="77777777" w:rsidR="00C3000E" w:rsidRPr="003C6DBD" w:rsidRDefault="00C3000E" w:rsidP="003117FC">
            <w:pPr>
              <w:pStyle w:val="Default"/>
              <w:autoSpaceDE/>
              <w:autoSpaceDN/>
              <w:adjustRightInd/>
              <w:rPr>
                <w:rFonts w:eastAsia="Times New Roman"/>
                <w:color w:val="0D0D0D" w:themeColor="text1" w:themeTint="F2"/>
              </w:rPr>
            </w:pPr>
            <w:r w:rsidRPr="003C6DBD">
              <w:rPr>
                <w:rFonts w:eastAsia="Times New Roman"/>
                <w:color w:val="0D0D0D" w:themeColor="text1" w:themeTint="F2"/>
              </w:rPr>
              <w:t>Production, logistics, and Distribution</w:t>
            </w:r>
          </w:p>
        </w:tc>
      </w:tr>
      <w:tr w:rsidR="003C6DBD" w:rsidRPr="003C6DBD" w14:paraId="65B446AB" w14:textId="77777777" w:rsidTr="00F803D8">
        <w:trPr>
          <w:trHeight w:val="280"/>
        </w:trPr>
        <w:tc>
          <w:tcPr>
            <w:tcW w:w="643" w:type="dxa"/>
          </w:tcPr>
          <w:p w14:paraId="35984685" w14:textId="77777777" w:rsidR="00C3000E" w:rsidRPr="003C6DBD" w:rsidRDefault="00C3000E" w:rsidP="003117FC">
            <w:pPr>
              <w:pStyle w:val="Default"/>
              <w:autoSpaceDE/>
              <w:autoSpaceDN/>
              <w:adjustRightInd/>
              <w:rPr>
                <w:rFonts w:eastAsia="Times New Roman"/>
                <w:color w:val="0D0D0D" w:themeColor="text1" w:themeTint="F2"/>
              </w:rPr>
            </w:pPr>
            <w:r w:rsidRPr="003C6DBD">
              <w:rPr>
                <w:color w:val="0D0D0D" w:themeColor="text1" w:themeTint="F2"/>
              </w:rPr>
              <w:t>13</w:t>
            </w:r>
          </w:p>
        </w:tc>
        <w:tc>
          <w:tcPr>
            <w:tcW w:w="2794" w:type="dxa"/>
            <w:shd w:val="clear" w:color="auto" w:fill="auto"/>
            <w:noWrap/>
            <w:hideMark/>
          </w:tcPr>
          <w:p w14:paraId="2DD62C0B"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Darling Ingredients Inc. </w:t>
            </w:r>
          </w:p>
        </w:tc>
        <w:tc>
          <w:tcPr>
            <w:tcW w:w="1603" w:type="dxa"/>
            <w:shd w:val="clear" w:color="auto" w:fill="auto"/>
            <w:noWrap/>
            <w:hideMark/>
          </w:tcPr>
          <w:p w14:paraId="0C645FAA"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DAR</w:t>
            </w:r>
          </w:p>
        </w:tc>
        <w:tc>
          <w:tcPr>
            <w:tcW w:w="1363" w:type="dxa"/>
            <w:shd w:val="clear" w:color="auto" w:fill="auto"/>
            <w:noWrap/>
            <w:hideMark/>
          </w:tcPr>
          <w:p w14:paraId="01B6C30B"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NYSE</w:t>
            </w:r>
          </w:p>
        </w:tc>
        <w:tc>
          <w:tcPr>
            <w:tcW w:w="1376" w:type="dxa"/>
          </w:tcPr>
          <w:p w14:paraId="5B653F02"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Pr>
          <w:p w14:paraId="562F0A8A"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w:t>
            </w:r>
          </w:p>
        </w:tc>
      </w:tr>
      <w:tr w:rsidR="003C6DBD" w:rsidRPr="003C6DBD" w14:paraId="749F2B61" w14:textId="77777777" w:rsidTr="00F803D8">
        <w:trPr>
          <w:trHeight w:val="280"/>
        </w:trPr>
        <w:tc>
          <w:tcPr>
            <w:tcW w:w="643" w:type="dxa"/>
          </w:tcPr>
          <w:p w14:paraId="5007F599"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14</w:t>
            </w:r>
          </w:p>
        </w:tc>
        <w:tc>
          <w:tcPr>
            <w:tcW w:w="2794" w:type="dxa"/>
            <w:shd w:val="clear" w:color="auto" w:fill="auto"/>
            <w:noWrap/>
            <w:hideMark/>
          </w:tcPr>
          <w:p w14:paraId="5C65C280"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proofErr w:type="spellStart"/>
            <w:r w:rsidRPr="003C6DBD">
              <w:rPr>
                <w:rFonts w:ascii="Times New Roman" w:eastAsia="Times New Roman" w:hAnsi="Times New Roman" w:cs="Times New Roman"/>
                <w:color w:val="0D0D0D" w:themeColor="text1" w:themeTint="F2"/>
                <w:sz w:val="24"/>
                <w:szCs w:val="24"/>
              </w:rPr>
              <w:t>Delek</w:t>
            </w:r>
            <w:proofErr w:type="spellEnd"/>
            <w:r w:rsidRPr="003C6DBD">
              <w:rPr>
                <w:rFonts w:ascii="Times New Roman" w:eastAsia="Times New Roman" w:hAnsi="Times New Roman" w:cs="Times New Roman"/>
                <w:color w:val="0D0D0D" w:themeColor="text1" w:themeTint="F2"/>
                <w:sz w:val="24"/>
                <w:szCs w:val="24"/>
              </w:rPr>
              <w:t xml:space="preserve"> US Holdings, Inc. </w:t>
            </w:r>
          </w:p>
        </w:tc>
        <w:tc>
          <w:tcPr>
            <w:tcW w:w="1603" w:type="dxa"/>
            <w:shd w:val="clear" w:color="auto" w:fill="auto"/>
            <w:noWrap/>
            <w:hideMark/>
          </w:tcPr>
          <w:p w14:paraId="46E3931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DK</w:t>
            </w:r>
          </w:p>
        </w:tc>
        <w:tc>
          <w:tcPr>
            <w:tcW w:w="1363" w:type="dxa"/>
            <w:shd w:val="clear" w:color="auto" w:fill="auto"/>
            <w:noWrap/>
            <w:hideMark/>
          </w:tcPr>
          <w:p w14:paraId="238FF84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NYSE</w:t>
            </w:r>
          </w:p>
        </w:tc>
        <w:tc>
          <w:tcPr>
            <w:tcW w:w="1376" w:type="dxa"/>
          </w:tcPr>
          <w:p w14:paraId="6535C5B0"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Pr>
          <w:p w14:paraId="5AEDECB8"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w:t>
            </w:r>
          </w:p>
        </w:tc>
      </w:tr>
      <w:tr w:rsidR="003C6DBD" w:rsidRPr="003C6DBD" w14:paraId="060D6A2F" w14:textId="77777777" w:rsidTr="00F803D8">
        <w:trPr>
          <w:trHeight w:val="280"/>
        </w:trPr>
        <w:tc>
          <w:tcPr>
            <w:tcW w:w="643" w:type="dxa"/>
          </w:tcPr>
          <w:p w14:paraId="19500E98"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15</w:t>
            </w:r>
          </w:p>
        </w:tc>
        <w:tc>
          <w:tcPr>
            <w:tcW w:w="2794" w:type="dxa"/>
            <w:shd w:val="clear" w:color="auto" w:fill="auto"/>
            <w:noWrap/>
            <w:hideMark/>
          </w:tcPr>
          <w:p w14:paraId="2F4C957E"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proofErr w:type="spellStart"/>
            <w:r w:rsidRPr="003C6DBD">
              <w:rPr>
                <w:rFonts w:ascii="Times New Roman" w:eastAsia="Times New Roman" w:hAnsi="Times New Roman" w:cs="Times New Roman"/>
                <w:color w:val="0D0D0D" w:themeColor="text1" w:themeTint="F2"/>
                <w:sz w:val="24"/>
                <w:szCs w:val="24"/>
              </w:rPr>
              <w:t>Ecopetrol</w:t>
            </w:r>
            <w:proofErr w:type="spellEnd"/>
            <w:r w:rsidRPr="003C6DBD">
              <w:rPr>
                <w:rFonts w:ascii="Times New Roman" w:eastAsia="Times New Roman" w:hAnsi="Times New Roman" w:cs="Times New Roman"/>
                <w:color w:val="0D0D0D" w:themeColor="text1" w:themeTint="F2"/>
                <w:sz w:val="24"/>
                <w:szCs w:val="24"/>
              </w:rPr>
              <w:t xml:space="preserve"> S.A. </w:t>
            </w:r>
          </w:p>
        </w:tc>
        <w:tc>
          <w:tcPr>
            <w:tcW w:w="1603" w:type="dxa"/>
            <w:shd w:val="clear" w:color="auto" w:fill="auto"/>
            <w:noWrap/>
            <w:hideMark/>
          </w:tcPr>
          <w:p w14:paraId="280FC610"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ECOPETROL</w:t>
            </w:r>
          </w:p>
        </w:tc>
        <w:tc>
          <w:tcPr>
            <w:tcW w:w="1363" w:type="dxa"/>
            <w:shd w:val="clear" w:color="auto" w:fill="auto"/>
            <w:noWrap/>
            <w:hideMark/>
          </w:tcPr>
          <w:p w14:paraId="002E0BA3"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BVC</w:t>
            </w:r>
          </w:p>
        </w:tc>
        <w:tc>
          <w:tcPr>
            <w:tcW w:w="1376" w:type="dxa"/>
          </w:tcPr>
          <w:p w14:paraId="01812C0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Colombia</w:t>
            </w:r>
          </w:p>
        </w:tc>
        <w:tc>
          <w:tcPr>
            <w:tcW w:w="1577" w:type="dxa"/>
          </w:tcPr>
          <w:p w14:paraId="5383E5A2"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w:t>
            </w:r>
          </w:p>
        </w:tc>
      </w:tr>
      <w:tr w:rsidR="003C6DBD" w:rsidRPr="003C6DBD" w14:paraId="76F05D0E" w14:textId="77777777" w:rsidTr="00F803D8">
        <w:trPr>
          <w:trHeight w:val="280"/>
        </w:trPr>
        <w:tc>
          <w:tcPr>
            <w:tcW w:w="643" w:type="dxa"/>
          </w:tcPr>
          <w:p w14:paraId="4BAF3C34"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16</w:t>
            </w:r>
          </w:p>
        </w:tc>
        <w:tc>
          <w:tcPr>
            <w:tcW w:w="2794" w:type="dxa"/>
            <w:shd w:val="clear" w:color="auto" w:fill="auto"/>
            <w:noWrap/>
            <w:hideMark/>
          </w:tcPr>
          <w:p w14:paraId="1CA57A66"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proofErr w:type="spellStart"/>
            <w:r w:rsidRPr="003C6DBD">
              <w:rPr>
                <w:rFonts w:ascii="Times New Roman" w:eastAsia="Times New Roman" w:hAnsi="Times New Roman" w:cs="Times New Roman"/>
                <w:color w:val="0D0D0D" w:themeColor="text1" w:themeTint="F2"/>
                <w:sz w:val="24"/>
                <w:szCs w:val="24"/>
              </w:rPr>
              <w:t>FutureFuel</w:t>
            </w:r>
            <w:proofErr w:type="spellEnd"/>
            <w:r w:rsidRPr="003C6DBD">
              <w:rPr>
                <w:rFonts w:ascii="Times New Roman" w:eastAsia="Times New Roman" w:hAnsi="Times New Roman" w:cs="Times New Roman"/>
                <w:color w:val="0D0D0D" w:themeColor="text1" w:themeTint="F2"/>
                <w:sz w:val="24"/>
                <w:szCs w:val="24"/>
              </w:rPr>
              <w:t xml:space="preserve"> Corp. </w:t>
            </w:r>
          </w:p>
        </w:tc>
        <w:tc>
          <w:tcPr>
            <w:tcW w:w="1603" w:type="dxa"/>
            <w:shd w:val="clear" w:color="auto" w:fill="auto"/>
            <w:noWrap/>
            <w:hideMark/>
          </w:tcPr>
          <w:p w14:paraId="135556ED"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FF</w:t>
            </w:r>
          </w:p>
        </w:tc>
        <w:tc>
          <w:tcPr>
            <w:tcW w:w="1363" w:type="dxa"/>
            <w:shd w:val="clear" w:color="auto" w:fill="auto"/>
            <w:noWrap/>
            <w:hideMark/>
          </w:tcPr>
          <w:p w14:paraId="4BF47A98"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NASDAQ</w:t>
            </w:r>
          </w:p>
        </w:tc>
        <w:tc>
          <w:tcPr>
            <w:tcW w:w="1376" w:type="dxa"/>
          </w:tcPr>
          <w:p w14:paraId="7D0FF168"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Pr>
          <w:p w14:paraId="67AD1AF7"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w:t>
            </w:r>
          </w:p>
        </w:tc>
      </w:tr>
      <w:tr w:rsidR="003C6DBD" w:rsidRPr="003C6DBD" w14:paraId="4DA7B5B9" w14:textId="77777777" w:rsidTr="00F803D8">
        <w:trPr>
          <w:trHeight w:val="280"/>
        </w:trPr>
        <w:tc>
          <w:tcPr>
            <w:tcW w:w="643" w:type="dxa"/>
          </w:tcPr>
          <w:p w14:paraId="7E2ECE6E"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17</w:t>
            </w:r>
          </w:p>
        </w:tc>
        <w:tc>
          <w:tcPr>
            <w:tcW w:w="2794" w:type="dxa"/>
            <w:shd w:val="clear" w:color="auto" w:fill="auto"/>
            <w:noWrap/>
            <w:hideMark/>
          </w:tcPr>
          <w:p w14:paraId="64B244F9"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Galp </w:t>
            </w:r>
            <w:proofErr w:type="spellStart"/>
            <w:r w:rsidRPr="003C6DBD">
              <w:rPr>
                <w:rFonts w:ascii="Times New Roman" w:eastAsia="Times New Roman" w:hAnsi="Times New Roman" w:cs="Times New Roman"/>
                <w:color w:val="0D0D0D" w:themeColor="text1" w:themeTint="F2"/>
                <w:sz w:val="24"/>
                <w:szCs w:val="24"/>
              </w:rPr>
              <w:t>Energia</w:t>
            </w:r>
            <w:proofErr w:type="spellEnd"/>
            <w:r w:rsidRPr="003C6DBD">
              <w:rPr>
                <w:rFonts w:ascii="Times New Roman" w:eastAsia="Times New Roman" w:hAnsi="Times New Roman" w:cs="Times New Roman"/>
                <w:color w:val="0D0D0D" w:themeColor="text1" w:themeTint="F2"/>
                <w:sz w:val="24"/>
                <w:szCs w:val="24"/>
              </w:rPr>
              <w:t xml:space="preserve">, SGPS, S.A. </w:t>
            </w:r>
          </w:p>
        </w:tc>
        <w:tc>
          <w:tcPr>
            <w:tcW w:w="1603" w:type="dxa"/>
            <w:shd w:val="clear" w:color="auto" w:fill="auto"/>
            <w:noWrap/>
            <w:hideMark/>
          </w:tcPr>
          <w:p w14:paraId="260CFDC5"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GALP</w:t>
            </w:r>
          </w:p>
        </w:tc>
        <w:tc>
          <w:tcPr>
            <w:tcW w:w="1363" w:type="dxa"/>
            <w:shd w:val="clear" w:color="auto" w:fill="auto"/>
            <w:noWrap/>
            <w:hideMark/>
          </w:tcPr>
          <w:p w14:paraId="5B7024F7"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ENXTLS</w:t>
            </w:r>
          </w:p>
        </w:tc>
        <w:tc>
          <w:tcPr>
            <w:tcW w:w="1376" w:type="dxa"/>
          </w:tcPr>
          <w:p w14:paraId="7846EC9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Portugal</w:t>
            </w:r>
          </w:p>
        </w:tc>
        <w:tc>
          <w:tcPr>
            <w:tcW w:w="1577" w:type="dxa"/>
          </w:tcPr>
          <w:p w14:paraId="53F0883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w:t>
            </w:r>
          </w:p>
        </w:tc>
      </w:tr>
      <w:tr w:rsidR="003C6DBD" w:rsidRPr="003C6DBD" w14:paraId="5A4C41A9" w14:textId="77777777" w:rsidTr="00F803D8">
        <w:trPr>
          <w:trHeight w:val="280"/>
        </w:trPr>
        <w:tc>
          <w:tcPr>
            <w:tcW w:w="643" w:type="dxa"/>
          </w:tcPr>
          <w:p w14:paraId="35F35612"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18</w:t>
            </w:r>
          </w:p>
        </w:tc>
        <w:tc>
          <w:tcPr>
            <w:tcW w:w="2794" w:type="dxa"/>
            <w:shd w:val="clear" w:color="auto" w:fill="auto"/>
            <w:noWrap/>
            <w:hideMark/>
          </w:tcPr>
          <w:p w14:paraId="5339BE8A"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proofErr w:type="spellStart"/>
            <w:r w:rsidRPr="003C6DBD">
              <w:rPr>
                <w:rFonts w:ascii="Times New Roman" w:eastAsia="Times New Roman" w:hAnsi="Times New Roman" w:cs="Times New Roman"/>
                <w:color w:val="0D0D0D" w:themeColor="text1" w:themeTint="F2"/>
                <w:sz w:val="24"/>
                <w:szCs w:val="24"/>
              </w:rPr>
              <w:t>Gevo</w:t>
            </w:r>
            <w:proofErr w:type="spellEnd"/>
            <w:r w:rsidRPr="003C6DBD">
              <w:rPr>
                <w:rFonts w:ascii="Times New Roman" w:eastAsia="Times New Roman" w:hAnsi="Times New Roman" w:cs="Times New Roman"/>
                <w:color w:val="0D0D0D" w:themeColor="text1" w:themeTint="F2"/>
                <w:sz w:val="24"/>
                <w:szCs w:val="24"/>
              </w:rPr>
              <w:t xml:space="preserve">, Inc. </w:t>
            </w:r>
          </w:p>
        </w:tc>
        <w:tc>
          <w:tcPr>
            <w:tcW w:w="1603" w:type="dxa"/>
            <w:shd w:val="clear" w:color="auto" w:fill="auto"/>
            <w:noWrap/>
            <w:hideMark/>
          </w:tcPr>
          <w:p w14:paraId="694F9157"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GEVO</w:t>
            </w:r>
          </w:p>
        </w:tc>
        <w:tc>
          <w:tcPr>
            <w:tcW w:w="1363" w:type="dxa"/>
            <w:shd w:val="clear" w:color="auto" w:fill="auto"/>
            <w:noWrap/>
            <w:hideMark/>
          </w:tcPr>
          <w:p w14:paraId="2C87B550"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NASDAQ</w:t>
            </w:r>
          </w:p>
        </w:tc>
        <w:tc>
          <w:tcPr>
            <w:tcW w:w="1376" w:type="dxa"/>
          </w:tcPr>
          <w:p w14:paraId="6D437775"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Pr>
          <w:p w14:paraId="504AA296"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w:t>
            </w:r>
          </w:p>
        </w:tc>
      </w:tr>
      <w:tr w:rsidR="003C6DBD" w:rsidRPr="003C6DBD" w14:paraId="31C87B9E" w14:textId="77777777" w:rsidTr="00F803D8">
        <w:trPr>
          <w:trHeight w:val="289"/>
        </w:trPr>
        <w:tc>
          <w:tcPr>
            <w:tcW w:w="643" w:type="dxa"/>
          </w:tcPr>
          <w:p w14:paraId="3A7FE32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19</w:t>
            </w:r>
          </w:p>
        </w:tc>
        <w:tc>
          <w:tcPr>
            <w:tcW w:w="2794" w:type="dxa"/>
            <w:shd w:val="clear" w:color="auto" w:fill="auto"/>
            <w:noWrap/>
            <w:hideMark/>
          </w:tcPr>
          <w:p w14:paraId="573B6667"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Global </w:t>
            </w:r>
            <w:proofErr w:type="spellStart"/>
            <w:r w:rsidRPr="003C6DBD">
              <w:rPr>
                <w:rFonts w:ascii="Times New Roman" w:eastAsia="Times New Roman" w:hAnsi="Times New Roman" w:cs="Times New Roman"/>
                <w:color w:val="0D0D0D" w:themeColor="text1" w:themeTint="F2"/>
                <w:sz w:val="24"/>
                <w:szCs w:val="24"/>
              </w:rPr>
              <w:t>Bioenergies</w:t>
            </w:r>
            <w:proofErr w:type="spellEnd"/>
            <w:r w:rsidRPr="003C6DBD">
              <w:rPr>
                <w:rFonts w:ascii="Times New Roman" w:eastAsia="Times New Roman" w:hAnsi="Times New Roman" w:cs="Times New Roman"/>
                <w:color w:val="0D0D0D" w:themeColor="text1" w:themeTint="F2"/>
                <w:sz w:val="24"/>
                <w:szCs w:val="24"/>
              </w:rPr>
              <w:t xml:space="preserve"> SA </w:t>
            </w:r>
          </w:p>
        </w:tc>
        <w:tc>
          <w:tcPr>
            <w:tcW w:w="1603" w:type="dxa"/>
            <w:shd w:val="clear" w:color="auto" w:fill="auto"/>
            <w:noWrap/>
            <w:hideMark/>
          </w:tcPr>
          <w:p w14:paraId="1CD45F94"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ALGBE</w:t>
            </w:r>
          </w:p>
        </w:tc>
        <w:tc>
          <w:tcPr>
            <w:tcW w:w="1363" w:type="dxa"/>
            <w:shd w:val="clear" w:color="auto" w:fill="auto"/>
            <w:noWrap/>
            <w:hideMark/>
          </w:tcPr>
          <w:p w14:paraId="1A63624C"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ENXTPA</w:t>
            </w:r>
          </w:p>
        </w:tc>
        <w:tc>
          <w:tcPr>
            <w:tcW w:w="1376" w:type="dxa"/>
          </w:tcPr>
          <w:p w14:paraId="71BEB38E"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France</w:t>
            </w:r>
          </w:p>
        </w:tc>
        <w:tc>
          <w:tcPr>
            <w:tcW w:w="1577" w:type="dxa"/>
          </w:tcPr>
          <w:p w14:paraId="3BFB4666"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p>
        </w:tc>
      </w:tr>
      <w:tr w:rsidR="003C6DBD" w:rsidRPr="003C6DBD" w14:paraId="36FFA3B8" w14:textId="77777777" w:rsidTr="00F803D8">
        <w:trPr>
          <w:trHeight w:val="289"/>
        </w:trPr>
        <w:tc>
          <w:tcPr>
            <w:tcW w:w="643" w:type="dxa"/>
          </w:tcPr>
          <w:p w14:paraId="733B1797"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20</w:t>
            </w:r>
          </w:p>
        </w:tc>
        <w:tc>
          <w:tcPr>
            <w:tcW w:w="2794" w:type="dxa"/>
            <w:shd w:val="clear" w:color="auto" w:fill="auto"/>
            <w:noWrap/>
            <w:hideMark/>
          </w:tcPr>
          <w:p w14:paraId="3D04E8BA"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Granite Falls Energy, LLC </w:t>
            </w:r>
          </w:p>
        </w:tc>
        <w:tc>
          <w:tcPr>
            <w:tcW w:w="1603" w:type="dxa"/>
            <w:shd w:val="clear" w:color="auto" w:fill="auto"/>
            <w:noWrap/>
            <w:hideMark/>
          </w:tcPr>
          <w:p w14:paraId="0060FE91"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GFGY</w:t>
            </w:r>
          </w:p>
        </w:tc>
        <w:tc>
          <w:tcPr>
            <w:tcW w:w="1363" w:type="dxa"/>
            <w:shd w:val="clear" w:color="auto" w:fill="auto"/>
            <w:noWrap/>
            <w:hideMark/>
          </w:tcPr>
          <w:p w14:paraId="2412AFBC"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OTCPK</w:t>
            </w:r>
          </w:p>
        </w:tc>
        <w:tc>
          <w:tcPr>
            <w:tcW w:w="1376" w:type="dxa"/>
          </w:tcPr>
          <w:p w14:paraId="7BEC7578"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Pr>
          <w:p w14:paraId="39637155"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w:t>
            </w:r>
          </w:p>
        </w:tc>
      </w:tr>
      <w:tr w:rsidR="003C6DBD" w:rsidRPr="003C6DBD" w14:paraId="1474233F" w14:textId="77777777" w:rsidTr="00F803D8">
        <w:trPr>
          <w:trHeight w:val="280"/>
        </w:trPr>
        <w:tc>
          <w:tcPr>
            <w:tcW w:w="643" w:type="dxa"/>
          </w:tcPr>
          <w:p w14:paraId="08389B85"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21</w:t>
            </w:r>
          </w:p>
        </w:tc>
        <w:tc>
          <w:tcPr>
            <w:tcW w:w="2794" w:type="dxa"/>
            <w:shd w:val="clear" w:color="auto" w:fill="auto"/>
            <w:noWrap/>
            <w:hideMark/>
          </w:tcPr>
          <w:p w14:paraId="7EB2F057"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Green Plains Inc. </w:t>
            </w:r>
          </w:p>
        </w:tc>
        <w:tc>
          <w:tcPr>
            <w:tcW w:w="1603" w:type="dxa"/>
            <w:shd w:val="clear" w:color="auto" w:fill="auto"/>
            <w:noWrap/>
            <w:hideMark/>
          </w:tcPr>
          <w:p w14:paraId="31BB2E32"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GPRE</w:t>
            </w:r>
          </w:p>
        </w:tc>
        <w:tc>
          <w:tcPr>
            <w:tcW w:w="1363" w:type="dxa"/>
            <w:shd w:val="clear" w:color="auto" w:fill="auto"/>
            <w:noWrap/>
            <w:hideMark/>
          </w:tcPr>
          <w:p w14:paraId="74E7FFEA"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NASDAQ</w:t>
            </w:r>
          </w:p>
        </w:tc>
        <w:tc>
          <w:tcPr>
            <w:tcW w:w="1376" w:type="dxa"/>
          </w:tcPr>
          <w:p w14:paraId="0351A65A"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Pr>
          <w:p w14:paraId="6E67855D"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w:t>
            </w:r>
          </w:p>
        </w:tc>
      </w:tr>
      <w:tr w:rsidR="003C6DBD" w:rsidRPr="003C6DBD" w14:paraId="18AF9A43" w14:textId="77777777" w:rsidTr="00F803D8">
        <w:trPr>
          <w:trHeight w:val="280"/>
        </w:trPr>
        <w:tc>
          <w:tcPr>
            <w:tcW w:w="643" w:type="dxa"/>
          </w:tcPr>
          <w:p w14:paraId="4678E601"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22</w:t>
            </w:r>
          </w:p>
        </w:tc>
        <w:tc>
          <w:tcPr>
            <w:tcW w:w="2794" w:type="dxa"/>
            <w:shd w:val="clear" w:color="auto" w:fill="auto"/>
            <w:noWrap/>
            <w:hideMark/>
          </w:tcPr>
          <w:p w14:paraId="271C7E18"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Green Plains Partners LP </w:t>
            </w:r>
          </w:p>
        </w:tc>
        <w:tc>
          <w:tcPr>
            <w:tcW w:w="1603" w:type="dxa"/>
            <w:shd w:val="clear" w:color="auto" w:fill="auto"/>
            <w:noWrap/>
            <w:hideMark/>
          </w:tcPr>
          <w:p w14:paraId="0B1E2E5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GPP</w:t>
            </w:r>
          </w:p>
        </w:tc>
        <w:tc>
          <w:tcPr>
            <w:tcW w:w="1363" w:type="dxa"/>
            <w:shd w:val="clear" w:color="auto" w:fill="auto"/>
            <w:noWrap/>
            <w:hideMark/>
          </w:tcPr>
          <w:p w14:paraId="1FE5A936"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NASDAQ</w:t>
            </w:r>
          </w:p>
        </w:tc>
        <w:tc>
          <w:tcPr>
            <w:tcW w:w="1376" w:type="dxa"/>
          </w:tcPr>
          <w:p w14:paraId="48994705"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Pr>
          <w:p w14:paraId="3B4672D1"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Storage and logistics,</w:t>
            </w:r>
          </w:p>
        </w:tc>
      </w:tr>
      <w:tr w:rsidR="003C6DBD" w:rsidRPr="003C6DBD" w14:paraId="6D41399C" w14:textId="77777777" w:rsidTr="00F803D8">
        <w:trPr>
          <w:trHeight w:val="280"/>
        </w:trPr>
        <w:tc>
          <w:tcPr>
            <w:tcW w:w="643" w:type="dxa"/>
          </w:tcPr>
          <w:p w14:paraId="23BDCA1E"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23</w:t>
            </w:r>
          </w:p>
        </w:tc>
        <w:tc>
          <w:tcPr>
            <w:tcW w:w="2794" w:type="dxa"/>
            <w:shd w:val="clear" w:color="auto" w:fill="auto"/>
            <w:noWrap/>
            <w:hideMark/>
          </w:tcPr>
          <w:p w14:paraId="42FFA934"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Heron Lake </w:t>
            </w:r>
            <w:proofErr w:type="spellStart"/>
            <w:r w:rsidRPr="003C6DBD">
              <w:rPr>
                <w:rFonts w:ascii="Times New Roman" w:eastAsia="Times New Roman" w:hAnsi="Times New Roman" w:cs="Times New Roman"/>
                <w:color w:val="0D0D0D" w:themeColor="text1" w:themeTint="F2"/>
                <w:sz w:val="24"/>
                <w:szCs w:val="24"/>
              </w:rPr>
              <w:t>BioEnergy</w:t>
            </w:r>
            <w:proofErr w:type="spellEnd"/>
            <w:r w:rsidRPr="003C6DBD">
              <w:rPr>
                <w:rFonts w:ascii="Times New Roman" w:eastAsia="Times New Roman" w:hAnsi="Times New Roman" w:cs="Times New Roman"/>
                <w:color w:val="0D0D0D" w:themeColor="text1" w:themeTint="F2"/>
                <w:sz w:val="24"/>
                <w:szCs w:val="24"/>
              </w:rPr>
              <w:t xml:space="preserve">, LLC </w:t>
            </w:r>
          </w:p>
        </w:tc>
        <w:tc>
          <w:tcPr>
            <w:tcW w:w="1603" w:type="dxa"/>
            <w:shd w:val="clear" w:color="auto" w:fill="auto"/>
            <w:noWrap/>
            <w:hideMark/>
          </w:tcPr>
          <w:p w14:paraId="650B1498"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HLBY.L</w:t>
            </w:r>
          </w:p>
        </w:tc>
        <w:tc>
          <w:tcPr>
            <w:tcW w:w="1363" w:type="dxa"/>
            <w:shd w:val="clear" w:color="auto" w:fill="auto"/>
            <w:noWrap/>
            <w:hideMark/>
          </w:tcPr>
          <w:p w14:paraId="7521E9DA"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OTCPK</w:t>
            </w:r>
          </w:p>
        </w:tc>
        <w:tc>
          <w:tcPr>
            <w:tcW w:w="1376" w:type="dxa"/>
          </w:tcPr>
          <w:p w14:paraId="311539D8"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Pr>
          <w:p w14:paraId="1658F1CE"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 and Marketing</w:t>
            </w:r>
          </w:p>
        </w:tc>
      </w:tr>
      <w:tr w:rsidR="003C6DBD" w:rsidRPr="003C6DBD" w14:paraId="1A76A141" w14:textId="77777777" w:rsidTr="00F803D8">
        <w:trPr>
          <w:trHeight w:val="280"/>
        </w:trPr>
        <w:tc>
          <w:tcPr>
            <w:tcW w:w="643" w:type="dxa"/>
          </w:tcPr>
          <w:p w14:paraId="7A4C0456"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24</w:t>
            </w:r>
          </w:p>
        </w:tc>
        <w:tc>
          <w:tcPr>
            <w:tcW w:w="2794" w:type="dxa"/>
            <w:shd w:val="clear" w:color="auto" w:fill="auto"/>
            <w:noWrap/>
            <w:hideMark/>
          </w:tcPr>
          <w:p w14:paraId="514F6262"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proofErr w:type="spellStart"/>
            <w:r w:rsidRPr="003C6DBD">
              <w:rPr>
                <w:rFonts w:ascii="Times New Roman" w:eastAsia="Times New Roman" w:hAnsi="Times New Roman" w:cs="Times New Roman"/>
                <w:color w:val="0D0D0D" w:themeColor="text1" w:themeTint="F2"/>
                <w:sz w:val="24"/>
                <w:szCs w:val="24"/>
              </w:rPr>
              <w:t>Lignol</w:t>
            </w:r>
            <w:proofErr w:type="spellEnd"/>
            <w:r w:rsidRPr="003C6DBD">
              <w:rPr>
                <w:rFonts w:ascii="Times New Roman" w:eastAsia="Times New Roman" w:hAnsi="Times New Roman" w:cs="Times New Roman"/>
                <w:color w:val="0D0D0D" w:themeColor="text1" w:themeTint="F2"/>
                <w:sz w:val="24"/>
                <w:szCs w:val="24"/>
              </w:rPr>
              <w:t xml:space="preserve"> Energy Corporation </w:t>
            </w:r>
          </w:p>
        </w:tc>
        <w:tc>
          <w:tcPr>
            <w:tcW w:w="1603" w:type="dxa"/>
            <w:shd w:val="clear" w:color="auto" w:fill="auto"/>
            <w:noWrap/>
            <w:hideMark/>
          </w:tcPr>
          <w:p w14:paraId="6D7E2F47"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LECF.F</w:t>
            </w:r>
          </w:p>
        </w:tc>
        <w:tc>
          <w:tcPr>
            <w:tcW w:w="1363" w:type="dxa"/>
            <w:shd w:val="clear" w:color="auto" w:fill="auto"/>
            <w:noWrap/>
            <w:hideMark/>
          </w:tcPr>
          <w:p w14:paraId="1CE8A34B"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OTCMKTS</w:t>
            </w:r>
          </w:p>
        </w:tc>
        <w:tc>
          <w:tcPr>
            <w:tcW w:w="1376" w:type="dxa"/>
          </w:tcPr>
          <w:p w14:paraId="23CD2853"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Pr>
          <w:p w14:paraId="1090B4D9"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p>
        </w:tc>
      </w:tr>
      <w:tr w:rsidR="003627D8" w:rsidRPr="003C6DBD" w14:paraId="28FFDB3A" w14:textId="77777777" w:rsidTr="00D11A17">
        <w:trPr>
          <w:trHeight w:val="280"/>
        </w:trPr>
        <w:tc>
          <w:tcPr>
            <w:tcW w:w="643" w:type="dxa"/>
            <w:tcBorders>
              <w:bottom w:val="nil"/>
            </w:tcBorders>
          </w:tcPr>
          <w:p w14:paraId="0300C664" w14:textId="77777777" w:rsidR="003627D8" w:rsidRDefault="003627D8" w:rsidP="003117FC">
            <w:pPr>
              <w:spacing w:after="0" w:line="240" w:lineRule="auto"/>
              <w:rPr>
                <w:rFonts w:ascii="Times New Roman" w:eastAsia="Times New Roman" w:hAnsi="Times New Roman" w:cs="Times New Roman"/>
                <w:color w:val="0D0D0D" w:themeColor="text1" w:themeTint="F2"/>
                <w:sz w:val="24"/>
                <w:szCs w:val="24"/>
              </w:rPr>
            </w:pPr>
          </w:p>
          <w:p w14:paraId="6B6FD06A" w14:textId="77777777" w:rsidR="00F803D8" w:rsidRDefault="00F803D8" w:rsidP="003117FC">
            <w:pPr>
              <w:spacing w:after="0" w:line="240" w:lineRule="auto"/>
              <w:rPr>
                <w:rFonts w:ascii="Times New Roman" w:eastAsia="Times New Roman" w:hAnsi="Times New Roman" w:cs="Times New Roman"/>
                <w:color w:val="0D0D0D" w:themeColor="text1" w:themeTint="F2"/>
                <w:sz w:val="24"/>
                <w:szCs w:val="24"/>
              </w:rPr>
            </w:pPr>
          </w:p>
          <w:p w14:paraId="550847D0" w14:textId="77777777" w:rsidR="00F803D8" w:rsidRDefault="00F803D8" w:rsidP="003117FC">
            <w:pPr>
              <w:spacing w:after="0" w:line="240" w:lineRule="auto"/>
              <w:rPr>
                <w:rFonts w:ascii="Times New Roman" w:eastAsia="Times New Roman" w:hAnsi="Times New Roman" w:cs="Times New Roman"/>
                <w:color w:val="0D0D0D" w:themeColor="text1" w:themeTint="F2"/>
                <w:sz w:val="24"/>
                <w:szCs w:val="24"/>
              </w:rPr>
            </w:pPr>
          </w:p>
          <w:p w14:paraId="5B000355" w14:textId="3B9B6F44" w:rsidR="00F803D8" w:rsidRPr="003C6DBD" w:rsidRDefault="00F803D8" w:rsidP="003117FC">
            <w:pPr>
              <w:spacing w:after="0" w:line="240" w:lineRule="auto"/>
              <w:rPr>
                <w:rFonts w:ascii="Times New Roman" w:eastAsia="Times New Roman" w:hAnsi="Times New Roman" w:cs="Times New Roman"/>
                <w:color w:val="0D0D0D" w:themeColor="text1" w:themeTint="F2"/>
                <w:sz w:val="24"/>
                <w:szCs w:val="24"/>
              </w:rPr>
            </w:pPr>
          </w:p>
        </w:tc>
        <w:tc>
          <w:tcPr>
            <w:tcW w:w="2794" w:type="dxa"/>
            <w:tcBorders>
              <w:bottom w:val="nil"/>
            </w:tcBorders>
            <w:shd w:val="clear" w:color="auto" w:fill="auto"/>
            <w:noWrap/>
          </w:tcPr>
          <w:p w14:paraId="2A8CC745" w14:textId="77777777" w:rsidR="003627D8" w:rsidRPr="003C6DBD" w:rsidRDefault="003627D8" w:rsidP="003117FC">
            <w:pPr>
              <w:spacing w:after="0" w:line="240" w:lineRule="auto"/>
              <w:rPr>
                <w:rFonts w:ascii="Times New Roman" w:eastAsia="Times New Roman" w:hAnsi="Times New Roman" w:cs="Times New Roman"/>
                <w:color w:val="0D0D0D" w:themeColor="text1" w:themeTint="F2"/>
                <w:sz w:val="24"/>
                <w:szCs w:val="24"/>
              </w:rPr>
            </w:pPr>
          </w:p>
        </w:tc>
        <w:tc>
          <w:tcPr>
            <w:tcW w:w="1603" w:type="dxa"/>
            <w:tcBorders>
              <w:bottom w:val="nil"/>
            </w:tcBorders>
            <w:shd w:val="clear" w:color="auto" w:fill="auto"/>
            <w:noWrap/>
          </w:tcPr>
          <w:p w14:paraId="75C5716A" w14:textId="77777777" w:rsidR="003627D8" w:rsidRPr="003C6DBD" w:rsidRDefault="003627D8" w:rsidP="003117FC">
            <w:pPr>
              <w:spacing w:after="0" w:line="240" w:lineRule="auto"/>
              <w:rPr>
                <w:rFonts w:ascii="Times New Roman" w:eastAsia="Times New Roman" w:hAnsi="Times New Roman" w:cs="Times New Roman"/>
                <w:color w:val="0D0D0D" w:themeColor="text1" w:themeTint="F2"/>
                <w:sz w:val="24"/>
                <w:szCs w:val="24"/>
              </w:rPr>
            </w:pPr>
          </w:p>
        </w:tc>
        <w:tc>
          <w:tcPr>
            <w:tcW w:w="1363" w:type="dxa"/>
            <w:tcBorders>
              <w:bottom w:val="nil"/>
            </w:tcBorders>
            <w:shd w:val="clear" w:color="auto" w:fill="auto"/>
            <w:noWrap/>
          </w:tcPr>
          <w:p w14:paraId="329CD70F" w14:textId="77777777" w:rsidR="003627D8" w:rsidRPr="003C6DBD" w:rsidRDefault="003627D8" w:rsidP="003117FC">
            <w:pPr>
              <w:spacing w:after="0" w:line="240" w:lineRule="auto"/>
              <w:rPr>
                <w:rFonts w:ascii="Times New Roman" w:eastAsia="Times New Roman" w:hAnsi="Times New Roman" w:cs="Times New Roman"/>
                <w:color w:val="0D0D0D" w:themeColor="text1" w:themeTint="F2"/>
                <w:sz w:val="24"/>
                <w:szCs w:val="24"/>
              </w:rPr>
            </w:pPr>
          </w:p>
        </w:tc>
        <w:tc>
          <w:tcPr>
            <w:tcW w:w="1376" w:type="dxa"/>
            <w:tcBorders>
              <w:bottom w:val="nil"/>
            </w:tcBorders>
          </w:tcPr>
          <w:p w14:paraId="45F3357D" w14:textId="77777777" w:rsidR="003627D8" w:rsidRPr="003C6DBD" w:rsidRDefault="003627D8" w:rsidP="003117FC">
            <w:pPr>
              <w:spacing w:after="0" w:line="240" w:lineRule="auto"/>
              <w:rPr>
                <w:rFonts w:ascii="Times New Roman" w:eastAsia="Times New Roman" w:hAnsi="Times New Roman" w:cs="Times New Roman"/>
                <w:color w:val="0D0D0D" w:themeColor="text1" w:themeTint="F2"/>
                <w:sz w:val="24"/>
                <w:szCs w:val="24"/>
              </w:rPr>
            </w:pPr>
          </w:p>
        </w:tc>
        <w:tc>
          <w:tcPr>
            <w:tcW w:w="1577" w:type="dxa"/>
            <w:tcBorders>
              <w:bottom w:val="nil"/>
            </w:tcBorders>
          </w:tcPr>
          <w:p w14:paraId="1E57CA7D" w14:textId="77777777" w:rsidR="003627D8" w:rsidRPr="003C6DBD" w:rsidRDefault="003627D8" w:rsidP="003117FC">
            <w:pPr>
              <w:spacing w:after="0" w:line="240" w:lineRule="auto"/>
              <w:rPr>
                <w:rFonts w:ascii="Times New Roman" w:eastAsia="Times New Roman" w:hAnsi="Times New Roman" w:cs="Times New Roman"/>
                <w:color w:val="0D0D0D" w:themeColor="text1" w:themeTint="F2"/>
                <w:sz w:val="24"/>
                <w:szCs w:val="24"/>
              </w:rPr>
            </w:pPr>
          </w:p>
        </w:tc>
      </w:tr>
      <w:tr w:rsidR="00F803D8" w:rsidRPr="003C6DBD" w14:paraId="36F3F4CB" w14:textId="77777777" w:rsidTr="00D11A17">
        <w:trPr>
          <w:trHeight w:val="280"/>
        </w:trPr>
        <w:tc>
          <w:tcPr>
            <w:tcW w:w="9356" w:type="dxa"/>
            <w:gridSpan w:val="6"/>
            <w:tcBorders>
              <w:top w:val="nil"/>
              <w:bottom w:val="single" w:sz="4" w:space="0" w:color="auto"/>
            </w:tcBorders>
          </w:tcPr>
          <w:p w14:paraId="6DBE41EC" w14:textId="31A90F91" w:rsidR="00F803D8" w:rsidRPr="003C6DBD" w:rsidRDefault="00F803D8" w:rsidP="003117FC">
            <w:pPr>
              <w:spacing w:after="0" w:line="240" w:lineRule="auto"/>
              <w:rPr>
                <w:rFonts w:ascii="Times New Roman" w:eastAsia="Times New Roman" w:hAnsi="Times New Roman" w:cs="Times New Roman"/>
                <w:color w:val="0D0D0D" w:themeColor="text1" w:themeTint="F2"/>
                <w:sz w:val="24"/>
                <w:szCs w:val="24"/>
              </w:rPr>
            </w:pPr>
            <w:r>
              <w:rPr>
                <w:rFonts w:ascii="Times New Roman" w:eastAsia="Times New Roman" w:hAnsi="Times New Roman" w:cs="Times New Roman"/>
                <w:color w:val="0D0D0D" w:themeColor="text1" w:themeTint="F2"/>
                <w:sz w:val="24"/>
                <w:szCs w:val="24"/>
              </w:rPr>
              <w:lastRenderedPageBreak/>
              <w:t>Table 5 Continued</w:t>
            </w:r>
          </w:p>
        </w:tc>
      </w:tr>
      <w:tr w:rsidR="003C6DBD" w:rsidRPr="003C6DBD" w14:paraId="4871F5E3" w14:textId="77777777" w:rsidTr="00F803D8">
        <w:trPr>
          <w:trHeight w:val="280"/>
        </w:trPr>
        <w:tc>
          <w:tcPr>
            <w:tcW w:w="643" w:type="dxa"/>
            <w:tcBorders>
              <w:top w:val="single" w:sz="4" w:space="0" w:color="auto"/>
            </w:tcBorders>
          </w:tcPr>
          <w:p w14:paraId="54150BD6"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25</w:t>
            </w:r>
          </w:p>
        </w:tc>
        <w:tc>
          <w:tcPr>
            <w:tcW w:w="2794" w:type="dxa"/>
            <w:tcBorders>
              <w:top w:val="single" w:sz="4" w:space="0" w:color="auto"/>
            </w:tcBorders>
            <w:shd w:val="clear" w:color="auto" w:fill="auto"/>
            <w:noWrap/>
            <w:hideMark/>
          </w:tcPr>
          <w:p w14:paraId="4673E6A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proofErr w:type="spellStart"/>
            <w:r w:rsidRPr="003C6DBD">
              <w:rPr>
                <w:rFonts w:ascii="Times New Roman" w:eastAsia="Times New Roman" w:hAnsi="Times New Roman" w:cs="Times New Roman"/>
                <w:color w:val="0D0D0D" w:themeColor="text1" w:themeTint="F2"/>
                <w:sz w:val="24"/>
                <w:szCs w:val="24"/>
              </w:rPr>
              <w:t>Methes</w:t>
            </w:r>
            <w:proofErr w:type="spellEnd"/>
            <w:r w:rsidRPr="003C6DBD">
              <w:rPr>
                <w:rFonts w:ascii="Times New Roman" w:eastAsia="Times New Roman" w:hAnsi="Times New Roman" w:cs="Times New Roman"/>
                <w:color w:val="0D0D0D" w:themeColor="text1" w:themeTint="F2"/>
                <w:sz w:val="24"/>
                <w:szCs w:val="24"/>
              </w:rPr>
              <w:t xml:space="preserve"> Energies International Ltd. </w:t>
            </w:r>
          </w:p>
        </w:tc>
        <w:tc>
          <w:tcPr>
            <w:tcW w:w="1603" w:type="dxa"/>
            <w:tcBorders>
              <w:top w:val="single" w:sz="4" w:space="0" w:color="auto"/>
            </w:tcBorders>
            <w:shd w:val="clear" w:color="auto" w:fill="auto"/>
            <w:noWrap/>
            <w:hideMark/>
          </w:tcPr>
          <w:p w14:paraId="6765AE86"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MEIL</w:t>
            </w:r>
          </w:p>
        </w:tc>
        <w:tc>
          <w:tcPr>
            <w:tcW w:w="1363" w:type="dxa"/>
            <w:tcBorders>
              <w:top w:val="single" w:sz="4" w:space="0" w:color="auto"/>
            </w:tcBorders>
            <w:shd w:val="clear" w:color="auto" w:fill="auto"/>
            <w:noWrap/>
            <w:hideMark/>
          </w:tcPr>
          <w:p w14:paraId="42E53A8C"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OTCMKTS</w:t>
            </w:r>
          </w:p>
        </w:tc>
        <w:tc>
          <w:tcPr>
            <w:tcW w:w="1376" w:type="dxa"/>
            <w:tcBorders>
              <w:top w:val="single" w:sz="4" w:space="0" w:color="auto"/>
            </w:tcBorders>
          </w:tcPr>
          <w:p w14:paraId="6F03EDF7"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Borders>
              <w:top w:val="single" w:sz="4" w:space="0" w:color="auto"/>
            </w:tcBorders>
          </w:tcPr>
          <w:p w14:paraId="04CD0629" w14:textId="1AF2B91F"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 Marketing, and Feedstock supply</w:t>
            </w:r>
          </w:p>
        </w:tc>
      </w:tr>
      <w:tr w:rsidR="003C6DBD" w:rsidRPr="003C6DBD" w14:paraId="6049691D" w14:textId="77777777" w:rsidTr="00F803D8">
        <w:trPr>
          <w:trHeight w:val="280"/>
        </w:trPr>
        <w:tc>
          <w:tcPr>
            <w:tcW w:w="643" w:type="dxa"/>
          </w:tcPr>
          <w:p w14:paraId="56F2D8A2"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26</w:t>
            </w:r>
          </w:p>
        </w:tc>
        <w:tc>
          <w:tcPr>
            <w:tcW w:w="2794" w:type="dxa"/>
            <w:shd w:val="clear" w:color="auto" w:fill="auto"/>
            <w:noWrap/>
            <w:hideMark/>
          </w:tcPr>
          <w:p w14:paraId="3D6DB085"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Neste </w:t>
            </w:r>
            <w:proofErr w:type="spellStart"/>
            <w:r w:rsidRPr="003C6DBD">
              <w:rPr>
                <w:rFonts w:ascii="Times New Roman" w:eastAsia="Times New Roman" w:hAnsi="Times New Roman" w:cs="Times New Roman"/>
                <w:color w:val="0D0D0D" w:themeColor="text1" w:themeTint="F2"/>
                <w:sz w:val="24"/>
                <w:szCs w:val="24"/>
              </w:rPr>
              <w:t>Oyj</w:t>
            </w:r>
            <w:proofErr w:type="spellEnd"/>
            <w:r w:rsidRPr="003C6DBD">
              <w:rPr>
                <w:rFonts w:ascii="Times New Roman" w:eastAsia="Times New Roman" w:hAnsi="Times New Roman" w:cs="Times New Roman"/>
                <w:color w:val="0D0D0D" w:themeColor="text1" w:themeTint="F2"/>
                <w:sz w:val="24"/>
                <w:szCs w:val="24"/>
              </w:rPr>
              <w:t xml:space="preserve"> </w:t>
            </w:r>
          </w:p>
        </w:tc>
        <w:tc>
          <w:tcPr>
            <w:tcW w:w="1603" w:type="dxa"/>
            <w:shd w:val="clear" w:color="auto" w:fill="auto"/>
            <w:noWrap/>
            <w:hideMark/>
          </w:tcPr>
          <w:p w14:paraId="3419A6D9"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NESTE</w:t>
            </w:r>
          </w:p>
        </w:tc>
        <w:tc>
          <w:tcPr>
            <w:tcW w:w="1363" w:type="dxa"/>
            <w:shd w:val="clear" w:color="auto" w:fill="auto"/>
            <w:noWrap/>
            <w:hideMark/>
          </w:tcPr>
          <w:p w14:paraId="5722A614"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HLSE</w:t>
            </w:r>
          </w:p>
        </w:tc>
        <w:tc>
          <w:tcPr>
            <w:tcW w:w="1376" w:type="dxa"/>
          </w:tcPr>
          <w:p w14:paraId="674A1F89"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Finland</w:t>
            </w:r>
          </w:p>
        </w:tc>
        <w:tc>
          <w:tcPr>
            <w:tcW w:w="1577" w:type="dxa"/>
          </w:tcPr>
          <w:p w14:paraId="21A8B58B"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 Marketing and Distribution</w:t>
            </w:r>
          </w:p>
        </w:tc>
      </w:tr>
      <w:tr w:rsidR="003C6DBD" w:rsidRPr="003C6DBD" w14:paraId="117E7796" w14:textId="77777777" w:rsidTr="00F803D8">
        <w:trPr>
          <w:trHeight w:val="280"/>
        </w:trPr>
        <w:tc>
          <w:tcPr>
            <w:tcW w:w="643" w:type="dxa"/>
          </w:tcPr>
          <w:p w14:paraId="7B5272A5"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27</w:t>
            </w:r>
          </w:p>
        </w:tc>
        <w:tc>
          <w:tcPr>
            <w:tcW w:w="2794" w:type="dxa"/>
            <w:shd w:val="clear" w:color="auto" w:fill="auto"/>
            <w:noWrap/>
            <w:hideMark/>
          </w:tcPr>
          <w:p w14:paraId="25052079" w14:textId="35A7AC48"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lang w:val="es-MX"/>
              </w:rPr>
            </w:pPr>
            <w:r w:rsidRPr="003C6DBD">
              <w:rPr>
                <w:rFonts w:ascii="Times New Roman" w:eastAsia="Times New Roman" w:hAnsi="Times New Roman" w:cs="Times New Roman"/>
                <w:color w:val="0D0D0D" w:themeColor="text1" w:themeTint="F2"/>
                <w:sz w:val="24"/>
                <w:szCs w:val="24"/>
                <w:lang w:val="es-MX"/>
              </w:rPr>
              <w:t xml:space="preserve">Petróleo Brasileiro S.A. - Petrobras </w:t>
            </w:r>
          </w:p>
        </w:tc>
        <w:tc>
          <w:tcPr>
            <w:tcW w:w="1603" w:type="dxa"/>
            <w:shd w:val="clear" w:color="auto" w:fill="auto"/>
            <w:noWrap/>
            <w:hideMark/>
          </w:tcPr>
          <w:p w14:paraId="50BB9799"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PBR</w:t>
            </w:r>
          </w:p>
        </w:tc>
        <w:tc>
          <w:tcPr>
            <w:tcW w:w="1363" w:type="dxa"/>
            <w:shd w:val="clear" w:color="auto" w:fill="auto"/>
            <w:noWrap/>
            <w:hideMark/>
          </w:tcPr>
          <w:p w14:paraId="47B3BA06"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NYSE</w:t>
            </w:r>
          </w:p>
        </w:tc>
        <w:tc>
          <w:tcPr>
            <w:tcW w:w="1376" w:type="dxa"/>
          </w:tcPr>
          <w:p w14:paraId="54F4522B"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Pr>
          <w:p w14:paraId="3C011B3B"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 and Distribution</w:t>
            </w:r>
          </w:p>
        </w:tc>
      </w:tr>
      <w:tr w:rsidR="003C6DBD" w:rsidRPr="003C6DBD" w14:paraId="28CBF212" w14:textId="77777777" w:rsidTr="00F803D8">
        <w:trPr>
          <w:trHeight w:val="280"/>
        </w:trPr>
        <w:tc>
          <w:tcPr>
            <w:tcW w:w="643" w:type="dxa"/>
          </w:tcPr>
          <w:p w14:paraId="3BBE5E1B"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28</w:t>
            </w:r>
          </w:p>
        </w:tc>
        <w:tc>
          <w:tcPr>
            <w:tcW w:w="2794" w:type="dxa"/>
            <w:shd w:val="clear" w:color="auto" w:fill="auto"/>
            <w:noWrap/>
            <w:hideMark/>
          </w:tcPr>
          <w:p w14:paraId="112CF685" w14:textId="2856B3A3"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Red Trail Energy, LLC </w:t>
            </w:r>
          </w:p>
        </w:tc>
        <w:tc>
          <w:tcPr>
            <w:tcW w:w="1603" w:type="dxa"/>
            <w:shd w:val="clear" w:color="auto" w:fill="auto"/>
            <w:noWrap/>
            <w:hideMark/>
          </w:tcPr>
          <w:p w14:paraId="04FA1573"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REGX</w:t>
            </w:r>
          </w:p>
        </w:tc>
        <w:tc>
          <w:tcPr>
            <w:tcW w:w="1363" w:type="dxa"/>
            <w:shd w:val="clear" w:color="auto" w:fill="auto"/>
            <w:noWrap/>
            <w:hideMark/>
          </w:tcPr>
          <w:p w14:paraId="09159B0C"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OTCPK</w:t>
            </w:r>
          </w:p>
        </w:tc>
        <w:tc>
          <w:tcPr>
            <w:tcW w:w="1376" w:type="dxa"/>
          </w:tcPr>
          <w:p w14:paraId="1CE9CCAA"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Pr>
          <w:p w14:paraId="505D5D2A"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w:t>
            </w:r>
          </w:p>
        </w:tc>
      </w:tr>
      <w:tr w:rsidR="003C6DBD" w:rsidRPr="003C6DBD" w14:paraId="38E35063" w14:textId="77777777" w:rsidTr="00F803D8">
        <w:trPr>
          <w:trHeight w:val="280"/>
        </w:trPr>
        <w:tc>
          <w:tcPr>
            <w:tcW w:w="643" w:type="dxa"/>
          </w:tcPr>
          <w:p w14:paraId="33125FE7"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29</w:t>
            </w:r>
          </w:p>
        </w:tc>
        <w:tc>
          <w:tcPr>
            <w:tcW w:w="2794" w:type="dxa"/>
            <w:shd w:val="clear" w:color="auto" w:fill="auto"/>
            <w:noWrap/>
            <w:hideMark/>
          </w:tcPr>
          <w:p w14:paraId="62F5DFB5" w14:textId="79349E79"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Renewable Energy Group, Inc. </w:t>
            </w:r>
          </w:p>
        </w:tc>
        <w:tc>
          <w:tcPr>
            <w:tcW w:w="1603" w:type="dxa"/>
            <w:shd w:val="clear" w:color="auto" w:fill="auto"/>
            <w:noWrap/>
            <w:hideMark/>
          </w:tcPr>
          <w:p w14:paraId="0D9404D7"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REGI</w:t>
            </w:r>
          </w:p>
        </w:tc>
        <w:tc>
          <w:tcPr>
            <w:tcW w:w="1363" w:type="dxa"/>
            <w:shd w:val="clear" w:color="auto" w:fill="auto"/>
            <w:noWrap/>
            <w:hideMark/>
          </w:tcPr>
          <w:p w14:paraId="028A56AB"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NASDAQ</w:t>
            </w:r>
          </w:p>
        </w:tc>
        <w:tc>
          <w:tcPr>
            <w:tcW w:w="1376" w:type="dxa"/>
          </w:tcPr>
          <w:p w14:paraId="102B9832"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Pr>
          <w:p w14:paraId="737A60D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 and Marketing</w:t>
            </w:r>
          </w:p>
        </w:tc>
      </w:tr>
      <w:tr w:rsidR="003C6DBD" w:rsidRPr="003C6DBD" w14:paraId="4E87CD7B" w14:textId="77777777" w:rsidTr="00F803D8">
        <w:trPr>
          <w:trHeight w:val="280"/>
        </w:trPr>
        <w:tc>
          <w:tcPr>
            <w:tcW w:w="643" w:type="dxa"/>
          </w:tcPr>
          <w:p w14:paraId="038FA5BC"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30</w:t>
            </w:r>
          </w:p>
        </w:tc>
        <w:tc>
          <w:tcPr>
            <w:tcW w:w="2794" w:type="dxa"/>
            <w:shd w:val="clear" w:color="auto" w:fill="auto"/>
            <w:noWrap/>
            <w:hideMark/>
          </w:tcPr>
          <w:p w14:paraId="38D5C084" w14:textId="2EC38124"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Renewable Fuel Corp</w:t>
            </w:r>
          </w:p>
        </w:tc>
        <w:tc>
          <w:tcPr>
            <w:tcW w:w="1603" w:type="dxa"/>
            <w:shd w:val="clear" w:color="auto" w:fill="auto"/>
            <w:noWrap/>
            <w:hideMark/>
          </w:tcPr>
          <w:p w14:paraId="7B4749A9"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RWFC</w:t>
            </w:r>
          </w:p>
        </w:tc>
        <w:tc>
          <w:tcPr>
            <w:tcW w:w="1363" w:type="dxa"/>
            <w:shd w:val="clear" w:color="auto" w:fill="auto"/>
            <w:noWrap/>
            <w:hideMark/>
          </w:tcPr>
          <w:p w14:paraId="78E1E40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OTCPK</w:t>
            </w:r>
          </w:p>
        </w:tc>
        <w:tc>
          <w:tcPr>
            <w:tcW w:w="1376" w:type="dxa"/>
          </w:tcPr>
          <w:p w14:paraId="0CF70378"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Pr>
          <w:p w14:paraId="7B4CDB59"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 Blending, and Distribution</w:t>
            </w:r>
          </w:p>
        </w:tc>
      </w:tr>
      <w:tr w:rsidR="003C6DBD" w:rsidRPr="003C6DBD" w14:paraId="4B3944EA" w14:textId="77777777" w:rsidTr="00F803D8">
        <w:trPr>
          <w:trHeight w:val="280"/>
        </w:trPr>
        <w:tc>
          <w:tcPr>
            <w:tcW w:w="643" w:type="dxa"/>
          </w:tcPr>
          <w:p w14:paraId="4AE2D41B"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31</w:t>
            </w:r>
          </w:p>
        </w:tc>
        <w:tc>
          <w:tcPr>
            <w:tcW w:w="2794" w:type="dxa"/>
            <w:shd w:val="clear" w:color="auto" w:fill="auto"/>
            <w:noWrap/>
            <w:hideMark/>
          </w:tcPr>
          <w:p w14:paraId="7AEFE347" w14:textId="56E947A3"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REX American Resources Corporation </w:t>
            </w:r>
          </w:p>
        </w:tc>
        <w:tc>
          <w:tcPr>
            <w:tcW w:w="1603" w:type="dxa"/>
            <w:shd w:val="clear" w:color="auto" w:fill="auto"/>
            <w:noWrap/>
            <w:hideMark/>
          </w:tcPr>
          <w:p w14:paraId="5FEF01F8"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REX</w:t>
            </w:r>
          </w:p>
        </w:tc>
        <w:tc>
          <w:tcPr>
            <w:tcW w:w="1363" w:type="dxa"/>
            <w:shd w:val="clear" w:color="auto" w:fill="auto"/>
            <w:noWrap/>
            <w:hideMark/>
          </w:tcPr>
          <w:p w14:paraId="6F2B6593"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NYSE</w:t>
            </w:r>
          </w:p>
        </w:tc>
        <w:tc>
          <w:tcPr>
            <w:tcW w:w="1376" w:type="dxa"/>
          </w:tcPr>
          <w:p w14:paraId="6EE4BA7A"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Pr>
          <w:p w14:paraId="57D2C0B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Investment and Production</w:t>
            </w:r>
          </w:p>
        </w:tc>
      </w:tr>
      <w:tr w:rsidR="003C6DBD" w:rsidRPr="003C6DBD" w14:paraId="5978FC89" w14:textId="77777777" w:rsidTr="00F803D8">
        <w:trPr>
          <w:trHeight w:val="280"/>
        </w:trPr>
        <w:tc>
          <w:tcPr>
            <w:tcW w:w="643" w:type="dxa"/>
          </w:tcPr>
          <w:p w14:paraId="6F15A391"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32</w:t>
            </w:r>
          </w:p>
        </w:tc>
        <w:tc>
          <w:tcPr>
            <w:tcW w:w="2794" w:type="dxa"/>
            <w:shd w:val="clear" w:color="auto" w:fill="auto"/>
            <w:noWrap/>
            <w:hideMark/>
          </w:tcPr>
          <w:p w14:paraId="2C30D45C" w14:textId="7DC97EEA"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Royal Dutch Shell plc </w:t>
            </w:r>
          </w:p>
        </w:tc>
        <w:tc>
          <w:tcPr>
            <w:tcW w:w="1603" w:type="dxa"/>
            <w:shd w:val="clear" w:color="auto" w:fill="auto"/>
            <w:noWrap/>
            <w:hideMark/>
          </w:tcPr>
          <w:p w14:paraId="684F8970"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RDSA</w:t>
            </w:r>
          </w:p>
        </w:tc>
        <w:tc>
          <w:tcPr>
            <w:tcW w:w="1363" w:type="dxa"/>
            <w:shd w:val="clear" w:color="auto" w:fill="auto"/>
            <w:noWrap/>
            <w:hideMark/>
          </w:tcPr>
          <w:p w14:paraId="4E587A7C"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ENXTAM</w:t>
            </w:r>
          </w:p>
        </w:tc>
        <w:tc>
          <w:tcPr>
            <w:tcW w:w="1376" w:type="dxa"/>
          </w:tcPr>
          <w:p w14:paraId="335FB6FF"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Netherlands</w:t>
            </w:r>
          </w:p>
        </w:tc>
        <w:tc>
          <w:tcPr>
            <w:tcW w:w="1577" w:type="dxa"/>
          </w:tcPr>
          <w:p w14:paraId="79FC2734"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Refining, Trading, and Marketing</w:t>
            </w:r>
          </w:p>
        </w:tc>
      </w:tr>
      <w:tr w:rsidR="003C6DBD" w:rsidRPr="003C6DBD" w14:paraId="59979959" w14:textId="77777777" w:rsidTr="00F803D8">
        <w:trPr>
          <w:trHeight w:val="280"/>
        </w:trPr>
        <w:tc>
          <w:tcPr>
            <w:tcW w:w="643" w:type="dxa"/>
          </w:tcPr>
          <w:p w14:paraId="117CFD59"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33</w:t>
            </w:r>
          </w:p>
        </w:tc>
        <w:tc>
          <w:tcPr>
            <w:tcW w:w="2794" w:type="dxa"/>
            <w:shd w:val="clear" w:color="auto" w:fill="auto"/>
            <w:noWrap/>
          </w:tcPr>
          <w:p w14:paraId="030FF030" w14:textId="3D855DEA"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The Andersons, Inc.</w:t>
            </w:r>
          </w:p>
        </w:tc>
        <w:tc>
          <w:tcPr>
            <w:tcW w:w="1603" w:type="dxa"/>
            <w:shd w:val="clear" w:color="auto" w:fill="auto"/>
            <w:noWrap/>
          </w:tcPr>
          <w:p w14:paraId="157E2566"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ANDE</w:t>
            </w:r>
          </w:p>
        </w:tc>
        <w:tc>
          <w:tcPr>
            <w:tcW w:w="1363" w:type="dxa"/>
            <w:shd w:val="clear" w:color="auto" w:fill="auto"/>
            <w:noWrap/>
          </w:tcPr>
          <w:p w14:paraId="236D8A3B"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NASDAQ</w:t>
            </w:r>
          </w:p>
        </w:tc>
        <w:tc>
          <w:tcPr>
            <w:tcW w:w="1376" w:type="dxa"/>
          </w:tcPr>
          <w:p w14:paraId="3C5CD18D"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Pr>
          <w:p w14:paraId="4FDFD913"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 marketing, and logistics</w:t>
            </w:r>
          </w:p>
        </w:tc>
      </w:tr>
      <w:tr w:rsidR="003C6DBD" w:rsidRPr="003C6DBD" w14:paraId="2AA88ECB" w14:textId="77777777" w:rsidTr="00F803D8">
        <w:trPr>
          <w:trHeight w:val="289"/>
        </w:trPr>
        <w:tc>
          <w:tcPr>
            <w:tcW w:w="643" w:type="dxa"/>
          </w:tcPr>
          <w:p w14:paraId="27E2D74E"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34</w:t>
            </w:r>
          </w:p>
        </w:tc>
        <w:tc>
          <w:tcPr>
            <w:tcW w:w="2794" w:type="dxa"/>
            <w:shd w:val="clear" w:color="auto" w:fill="auto"/>
            <w:noWrap/>
            <w:hideMark/>
          </w:tcPr>
          <w:p w14:paraId="446A9B5C" w14:textId="106C8972"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Valero Energy Corporation </w:t>
            </w:r>
          </w:p>
        </w:tc>
        <w:tc>
          <w:tcPr>
            <w:tcW w:w="1603" w:type="dxa"/>
            <w:shd w:val="clear" w:color="auto" w:fill="auto"/>
            <w:noWrap/>
            <w:hideMark/>
          </w:tcPr>
          <w:p w14:paraId="48D6F1F6"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VLO</w:t>
            </w:r>
          </w:p>
        </w:tc>
        <w:tc>
          <w:tcPr>
            <w:tcW w:w="1363" w:type="dxa"/>
            <w:shd w:val="clear" w:color="auto" w:fill="auto"/>
            <w:noWrap/>
            <w:hideMark/>
          </w:tcPr>
          <w:p w14:paraId="790D4687"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NYSE</w:t>
            </w:r>
          </w:p>
        </w:tc>
        <w:tc>
          <w:tcPr>
            <w:tcW w:w="1376" w:type="dxa"/>
          </w:tcPr>
          <w:p w14:paraId="0D5792EC"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US</w:t>
            </w:r>
          </w:p>
        </w:tc>
        <w:tc>
          <w:tcPr>
            <w:tcW w:w="1577" w:type="dxa"/>
          </w:tcPr>
          <w:p w14:paraId="73AC0E2B"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 and Marketing</w:t>
            </w:r>
          </w:p>
        </w:tc>
      </w:tr>
      <w:tr w:rsidR="003627D8" w:rsidRPr="003C6DBD" w14:paraId="54DF4090" w14:textId="77777777" w:rsidTr="00F803D8">
        <w:trPr>
          <w:trHeight w:val="289"/>
        </w:trPr>
        <w:tc>
          <w:tcPr>
            <w:tcW w:w="643" w:type="dxa"/>
          </w:tcPr>
          <w:p w14:paraId="1F7ACF4D" w14:textId="77777777" w:rsidR="00C3000E" w:rsidRPr="003C6DBD" w:rsidRDefault="00C3000E" w:rsidP="003117FC">
            <w:pPr>
              <w:pStyle w:val="Default"/>
              <w:autoSpaceDE/>
              <w:autoSpaceDN/>
              <w:adjustRightInd/>
              <w:rPr>
                <w:rFonts w:eastAsia="Times New Roman"/>
                <w:color w:val="0D0D0D" w:themeColor="text1" w:themeTint="F2"/>
              </w:rPr>
            </w:pPr>
            <w:r w:rsidRPr="003C6DBD">
              <w:rPr>
                <w:rFonts w:eastAsia="Times New Roman"/>
                <w:color w:val="0D0D0D" w:themeColor="text1" w:themeTint="F2"/>
              </w:rPr>
              <w:t>35</w:t>
            </w:r>
          </w:p>
        </w:tc>
        <w:tc>
          <w:tcPr>
            <w:tcW w:w="2794" w:type="dxa"/>
            <w:shd w:val="clear" w:color="auto" w:fill="auto"/>
            <w:noWrap/>
            <w:hideMark/>
          </w:tcPr>
          <w:p w14:paraId="456F7060" w14:textId="200AA09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VERBIO </w:t>
            </w:r>
            <w:proofErr w:type="spellStart"/>
            <w:r w:rsidRPr="003C6DBD">
              <w:rPr>
                <w:rFonts w:ascii="Times New Roman" w:eastAsia="Times New Roman" w:hAnsi="Times New Roman" w:cs="Times New Roman"/>
                <w:color w:val="0D0D0D" w:themeColor="text1" w:themeTint="F2"/>
                <w:sz w:val="24"/>
                <w:szCs w:val="24"/>
              </w:rPr>
              <w:t>Vereinigte</w:t>
            </w:r>
            <w:proofErr w:type="spellEnd"/>
            <w:r w:rsidRPr="003C6DBD">
              <w:rPr>
                <w:rFonts w:ascii="Times New Roman" w:eastAsia="Times New Roman" w:hAnsi="Times New Roman" w:cs="Times New Roman"/>
                <w:color w:val="0D0D0D" w:themeColor="text1" w:themeTint="F2"/>
                <w:sz w:val="24"/>
                <w:szCs w:val="24"/>
              </w:rPr>
              <w:t xml:space="preserve"> </w:t>
            </w:r>
            <w:proofErr w:type="spellStart"/>
            <w:r w:rsidRPr="003C6DBD">
              <w:rPr>
                <w:rFonts w:ascii="Times New Roman" w:eastAsia="Times New Roman" w:hAnsi="Times New Roman" w:cs="Times New Roman"/>
                <w:color w:val="0D0D0D" w:themeColor="text1" w:themeTint="F2"/>
                <w:sz w:val="24"/>
                <w:szCs w:val="24"/>
              </w:rPr>
              <w:t>BioEnergie</w:t>
            </w:r>
            <w:proofErr w:type="spellEnd"/>
            <w:r w:rsidRPr="003C6DBD">
              <w:rPr>
                <w:rFonts w:ascii="Times New Roman" w:eastAsia="Times New Roman" w:hAnsi="Times New Roman" w:cs="Times New Roman"/>
                <w:color w:val="0D0D0D" w:themeColor="text1" w:themeTint="F2"/>
                <w:sz w:val="24"/>
                <w:szCs w:val="24"/>
              </w:rPr>
              <w:t xml:space="preserve"> AG </w:t>
            </w:r>
          </w:p>
        </w:tc>
        <w:tc>
          <w:tcPr>
            <w:tcW w:w="1603" w:type="dxa"/>
            <w:shd w:val="clear" w:color="auto" w:fill="auto"/>
            <w:noWrap/>
            <w:hideMark/>
          </w:tcPr>
          <w:p w14:paraId="5F36DD94"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VBK</w:t>
            </w:r>
          </w:p>
        </w:tc>
        <w:tc>
          <w:tcPr>
            <w:tcW w:w="1363" w:type="dxa"/>
            <w:shd w:val="clear" w:color="auto" w:fill="auto"/>
            <w:noWrap/>
            <w:hideMark/>
          </w:tcPr>
          <w:p w14:paraId="56DF5446"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XTRA</w:t>
            </w:r>
          </w:p>
        </w:tc>
        <w:tc>
          <w:tcPr>
            <w:tcW w:w="1376" w:type="dxa"/>
          </w:tcPr>
          <w:p w14:paraId="50B0F5A5"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Germany</w:t>
            </w:r>
          </w:p>
        </w:tc>
        <w:tc>
          <w:tcPr>
            <w:tcW w:w="1577" w:type="dxa"/>
          </w:tcPr>
          <w:p w14:paraId="2FCC8A38" w14:textId="77777777" w:rsidR="00C3000E" w:rsidRPr="003C6DBD" w:rsidRDefault="00C3000E" w:rsidP="003117FC">
            <w:pPr>
              <w:spacing w:after="0" w:line="24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Production and Marketing</w:t>
            </w:r>
          </w:p>
        </w:tc>
      </w:tr>
      <w:bookmarkEnd w:id="58"/>
    </w:tbl>
    <w:p w14:paraId="13BCB353" w14:textId="202F930C" w:rsidR="00C3000E" w:rsidRPr="003C6DBD" w:rsidRDefault="00C3000E" w:rsidP="00C3000E">
      <w:pPr>
        <w:spacing w:after="0" w:line="480" w:lineRule="auto"/>
        <w:rPr>
          <w:rFonts w:ascii="Times New Roman" w:eastAsia="Times New Roman" w:hAnsi="Times New Roman" w:cs="Times New Roman"/>
          <w:color w:val="0D0D0D" w:themeColor="text1" w:themeTint="F2"/>
          <w:sz w:val="24"/>
          <w:szCs w:val="24"/>
        </w:rPr>
        <w:sectPr w:rsidR="00C3000E" w:rsidRPr="003C6DBD" w:rsidSect="005C513C">
          <w:pgSz w:w="12240" w:h="15840"/>
          <w:pgMar w:top="1440" w:right="1440" w:bottom="1440" w:left="1440" w:header="720" w:footer="720" w:gutter="0"/>
          <w:cols w:space="720"/>
          <w:docGrid w:linePitch="360"/>
        </w:sectPr>
      </w:pPr>
    </w:p>
    <w:p w14:paraId="493836EB" w14:textId="77777777" w:rsidR="00C3000E" w:rsidRPr="003C6DBD" w:rsidRDefault="00C3000E" w:rsidP="00C3000E">
      <w:pPr>
        <w:pStyle w:val="BodyTextIndent"/>
        <w:ind w:firstLine="720"/>
        <w:rPr>
          <w:color w:val="0D0D0D" w:themeColor="text1" w:themeTint="F2"/>
        </w:rPr>
      </w:pPr>
    </w:p>
    <w:p w14:paraId="0C9F9EF4" w14:textId="0CF86FA9" w:rsidR="00C3000E" w:rsidRPr="003C6DBD" w:rsidRDefault="00C3000E" w:rsidP="00C3000E">
      <w:pPr>
        <w:pStyle w:val="Caption"/>
        <w:keepNext/>
        <w:rPr>
          <w:rFonts w:ascii="Times New Roman" w:hAnsi="Times New Roman" w:cs="Times New Roman"/>
          <w:color w:val="0D0D0D" w:themeColor="text1" w:themeTint="F2"/>
          <w:sz w:val="24"/>
          <w:szCs w:val="24"/>
        </w:rPr>
      </w:pPr>
      <w:bookmarkStart w:id="59" w:name="_Toc132671820"/>
      <w:r w:rsidRPr="003C6DBD">
        <w:rPr>
          <w:rFonts w:ascii="Times New Roman" w:hAnsi="Times New Roman" w:cs="Times New Roman"/>
          <w:color w:val="0D0D0D" w:themeColor="text1" w:themeTint="F2"/>
          <w:sz w:val="24"/>
          <w:szCs w:val="24"/>
        </w:rPr>
        <w:t xml:space="preserve">Table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Table \* ARABIC </w:instrText>
      </w:r>
      <w:r w:rsidRPr="003C6DBD">
        <w:rPr>
          <w:rFonts w:ascii="Times New Roman" w:hAnsi="Times New Roman" w:cs="Times New Roman"/>
          <w:color w:val="0D0D0D" w:themeColor="text1" w:themeTint="F2"/>
          <w:sz w:val="24"/>
          <w:szCs w:val="24"/>
        </w:rPr>
        <w:fldChar w:fldCharType="separate"/>
      </w:r>
      <w:r w:rsidR="00154E66" w:rsidRPr="003C6DBD">
        <w:rPr>
          <w:rFonts w:ascii="Times New Roman" w:hAnsi="Times New Roman" w:cs="Times New Roman"/>
          <w:noProof/>
          <w:color w:val="0D0D0D" w:themeColor="text1" w:themeTint="F2"/>
          <w:sz w:val="24"/>
          <w:szCs w:val="24"/>
        </w:rPr>
        <w:t>6</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Broad risk categories and specific risks</w:t>
      </w:r>
      <w:bookmarkEnd w:id="59"/>
    </w:p>
    <w:tbl>
      <w:tblPr>
        <w:tblW w:w="13036" w:type="dxa"/>
        <w:tblBorders>
          <w:top w:val="single" w:sz="4" w:space="0" w:color="auto"/>
          <w:bottom w:val="single" w:sz="4" w:space="0" w:color="auto"/>
        </w:tblBorders>
        <w:tblLook w:val="04A0" w:firstRow="1" w:lastRow="0" w:firstColumn="1" w:lastColumn="0" w:noHBand="0" w:noVBand="1"/>
      </w:tblPr>
      <w:tblGrid>
        <w:gridCol w:w="1589"/>
        <w:gridCol w:w="1739"/>
        <w:gridCol w:w="1703"/>
        <w:gridCol w:w="8005"/>
      </w:tblGrid>
      <w:tr w:rsidR="003C6DBD" w:rsidRPr="003C6DBD" w14:paraId="3FE4FB3F" w14:textId="77777777" w:rsidTr="00F803D8">
        <w:trPr>
          <w:trHeight w:val="286"/>
        </w:trPr>
        <w:tc>
          <w:tcPr>
            <w:tcW w:w="1589" w:type="dxa"/>
            <w:tcBorders>
              <w:top w:val="single" w:sz="4" w:space="0" w:color="auto"/>
              <w:bottom w:val="single" w:sz="4" w:space="0" w:color="auto"/>
            </w:tcBorders>
            <w:shd w:val="clear" w:color="auto" w:fill="auto"/>
            <w:noWrap/>
            <w:hideMark/>
          </w:tcPr>
          <w:p w14:paraId="62A1B85A" w14:textId="77777777" w:rsidR="00C3000E" w:rsidRPr="003C6DBD" w:rsidRDefault="00C3000E" w:rsidP="003117FC">
            <w:pPr>
              <w:spacing w:after="0" w:line="48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Risk category</w:t>
            </w:r>
          </w:p>
        </w:tc>
        <w:tc>
          <w:tcPr>
            <w:tcW w:w="1739" w:type="dxa"/>
            <w:tcBorders>
              <w:top w:val="single" w:sz="4" w:space="0" w:color="auto"/>
              <w:bottom w:val="single" w:sz="4" w:space="0" w:color="auto"/>
            </w:tcBorders>
          </w:tcPr>
          <w:p w14:paraId="712A39FF" w14:textId="77777777" w:rsidR="00C3000E" w:rsidRPr="003C6DBD" w:rsidRDefault="00C3000E" w:rsidP="003117FC">
            <w:pPr>
              <w:spacing w:after="0" w:line="48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 xml:space="preserve">Abbreviations </w:t>
            </w:r>
          </w:p>
        </w:tc>
        <w:tc>
          <w:tcPr>
            <w:tcW w:w="1703" w:type="dxa"/>
            <w:tcBorders>
              <w:top w:val="single" w:sz="4" w:space="0" w:color="auto"/>
              <w:bottom w:val="single" w:sz="4" w:space="0" w:color="auto"/>
            </w:tcBorders>
            <w:shd w:val="clear" w:color="auto" w:fill="auto"/>
            <w:noWrap/>
            <w:hideMark/>
          </w:tcPr>
          <w:p w14:paraId="7BFFDBA7" w14:textId="77777777" w:rsidR="00C3000E" w:rsidRPr="003C6DBD" w:rsidRDefault="00C3000E" w:rsidP="003117FC">
            <w:pPr>
              <w:spacing w:after="0" w:line="48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Risk factors</w:t>
            </w:r>
          </w:p>
        </w:tc>
        <w:tc>
          <w:tcPr>
            <w:tcW w:w="8005" w:type="dxa"/>
            <w:tcBorders>
              <w:top w:val="single" w:sz="4" w:space="0" w:color="auto"/>
              <w:bottom w:val="single" w:sz="4" w:space="0" w:color="auto"/>
            </w:tcBorders>
            <w:shd w:val="clear" w:color="auto" w:fill="auto"/>
            <w:noWrap/>
            <w:hideMark/>
          </w:tcPr>
          <w:p w14:paraId="219A84CA" w14:textId="77777777" w:rsidR="00C3000E" w:rsidRPr="003C6DBD" w:rsidRDefault="00C3000E" w:rsidP="003117FC">
            <w:pPr>
              <w:pStyle w:val="Default"/>
              <w:autoSpaceDE/>
              <w:autoSpaceDN/>
              <w:adjustRightInd/>
              <w:spacing w:line="480" w:lineRule="auto"/>
              <w:rPr>
                <w:rFonts w:eastAsia="Times New Roman"/>
                <w:b/>
                <w:bCs/>
                <w:color w:val="0D0D0D" w:themeColor="text1" w:themeTint="F2"/>
              </w:rPr>
            </w:pPr>
            <w:r w:rsidRPr="003C6DBD">
              <w:rPr>
                <w:rFonts w:eastAsia="Times New Roman"/>
                <w:b/>
                <w:bCs/>
                <w:color w:val="0D0D0D" w:themeColor="text1" w:themeTint="F2"/>
              </w:rPr>
              <w:t>Examples of risks from annual (10-K and 20-F) reports</w:t>
            </w:r>
          </w:p>
        </w:tc>
      </w:tr>
      <w:tr w:rsidR="003C6DBD" w:rsidRPr="003C6DBD" w14:paraId="4876FACA" w14:textId="77777777" w:rsidTr="00F803D8">
        <w:trPr>
          <w:trHeight w:val="286"/>
        </w:trPr>
        <w:tc>
          <w:tcPr>
            <w:tcW w:w="1589" w:type="dxa"/>
            <w:tcBorders>
              <w:top w:val="single" w:sz="4" w:space="0" w:color="auto"/>
            </w:tcBorders>
            <w:shd w:val="clear" w:color="auto" w:fill="auto"/>
            <w:noWrap/>
            <w:hideMark/>
          </w:tcPr>
          <w:p w14:paraId="4E876CC3"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Political</w:t>
            </w:r>
          </w:p>
        </w:tc>
        <w:tc>
          <w:tcPr>
            <w:tcW w:w="1739" w:type="dxa"/>
            <w:tcBorders>
              <w:top w:val="single" w:sz="4" w:space="0" w:color="auto"/>
            </w:tcBorders>
          </w:tcPr>
          <w:p w14:paraId="3C645C9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BFR</w:t>
            </w:r>
          </w:p>
        </w:tc>
        <w:tc>
          <w:tcPr>
            <w:tcW w:w="1703" w:type="dxa"/>
            <w:tcBorders>
              <w:top w:val="single" w:sz="4" w:space="0" w:color="auto"/>
            </w:tcBorders>
            <w:shd w:val="clear" w:color="auto" w:fill="auto"/>
            <w:noWrap/>
            <w:hideMark/>
          </w:tcPr>
          <w:p w14:paraId="7141E2D3"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Biofuel regulation</w:t>
            </w:r>
          </w:p>
        </w:tc>
        <w:tc>
          <w:tcPr>
            <w:tcW w:w="8005" w:type="dxa"/>
            <w:tcBorders>
              <w:top w:val="single" w:sz="4" w:space="0" w:color="auto"/>
            </w:tcBorders>
            <w:shd w:val="clear" w:color="auto" w:fill="auto"/>
            <w:noWrap/>
            <w:hideMark/>
          </w:tcPr>
          <w:p w14:paraId="07A7B928"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"A change in government policies may cause a decline in the demand for our products."</w:t>
            </w:r>
          </w:p>
        </w:tc>
      </w:tr>
      <w:tr w:rsidR="003C6DBD" w:rsidRPr="003C6DBD" w14:paraId="73E64927" w14:textId="77777777" w:rsidTr="00F803D8">
        <w:trPr>
          <w:trHeight w:val="286"/>
        </w:trPr>
        <w:tc>
          <w:tcPr>
            <w:tcW w:w="1589" w:type="dxa"/>
            <w:shd w:val="clear" w:color="auto" w:fill="auto"/>
            <w:noWrap/>
            <w:hideMark/>
          </w:tcPr>
          <w:p w14:paraId="177FE74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739" w:type="dxa"/>
          </w:tcPr>
          <w:p w14:paraId="20D79A9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EHS</w:t>
            </w:r>
          </w:p>
        </w:tc>
        <w:tc>
          <w:tcPr>
            <w:tcW w:w="1703" w:type="dxa"/>
            <w:shd w:val="clear" w:color="auto" w:fill="auto"/>
            <w:noWrap/>
            <w:hideMark/>
          </w:tcPr>
          <w:p w14:paraId="0A52042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Environmental, health, and safety</w:t>
            </w:r>
          </w:p>
        </w:tc>
        <w:tc>
          <w:tcPr>
            <w:tcW w:w="8005" w:type="dxa"/>
            <w:shd w:val="clear" w:color="auto" w:fill="auto"/>
            <w:noWrap/>
            <w:hideMark/>
          </w:tcPr>
          <w:p w14:paraId="0776CEC0"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"Concerns regarding the environmental impact of biofuel production could affect public policy which could impair our ability to operate at a profit and substantially harm our revenues and operating margins."</w:t>
            </w:r>
          </w:p>
        </w:tc>
      </w:tr>
      <w:tr w:rsidR="003C6DBD" w:rsidRPr="003C6DBD" w14:paraId="7A1F0A7B" w14:textId="77777777" w:rsidTr="00F803D8">
        <w:trPr>
          <w:trHeight w:val="806"/>
        </w:trPr>
        <w:tc>
          <w:tcPr>
            <w:tcW w:w="1589" w:type="dxa"/>
            <w:shd w:val="clear" w:color="auto" w:fill="auto"/>
            <w:noWrap/>
            <w:hideMark/>
          </w:tcPr>
          <w:p w14:paraId="6491603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739" w:type="dxa"/>
          </w:tcPr>
          <w:p w14:paraId="3825125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INT</w:t>
            </w:r>
          </w:p>
        </w:tc>
        <w:tc>
          <w:tcPr>
            <w:tcW w:w="1703" w:type="dxa"/>
            <w:shd w:val="clear" w:color="auto" w:fill="auto"/>
            <w:noWrap/>
            <w:hideMark/>
          </w:tcPr>
          <w:p w14:paraId="013D972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International</w:t>
            </w:r>
          </w:p>
        </w:tc>
        <w:tc>
          <w:tcPr>
            <w:tcW w:w="8005" w:type="dxa"/>
            <w:shd w:val="clear" w:color="auto" w:fill="auto"/>
            <w:noWrap/>
            <w:hideMark/>
          </w:tcPr>
          <w:p w14:paraId="32DD980D"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"A substantial portion of our assets and operations are located in India, and we are subject to regulatory, economic, and political uncertainties in India."</w:t>
            </w:r>
          </w:p>
        </w:tc>
      </w:tr>
      <w:tr w:rsidR="003C6DBD" w:rsidRPr="003C6DBD" w14:paraId="733F2F5E" w14:textId="77777777" w:rsidTr="00F803D8">
        <w:trPr>
          <w:trHeight w:val="286"/>
        </w:trPr>
        <w:tc>
          <w:tcPr>
            <w:tcW w:w="1589" w:type="dxa"/>
            <w:shd w:val="clear" w:color="auto" w:fill="auto"/>
            <w:noWrap/>
            <w:hideMark/>
          </w:tcPr>
          <w:p w14:paraId="13E1FB46"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739" w:type="dxa"/>
          </w:tcPr>
          <w:p w14:paraId="5F715B8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INF</w:t>
            </w:r>
          </w:p>
        </w:tc>
        <w:tc>
          <w:tcPr>
            <w:tcW w:w="1703" w:type="dxa"/>
            <w:shd w:val="clear" w:color="auto" w:fill="auto"/>
            <w:noWrap/>
            <w:hideMark/>
          </w:tcPr>
          <w:p w14:paraId="1AD2607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Infrastructure</w:t>
            </w:r>
          </w:p>
        </w:tc>
        <w:tc>
          <w:tcPr>
            <w:tcW w:w="8005" w:type="dxa"/>
            <w:shd w:val="clear" w:color="auto" w:fill="auto"/>
            <w:noWrap/>
            <w:hideMark/>
          </w:tcPr>
          <w:p w14:paraId="13CB2460"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"Our success depends on our ability to manage the growth of our operations."</w:t>
            </w:r>
          </w:p>
        </w:tc>
      </w:tr>
      <w:tr w:rsidR="003C6DBD" w:rsidRPr="003C6DBD" w14:paraId="0B2C1556" w14:textId="77777777" w:rsidTr="00F803D8">
        <w:trPr>
          <w:trHeight w:val="286"/>
        </w:trPr>
        <w:tc>
          <w:tcPr>
            <w:tcW w:w="1589" w:type="dxa"/>
            <w:shd w:val="clear" w:color="auto" w:fill="auto"/>
            <w:noWrap/>
          </w:tcPr>
          <w:p w14:paraId="5A0927B3"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739" w:type="dxa"/>
          </w:tcPr>
          <w:p w14:paraId="2C44F64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GNR</w:t>
            </w:r>
          </w:p>
        </w:tc>
        <w:tc>
          <w:tcPr>
            <w:tcW w:w="1703" w:type="dxa"/>
            <w:shd w:val="clear" w:color="auto" w:fill="auto"/>
            <w:noWrap/>
          </w:tcPr>
          <w:p w14:paraId="6CA93CD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General regulations</w:t>
            </w:r>
          </w:p>
        </w:tc>
        <w:tc>
          <w:tcPr>
            <w:tcW w:w="8005" w:type="dxa"/>
            <w:shd w:val="clear" w:color="auto" w:fill="auto"/>
            <w:noWrap/>
          </w:tcPr>
          <w:p w14:paraId="338EDFCA"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"We could be adversely affected by violations of the U.S. Foreign Corrupt Practices Act."</w:t>
            </w:r>
          </w:p>
        </w:tc>
      </w:tr>
      <w:tr w:rsidR="003C6DBD" w:rsidRPr="003C6DBD" w14:paraId="35628BDE" w14:textId="77777777" w:rsidTr="00F803D8">
        <w:trPr>
          <w:trHeight w:val="286"/>
        </w:trPr>
        <w:tc>
          <w:tcPr>
            <w:tcW w:w="1589" w:type="dxa"/>
            <w:shd w:val="clear" w:color="auto" w:fill="auto"/>
            <w:noWrap/>
            <w:hideMark/>
          </w:tcPr>
          <w:p w14:paraId="353B4CA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Economic</w:t>
            </w:r>
          </w:p>
        </w:tc>
        <w:tc>
          <w:tcPr>
            <w:tcW w:w="1739" w:type="dxa"/>
          </w:tcPr>
          <w:p w14:paraId="3EF75B6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MRF</w:t>
            </w:r>
          </w:p>
        </w:tc>
        <w:tc>
          <w:tcPr>
            <w:tcW w:w="1703" w:type="dxa"/>
            <w:shd w:val="clear" w:color="auto" w:fill="auto"/>
            <w:noWrap/>
          </w:tcPr>
          <w:p w14:paraId="327B8BD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Markets-feedstock</w:t>
            </w:r>
          </w:p>
        </w:tc>
        <w:tc>
          <w:tcPr>
            <w:tcW w:w="8005" w:type="dxa"/>
            <w:shd w:val="clear" w:color="auto" w:fill="auto"/>
            <w:noWrap/>
          </w:tcPr>
          <w:p w14:paraId="48B07AC4"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"Fluctuations in the price of corn and other feedstocks may affect our cost structure."</w:t>
            </w:r>
          </w:p>
        </w:tc>
      </w:tr>
      <w:tr w:rsidR="00F803D8" w:rsidRPr="003C6DBD" w14:paraId="39405D52" w14:textId="77777777" w:rsidTr="007A05B7">
        <w:trPr>
          <w:trHeight w:val="286"/>
        </w:trPr>
        <w:tc>
          <w:tcPr>
            <w:tcW w:w="1589" w:type="dxa"/>
            <w:tcBorders>
              <w:bottom w:val="nil"/>
            </w:tcBorders>
            <w:shd w:val="clear" w:color="auto" w:fill="auto"/>
            <w:noWrap/>
          </w:tcPr>
          <w:p w14:paraId="54AD425E" w14:textId="77777777" w:rsidR="00F803D8" w:rsidRPr="003C6DBD" w:rsidRDefault="00F803D8" w:rsidP="003117FC">
            <w:pPr>
              <w:spacing w:after="0" w:line="480" w:lineRule="auto"/>
              <w:rPr>
                <w:rFonts w:ascii="Times New Roman" w:eastAsia="Times New Roman" w:hAnsi="Times New Roman" w:cs="Times New Roman"/>
                <w:color w:val="0D0D0D" w:themeColor="text1" w:themeTint="F2"/>
                <w:sz w:val="24"/>
                <w:szCs w:val="24"/>
              </w:rPr>
            </w:pPr>
          </w:p>
        </w:tc>
        <w:tc>
          <w:tcPr>
            <w:tcW w:w="1739" w:type="dxa"/>
            <w:tcBorders>
              <w:bottom w:val="nil"/>
            </w:tcBorders>
          </w:tcPr>
          <w:p w14:paraId="15D80484" w14:textId="77777777" w:rsidR="00F803D8" w:rsidRPr="003C6DBD" w:rsidRDefault="00F803D8" w:rsidP="003117FC">
            <w:pPr>
              <w:spacing w:after="0" w:line="480" w:lineRule="auto"/>
              <w:rPr>
                <w:rFonts w:ascii="Times New Roman" w:eastAsia="Times New Roman" w:hAnsi="Times New Roman" w:cs="Times New Roman"/>
                <w:color w:val="0D0D0D" w:themeColor="text1" w:themeTint="F2"/>
                <w:sz w:val="24"/>
                <w:szCs w:val="24"/>
              </w:rPr>
            </w:pPr>
          </w:p>
        </w:tc>
        <w:tc>
          <w:tcPr>
            <w:tcW w:w="1703" w:type="dxa"/>
            <w:tcBorders>
              <w:bottom w:val="nil"/>
            </w:tcBorders>
            <w:shd w:val="clear" w:color="auto" w:fill="auto"/>
            <w:noWrap/>
          </w:tcPr>
          <w:p w14:paraId="1B31F2CE" w14:textId="77777777" w:rsidR="00F803D8" w:rsidRPr="003C6DBD" w:rsidRDefault="00F803D8" w:rsidP="003117FC">
            <w:pPr>
              <w:spacing w:after="0" w:line="480" w:lineRule="auto"/>
              <w:rPr>
                <w:rFonts w:ascii="Times New Roman" w:eastAsia="Times New Roman" w:hAnsi="Times New Roman" w:cs="Times New Roman"/>
                <w:color w:val="0D0D0D" w:themeColor="text1" w:themeTint="F2"/>
                <w:sz w:val="24"/>
                <w:szCs w:val="24"/>
              </w:rPr>
            </w:pPr>
          </w:p>
        </w:tc>
        <w:tc>
          <w:tcPr>
            <w:tcW w:w="8005" w:type="dxa"/>
            <w:tcBorders>
              <w:bottom w:val="nil"/>
            </w:tcBorders>
            <w:shd w:val="clear" w:color="auto" w:fill="auto"/>
            <w:noWrap/>
          </w:tcPr>
          <w:p w14:paraId="663C7AD0" w14:textId="77777777" w:rsidR="00F803D8" w:rsidRPr="003C6DBD" w:rsidRDefault="00F803D8" w:rsidP="003117FC">
            <w:pPr>
              <w:spacing w:after="0" w:line="480" w:lineRule="auto"/>
              <w:rPr>
                <w:rFonts w:ascii="Times New Roman" w:eastAsia="Times New Roman" w:hAnsi="Times New Roman" w:cs="Times New Roman"/>
                <w:i/>
                <w:iCs/>
                <w:color w:val="0D0D0D" w:themeColor="text1" w:themeTint="F2"/>
                <w:sz w:val="24"/>
                <w:szCs w:val="24"/>
              </w:rPr>
            </w:pPr>
          </w:p>
        </w:tc>
      </w:tr>
      <w:tr w:rsidR="00F803D8" w:rsidRPr="003C6DBD" w14:paraId="78C46DB5" w14:textId="77777777" w:rsidTr="007A05B7">
        <w:trPr>
          <w:trHeight w:val="286"/>
        </w:trPr>
        <w:tc>
          <w:tcPr>
            <w:tcW w:w="13036" w:type="dxa"/>
            <w:gridSpan w:val="4"/>
            <w:tcBorders>
              <w:top w:val="nil"/>
              <w:bottom w:val="single" w:sz="4" w:space="0" w:color="auto"/>
            </w:tcBorders>
            <w:shd w:val="clear" w:color="auto" w:fill="auto"/>
            <w:noWrap/>
          </w:tcPr>
          <w:p w14:paraId="4663ABD9" w14:textId="30D62DA2" w:rsidR="00F803D8" w:rsidRPr="003C6DBD" w:rsidRDefault="00F803D8" w:rsidP="003117FC">
            <w:pPr>
              <w:spacing w:after="0" w:line="480" w:lineRule="auto"/>
              <w:rPr>
                <w:rFonts w:ascii="Times New Roman" w:eastAsia="Times New Roman" w:hAnsi="Times New Roman" w:cs="Times New Roman"/>
                <w:i/>
                <w:iCs/>
                <w:color w:val="0D0D0D" w:themeColor="text1" w:themeTint="F2"/>
                <w:sz w:val="24"/>
                <w:szCs w:val="24"/>
              </w:rPr>
            </w:pPr>
            <w:r>
              <w:rPr>
                <w:rFonts w:ascii="Times New Roman" w:eastAsia="Times New Roman" w:hAnsi="Times New Roman" w:cs="Times New Roman"/>
                <w:color w:val="0D0D0D" w:themeColor="text1" w:themeTint="F2"/>
                <w:sz w:val="24"/>
                <w:szCs w:val="24"/>
              </w:rPr>
              <w:lastRenderedPageBreak/>
              <w:t>Table 6 continued</w:t>
            </w:r>
          </w:p>
        </w:tc>
      </w:tr>
      <w:tr w:rsidR="003C6DBD" w:rsidRPr="003C6DBD" w14:paraId="1091A22A" w14:textId="77777777" w:rsidTr="00F803D8">
        <w:trPr>
          <w:trHeight w:val="286"/>
        </w:trPr>
        <w:tc>
          <w:tcPr>
            <w:tcW w:w="1589" w:type="dxa"/>
            <w:tcBorders>
              <w:top w:val="single" w:sz="4" w:space="0" w:color="auto"/>
            </w:tcBorders>
            <w:shd w:val="clear" w:color="auto" w:fill="auto"/>
            <w:noWrap/>
          </w:tcPr>
          <w:p w14:paraId="209C953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739" w:type="dxa"/>
            <w:tcBorders>
              <w:top w:val="single" w:sz="4" w:space="0" w:color="auto"/>
            </w:tcBorders>
          </w:tcPr>
          <w:p w14:paraId="3216644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MRB</w:t>
            </w:r>
          </w:p>
        </w:tc>
        <w:tc>
          <w:tcPr>
            <w:tcW w:w="1703" w:type="dxa"/>
            <w:tcBorders>
              <w:top w:val="single" w:sz="4" w:space="0" w:color="auto"/>
            </w:tcBorders>
            <w:shd w:val="clear" w:color="auto" w:fill="auto"/>
            <w:noWrap/>
          </w:tcPr>
          <w:p w14:paraId="2012FD0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Markets-biofuels</w:t>
            </w:r>
          </w:p>
        </w:tc>
        <w:tc>
          <w:tcPr>
            <w:tcW w:w="8005" w:type="dxa"/>
            <w:tcBorders>
              <w:top w:val="single" w:sz="4" w:space="0" w:color="auto"/>
            </w:tcBorders>
            <w:shd w:val="clear" w:color="auto" w:fill="auto"/>
            <w:noWrap/>
          </w:tcPr>
          <w:p w14:paraId="138280BE"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"Increased alcohol or essential ingredient production or higher inventory levels may cause a decline in prices for those products, and may have other negative effects, adversely impacting our results of operations, cash flows and financial condition."</w:t>
            </w:r>
          </w:p>
        </w:tc>
      </w:tr>
      <w:tr w:rsidR="003C6DBD" w:rsidRPr="003C6DBD" w14:paraId="66C6966A" w14:textId="77777777" w:rsidTr="00F803D8">
        <w:trPr>
          <w:trHeight w:val="286"/>
        </w:trPr>
        <w:tc>
          <w:tcPr>
            <w:tcW w:w="1589" w:type="dxa"/>
            <w:shd w:val="clear" w:color="auto" w:fill="auto"/>
            <w:noWrap/>
          </w:tcPr>
          <w:p w14:paraId="3E06CE0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739" w:type="dxa"/>
          </w:tcPr>
          <w:p w14:paraId="261A687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MRC</w:t>
            </w:r>
          </w:p>
        </w:tc>
        <w:tc>
          <w:tcPr>
            <w:tcW w:w="1703" w:type="dxa"/>
            <w:shd w:val="clear" w:color="auto" w:fill="auto"/>
            <w:noWrap/>
          </w:tcPr>
          <w:p w14:paraId="5E265E1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Markets-competing fuels</w:t>
            </w:r>
          </w:p>
        </w:tc>
        <w:tc>
          <w:tcPr>
            <w:tcW w:w="8005" w:type="dxa"/>
            <w:shd w:val="clear" w:color="auto" w:fill="auto"/>
            <w:noWrap/>
          </w:tcPr>
          <w:p w14:paraId="00F58A48"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"Fluctuations in petroleum prices and customer demand patterns may reduce demand for renewable fuels and bio-based chemicals."</w:t>
            </w:r>
          </w:p>
        </w:tc>
      </w:tr>
      <w:tr w:rsidR="003C6DBD" w:rsidRPr="003C6DBD" w14:paraId="2057C947" w14:textId="77777777" w:rsidTr="00F803D8">
        <w:trPr>
          <w:trHeight w:val="286"/>
        </w:trPr>
        <w:tc>
          <w:tcPr>
            <w:tcW w:w="1589" w:type="dxa"/>
            <w:shd w:val="clear" w:color="auto" w:fill="auto"/>
            <w:noWrap/>
            <w:hideMark/>
          </w:tcPr>
          <w:p w14:paraId="6B854B6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739" w:type="dxa"/>
          </w:tcPr>
          <w:p w14:paraId="73ABA7F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MRE</w:t>
            </w:r>
          </w:p>
        </w:tc>
        <w:tc>
          <w:tcPr>
            <w:tcW w:w="1703" w:type="dxa"/>
            <w:shd w:val="clear" w:color="auto" w:fill="auto"/>
            <w:noWrap/>
          </w:tcPr>
          <w:p w14:paraId="1B582D1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Markets-energy</w:t>
            </w:r>
          </w:p>
        </w:tc>
        <w:tc>
          <w:tcPr>
            <w:tcW w:w="8005" w:type="dxa"/>
            <w:shd w:val="clear" w:color="auto" w:fill="auto"/>
            <w:noWrap/>
          </w:tcPr>
          <w:p w14:paraId="20C77ECA"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"Fluctuations in the price and availability of energy to power our production facilities may harm our performance."</w:t>
            </w:r>
          </w:p>
        </w:tc>
      </w:tr>
      <w:tr w:rsidR="003C6DBD" w:rsidRPr="003C6DBD" w14:paraId="23CF8AD3" w14:textId="77777777" w:rsidTr="00F803D8">
        <w:trPr>
          <w:trHeight w:val="286"/>
        </w:trPr>
        <w:tc>
          <w:tcPr>
            <w:tcW w:w="1589" w:type="dxa"/>
            <w:shd w:val="clear" w:color="auto" w:fill="auto"/>
            <w:noWrap/>
            <w:hideMark/>
          </w:tcPr>
          <w:p w14:paraId="62D15D9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739" w:type="dxa"/>
          </w:tcPr>
          <w:p w14:paraId="1501526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COM</w:t>
            </w:r>
          </w:p>
        </w:tc>
        <w:tc>
          <w:tcPr>
            <w:tcW w:w="1703" w:type="dxa"/>
            <w:shd w:val="clear" w:color="auto" w:fill="auto"/>
            <w:noWrap/>
            <w:hideMark/>
          </w:tcPr>
          <w:p w14:paraId="6EC36214"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Competition</w:t>
            </w:r>
          </w:p>
        </w:tc>
        <w:tc>
          <w:tcPr>
            <w:tcW w:w="8005" w:type="dxa"/>
            <w:shd w:val="clear" w:color="auto" w:fill="auto"/>
            <w:noWrap/>
            <w:hideMark/>
          </w:tcPr>
          <w:p w14:paraId="58969499"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"The industries in which we operate are extremely competitive. Many of our significant competitors have greater production and financial resources and could use their greater resources to gain market share at our expense."</w:t>
            </w:r>
          </w:p>
        </w:tc>
      </w:tr>
      <w:tr w:rsidR="003C6DBD" w:rsidRPr="003C6DBD" w14:paraId="495FAAA1" w14:textId="77777777" w:rsidTr="007A05B7">
        <w:trPr>
          <w:trHeight w:val="286"/>
        </w:trPr>
        <w:tc>
          <w:tcPr>
            <w:tcW w:w="1589" w:type="dxa"/>
            <w:tcBorders>
              <w:bottom w:val="nil"/>
            </w:tcBorders>
            <w:shd w:val="clear" w:color="auto" w:fill="auto"/>
            <w:noWrap/>
          </w:tcPr>
          <w:p w14:paraId="6C0D80F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739" w:type="dxa"/>
            <w:tcBorders>
              <w:bottom w:val="nil"/>
            </w:tcBorders>
          </w:tcPr>
          <w:p w14:paraId="5D18718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GEC</w:t>
            </w:r>
          </w:p>
        </w:tc>
        <w:tc>
          <w:tcPr>
            <w:tcW w:w="1703" w:type="dxa"/>
            <w:tcBorders>
              <w:bottom w:val="nil"/>
            </w:tcBorders>
            <w:shd w:val="clear" w:color="auto" w:fill="auto"/>
            <w:noWrap/>
          </w:tcPr>
          <w:p w14:paraId="0DC8D32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General economic conditions</w:t>
            </w:r>
          </w:p>
        </w:tc>
        <w:tc>
          <w:tcPr>
            <w:tcW w:w="8005" w:type="dxa"/>
            <w:tcBorders>
              <w:bottom w:val="nil"/>
            </w:tcBorders>
            <w:shd w:val="clear" w:color="auto" w:fill="auto"/>
            <w:noWrap/>
          </w:tcPr>
          <w:p w14:paraId="6C59BAC9"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"There is no public market for our units and no public market is expected to develop."</w:t>
            </w:r>
          </w:p>
        </w:tc>
      </w:tr>
      <w:tr w:rsidR="00F803D8" w:rsidRPr="003C6DBD" w14:paraId="19A036FB" w14:textId="77777777" w:rsidTr="007A05B7">
        <w:trPr>
          <w:trHeight w:val="286"/>
        </w:trPr>
        <w:tc>
          <w:tcPr>
            <w:tcW w:w="13036" w:type="dxa"/>
            <w:gridSpan w:val="4"/>
            <w:tcBorders>
              <w:top w:val="nil"/>
              <w:bottom w:val="single" w:sz="4" w:space="0" w:color="auto"/>
            </w:tcBorders>
            <w:shd w:val="clear" w:color="auto" w:fill="auto"/>
            <w:noWrap/>
          </w:tcPr>
          <w:p w14:paraId="21176591" w14:textId="77777777" w:rsidR="00F803D8" w:rsidRPr="003C6DBD" w:rsidRDefault="00F803D8" w:rsidP="00F16FF6">
            <w:pPr>
              <w:spacing w:after="0" w:line="480" w:lineRule="auto"/>
              <w:rPr>
                <w:rFonts w:ascii="Times New Roman" w:eastAsia="Times New Roman" w:hAnsi="Times New Roman" w:cs="Times New Roman"/>
                <w:i/>
                <w:iCs/>
                <w:color w:val="0D0D0D" w:themeColor="text1" w:themeTint="F2"/>
                <w:sz w:val="24"/>
                <w:szCs w:val="24"/>
              </w:rPr>
            </w:pPr>
            <w:r>
              <w:rPr>
                <w:rFonts w:ascii="Times New Roman" w:eastAsia="Times New Roman" w:hAnsi="Times New Roman" w:cs="Times New Roman"/>
                <w:color w:val="0D0D0D" w:themeColor="text1" w:themeTint="F2"/>
                <w:sz w:val="24"/>
                <w:szCs w:val="24"/>
              </w:rPr>
              <w:lastRenderedPageBreak/>
              <w:t>Table 6 continued</w:t>
            </w:r>
          </w:p>
        </w:tc>
      </w:tr>
      <w:tr w:rsidR="003C6DBD" w:rsidRPr="003C6DBD" w14:paraId="7EDD8E27" w14:textId="77777777" w:rsidTr="00F803D8">
        <w:trPr>
          <w:trHeight w:val="286"/>
        </w:trPr>
        <w:tc>
          <w:tcPr>
            <w:tcW w:w="1589" w:type="dxa"/>
            <w:shd w:val="clear" w:color="auto" w:fill="auto"/>
            <w:noWrap/>
          </w:tcPr>
          <w:p w14:paraId="7621B4D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739" w:type="dxa"/>
          </w:tcPr>
          <w:p w14:paraId="0623412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STR</w:t>
            </w:r>
          </w:p>
        </w:tc>
        <w:tc>
          <w:tcPr>
            <w:tcW w:w="1703" w:type="dxa"/>
            <w:shd w:val="clear" w:color="auto" w:fill="auto"/>
            <w:noWrap/>
          </w:tcPr>
          <w:p w14:paraId="118611E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Stock risk</w:t>
            </w:r>
          </w:p>
        </w:tc>
        <w:tc>
          <w:tcPr>
            <w:tcW w:w="8005" w:type="dxa"/>
            <w:shd w:val="clear" w:color="auto" w:fill="auto"/>
            <w:noWrap/>
          </w:tcPr>
          <w:p w14:paraId="5F69F4B4"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"Our quarterly operating results may fluctuate in the future. As a result, we may fail to meet or exceed the expectations of investment research analysts or investors, which could cause our stock price to decline."</w:t>
            </w:r>
          </w:p>
        </w:tc>
      </w:tr>
      <w:tr w:rsidR="003C6DBD" w:rsidRPr="003C6DBD" w14:paraId="0348A400" w14:textId="77777777" w:rsidTr="00F803D8">
        <w:trPr>
          <w:trHeight w:val="286"/>
        </w:trPr>
        <w:tc>
          <w:tcPr>
            <w:tcW w:w="1589" w:type="dxa"/>
            <w:shd w:val="clear" w:color="auto" w:fill="auto"/>
            <w:noWrap/>
            <w:hideMark/>
          </w:tcPr>
          <w:p w14:paraId="14A37C8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Social</w:t>
            </w:r>
          </w:p>
        </w:tc>
        <w:tc>
          <w:tcPr>
            <w:tcW w:w="1739" w:type="dxa"/>
          </w:tcPr>
          <w:p w14:paraId="5EED4BB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PUO</w:t>
            </w:r>
          </w:p>
        </w:tc>
        <w:tc>
          <w:tcPr>
            <w:tcW w:w="1703" w:type="dxa"/>
            <w:shd w:val="clear" w:color="auto" w:fill="auto"/>
            <w:noWrap/>
          </w:tcPr>
          <w:p w14:paraId="507F85C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Public opposition</w:t>
            </w:r>
          </w:p>
        </w:tc>
        <w:tc>
          <w:tcPr>
            <w:tcW w:w="8005" w:type="dxa"/>
            <w:shd w:val="clear" w:color="auto" w:fill="auto"/>
            <w:noWrap/>
          </w:tcPr>
          <w:p w14:paraId="473CD1C7"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 xml:space="preserve">“Consumer resistance to the use of ethanol-based on the belief that ethanol is expensive, adds to air pollution, harms engines and/or takes more energy to produce than it contributes may affect the demand for ethanol.” </w:t>
            </w:r>
          </w:p>
        </w:tc>
      </w:tr>
      <w:tr w:rsidR="003C6DBD" w:rsidRPr="003C6DBD" w14:paraId="2F7F935A" w14:textId="77777777" w:rsidTr="00F803D8">
        <w:trPr>
          <w:trHeight w:val="286"/>
        </w:trPr>
        <w:tc>
          <w:tcPr>
            <w:tcW w:w="1589" w:type="dxa"/>
            <w:shd w:val="clear" w:color="auto" w:fill="auto"/>
            <w:noWrap/>
          </w:tcPr>
          <w:p w14:paraId="14C84C46"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739" w:type="dxa"/>
          </w:tcPr>
          <w:p w14:paraId="6322DCB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PUP</w:t>
            </w:r>
          </w:p>
        </w:tc>
        <w:tc>
          <w:tcPr>
            <w:tcW w:w="1703" w:type="dxa"/>
            <w:shd w:val="clear" w:color="auto" w:fill="auto"/>
            <w:noWrap/>
          </w:tcPr>
          <w:p w14:paraId="4B7A4DA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Public Perception</w:t>
            </w:r>
          </w:p>
        </w:tc>
        <w:tc>
          <w:tcPr>
            <w:tcW w:w="8005" w:type="dxa"/>
            <w:shd w:val="clear" w:color="auto" w:fill="auto"/>
            <w:noWrap/>
          </w:tcPr>
          <w:p w14:paraId="2E027642"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"Public perception, consumer acceptance and overall consumer demand for transportation fuel, any of which could negatively affect demand for fuel-grade ethanol and our results of operations."</w:t>
            </w:r>
          </w:p>
        </w:tc>
      </w:tr>
      <w:tr w:rsidR="003C6DBD" w:rsidRPr="003C6DBD" w14:paraId="10DA08F0" w14:textId="77777777" w:rsidTr="00F803D8">
        <w:trPr>
          <w:trHeight w:val="286"/>
        </w:trPr>
        <w:tc>
          <w:tcPr>
            <w:tcW w:w="1589" w:type="dxa"/>
            <w:shd w:val="clear" w:color="auto" w:fill="auto"/>
            <w:noWrap/>
            <w:hideMark/>
          </w:tcPr>
          <w:p w14:paraId="4C44A136"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Technological</w:t>
            </w:r>
          </w:p>
        </w:tc>
        <w:tc>
          <w:tcPr>
            <w:tcW w:w="1739" w:type="dxa"/>
          </w:tcPr>
          <w:p w14:paraId="7FE97353"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CNT</w:t>
            </w:r>
          </w:p>
        </w:tc>
        <w:tc>
          <w:tcPr>
            <w:tcW w:w="1703" w:type="dxa"/>
            <w:shd w:val="clear" w:color="auto" w:fill="auto"/>
            <w:noWrap/>
          </w:tcPr>
          <w:p w14:paraId="39FA27C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Conversion technology</w:t>
            </w:r>
          </w:p>
        </w:tc>
        <w:tc>
          <w:tcPr>
            <w:tcW w:w="8005" w:type="dxa"/>
            <w:shd w:val="clear" w:color="auto" w:fill="auto"/>
            <w:noWrap/>
          </w:tcPr>
          <w:p w14:paraId="4CD48AB4" w14:textId="77777777" w:rsidR="00C3000E" w:rsidRPr="003C6DBD" w:rsidRDefault="00C3000E" w:rsidP="003117FC">
            <w:pPr>
              <w:spacing w:line="480" w:lineRule="auto"/>
              <w:jc w:val="both"/>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"We may not be able to successfully develop and commercialize our technologies, which may require us to curtail or cease our research and development activities."</w:t>
            </w:r>
          </w:p>
        </w:tc>
      </w:tr>
      <w:tr w:rsidR="003C6DBD" w:rsidRPr="003C6DBD" w14:paraId="11640D06" w14:textId="77777777" w:rsidTr="00F803D8">
        <w:trPr>
          <w:trHeight w:val="286"/>
        </w:trPr>
        <w:tc>
          <w:tcPr>
            <w:tcW w:w="1589" w:type="dxa"/>
            <w:shd w:val="clear" w:color="auto" w:fill="auto"/>
            <w:noWrap/>
            <w:hideMark/>
          </w:tcPr>
          <w:p w14:paraId="1795A81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739" w:type="dxa"/>
          </w:tcPr>
          <w:p w14:paraId="635E707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FLC</w:t>
            </w:r>
          </w:p>
        </w:tc>
        <w:tc>
          <w:tcPr>
            <w:tcW w:w="1703" w:type="dxa"/>
            <w:shd w:val="clear" w:color="auto" w:fill="auto"/>
            <w:noWrap/>
            <w:hideMark/>
          </w:tcPr>
          <w:p w14:paraId="390C831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Fuel compatibility</w:t>
            </w:r>
          </w:p>
        </w:tc>
        <w:tc>
          <w:tcPr>
            <w:tcW w:w="8005" w:type="dxa"/>
            <w:shd w:val="clear" w:color="auto" w:fill="auto"/>
            <w:noWrap/>
            <w:hideMark/>
          </w:tcPr>
          <w:p w14:paraId="300D82EA"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“Demand for ethanol may not grow unless ethanol can be blended into gasoline in higher percentage blends for conventional automobiles.”</w:t>
            </w:r>
          </w:p>
        </w:tc>
      </w:tr>
      <w:tr w:rsidR="003C6DBD" w:rsidRPr="003C6DBD" w14:paraId="379851A7" w14:textId="77777777" w:rsidTr="007A05B7">
        <w:trPr>
          <w:trHeight w:val="286"/>
        </w:trPr>
        <w:tc>
          <w:tcPr>
            <w:tcW w:w="1589" w:type="dxa"/>
            <w:tcBorders>
              <w:bottom w:val="nil"/>
            </w:tcBorders>
            <w:shd w:val="clear" w:color="auto" w:fill="auto"/>
            <w:noWrap/>
          </w:tcPr>
          <w:p w14:paraId="465453A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739" w:type="dxa"/>
            <w:tcBorders>
              <w:bottom w:val="nil"/>
            </w:tcBorders>
          </w:tcPr>
          <w:p w14:paraId="2C192706"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INP</w:t>
            </w:r>
          </w:p>
        </w:tc>
        <w:tc>
          <w:tcPr>
            <w:tcW w:w="1703" w:type="dxa"/>
            <w:tcBorders>
              <w:bottom w:val="nil"/>
            </w:tcBorders>
            <w:shd w:val="clear" w:color="auto" w:fill="auto"/>
            <w:noWrap/>
          </w:tcPr>
          <w:p w14:paraId="5BFADB5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Intellectual property</w:t>
            </w:r>
          </w:p>
        </w:tc>
        <w:tc>
          <w:tcPr>
            <w:tcW w:w="8005" w:type="dxa"/>
            <w:tcBorders>
              <w:bottom w:val="nil"/>
            </w:tcBorders>
            <w:shd w:val="clear" w:color="auto" w:fill="auto"/>
            <w:noWrap/>
          </w:tcPr>
          <w:p w14:paraId="41BE2B84"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"We may be unable to protect our intellectual property."</w:t>
            </w:r>
          </w:p>
        </w:tc>
      </w:tr>
      <w:tr w:rsidR="00F803D8" w:rsidRPr="003C6DBD" w14:paraId="281D56BA" w14:textId="77777777" w:rsidTr="007A05B7">
        <w:trPr>
          <w:trHeight w:val="286"/>
        </w:trPr>
        <w:tc>
          <w:tcPr>
            <w:tcW w:w="13036" w:type="dxa"/>
            <w:gridSpan w:val="4"/>
            <w:tcBorders>
              <w:top w:val="nil"/>
              <w:bottom w:val="single" w:sz="4" w:space="0" w:color="auto"/>
            </w:tcBorders>
            <w:shd w:val="clear" w:color="auto" w:fill="auto"/>
            <w:noWrap/>
          </w:tcPr>
          <w:p w14:paraId="326A03B7" w14:textId="77777777" w:rsidR="00F803D8" w:rsidRPr="003C6DBD" w:rsidRDefault="00F803D8" w:rsidP="00F16FF6">
            <w:pPr>
              <w:spacing w:after="0" w:line="480" w:lineRule="auto"/>
              <w:rPr>
                <w:rFonts w:ascii="Times New Roman" w:eastAsia="Times New Roman" w:hAnsi="Times New Roman" w:cs="Times New Roman"/>
                <w:i/>
                <w:iCs/>
                <w:color w:val="0D0D0D" w:themeColor="text1" w:themeTint="F2"/>
                <w:sz w:val="24"/>
                <w:szCs w:val="24"/>
              </w:rPr>
            </w:pPr>
            <w:r>
              <w:rPr>
                <w:rFonts w:ascii="Times New Roman" w:eastAsia="Times New Roman" w:hAnsi="Times New Roman" w:cs="Times New Roman"/>
                <w:color w:val="0D0D0D" w:themeColor="text1" w:themeTint="F2"/>
                <w:sz w:val="24"/>
                <w:szCs w:val="24"/>
              </w:rPr>
              <w:lastRenderedPageBreak/>
              <w:t>Table 6 continued</w:t>
            </w:r>
          </w:p>
        </w:tc>
      </w:tr>
      <w:tr w:rsidR="003C6DBD" w:rsidRPr="003C6DBD" w14:paraId="5BBFD2E3" w14:textId="77777777" w:rsidTr="00F803D8">
        <w:trPr>
          <w:trHeight w:val="286"/>
        </w:trPr>
        <w:tc>
          <w:tcPr>
            <w:tcW w:w="1589" w:type="dxa"/>
            <w:shd w:val="clear" w:color="auto" w:fill="auto"/>
            <w:noWrap/>
          </w:tcPr>
          <w:p w14:paraId="6981405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739" w:type="dxa"/>
          </w:tcPr>
          <w:p w14:paraId="1E8D5CA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CYS</w:t>
            </w:r>
          </w:p>
        </w:tc>
        <w:tc>
          <w:tcPr>
            <w:tcW w:w="1703" w:type="dxa"/>
            <w:shd w:val="clear" w:color="auto" w:fill="auto"/>
            <w:noWrap/>
          </w:tcPr>
          <w:p w14:paraId="3028953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Cybersecurity</w:t>
            </w:r>
          </w:p>
        </w:tc>
        <w:tc>
          <w:tcPr>
            <w:tcW w:w="8005" w:type="dxa"/>
            <w:shd w:val="clear" w:color="auto" w:fill="auto"/>
            <w:noWrap/>
          </w:tcPr>
          <w:p w14:paraId="1FF02B74"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"Our information technology systems, processes, and sites may suffer interruptions, security breaches or failures that may adversely affect our ability to conduct our business."</w:t>
            </w:r>
          </w:p>
        </w:tc>
      </w:tr>
      <w:tr w:rsidR="003C6DBD" w:rsidRPr="003C6DBD" w14:paraId="393FC97B" w14:textId="77777777" w:rsidTr="00F803D8">
        <w:trPr>
          <w:trHeight w:val="286"/>
        </w:trPr>
        <w:tc>
          <w:tcPr>
            <w:tcW w:w="1589" w:type="dxa"/>
            <w:shd w:val="clear" w:color="auto" w:fill="auto"/>
            <w:noWrap/>
          </w:tcPr>
          <w:p w14:paraId="690A2ED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Primary Activities</w:t>
            </w:r>
          </w:p>
        </w:tc>
        <w:tc>
          <w:tcPr>
            <w:tcW w:w="1739" w:type="dxa"/>
          </w:tcPr>
          <w:p w14:paraId="46B31EC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FTD</w:t>
            </w:r>
          </w:p>
        </w:tc>
        <w:tc>
          <w:tcPr>
            <w:tcW w:w="1703" w:type="dxa"/>
            <w:shd w:val="clear" w:color="auto" w:fill="auto"/>
            <w:noWrap/>
          </w:tcPr>
          <w:p w14:paraId="60AFC49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Facilities development</w:t>
            </w:r>
          </w:p>
        </w:tc>
        <w:tc>
          <w:tcPr>
            <w:tcW w:w="8005" w:type="dxa"/>
            <w:shd w:val="clear" w:color="auto" w:fill="auto"/>
            <w:noWrap/>
          </w:tcPr>
          <w:p w14:paraId="521636C3"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 xml:space="preserve">“We may not be able to recover the costs of our substantial investments in capital improvements and additions, and the actual cost of such improvements and additions may be significantly higher than we anticipate.” </w:t>
            </w:r>
          </w:p>
        </w:tc>
      </w:tr>
      <w:tr w:rsidR="003C6DBD" w:rsidRPr="003C6DBD" w14:paraId="038ED020" w14:textId="77777777" w:rsidTr="00F803D8">
        <w:trPr>
          <w:trHeight w:val="286"/>
        </w:trPr>
        <w:tc>
          <w:tcPr>
            <w:tcW w:w="1589" w:type="dxa"/>
            <w:shd w:val="clear" w:color="auto" w:fill="auto"/>
            <w:noWrap/>
            <w:hideMark/>
          </w:tcPr>
          <w:p w14:paraId="5F214A13"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739" w:type="dxa"/>
          </w:tcPr>
          <w:p w14:paraId="1B23A54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w:t>
            </w:r>
          </w:p>
        </w:tc>
        <w:tc>
          <w:tcPr>
            <w:tcW w:w="1703" w:type="dxa"/>
            <w:shd w:val="clear" w:color="auto" w:fill="auto"/>
            <w:noWrap/>
          </w:tcPr>
          <w:p w14:paraId="4189521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Profitable operations</w:t>
            </w:r>
          </w:p>
        </w:tc>
        <w:tc>
          <w:tcPr>
            <w:tcW w:w="8005" w:type="dxa"/>
            <w:shd w:val="clear" w:color="auto" w:fill="auto"/>
            <w:noWrap/>
          </w:tcPr>
          <w:p w14:paraId="4C2005E4"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"We are currently not profitable and historically, we have incurred significant losses. If we incur continued losses, we may have to curtail our operations, which may prevent us from successfully operating and expanding our business."</w:t>
            </w:r>
          </w:p>
        </w:tc>
      </w:tr>
      <w:tr w:rsidR="003C6DBD" w:rsidRPr="003C6DBD" w14:paraId="4531C0FA" w14:textId="77777777" w:rsidTr="00F803D8">
        <w:trPr>
          <w:trHeight w:val="286"/>
        </w:trPr>
        <w:tc>
          <w:tcPr>
            <w:tcW w:w="1589" w:type="dxa"/>
            <w:shd w:val="clear" w:color="auto" w:fill="auto"/>
            <w:noWrap/>
            <w:hideMark/>
          </w:tcPr>
          <w:p w14:paraId="18D31C5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Support Activities</w:t>
            </w:r>
          </w:p>
        </w:tc>
        <w:tc>
          <w:tcPr>
            <w:tcW w:w="1739" w:type="dxa"/>
          </w:tcPr>
          <w:p w14:paraId="75F3F33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GNM</w:t>
            </w:r>
          </w:p>
        </w:tc>
        <w:tc>
          <w:tcPr>
            <w:tcW w:w="1703" w:type="dxa"/>
            <w:shd w:val="clear" w:color="auto" w:fill="auto"/>
            <w:noWrap/>
          </w:tcPr>
          <w:p w14:paraId="2AC6D0F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General management</w:t>
            </w:r>
          </w:p>
        </w:tc>
        <w:tc>
          <w:tcPr>
            <w:tcW w:w="8005" w:type="dxa"/>
            <w:shd w:val="clear" w:color="auto" w:fill="auto"/>
            <w:noWrap/>
          </w:tcPr>
          <w:p w14:paraId="284A4B26"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"Our Chief Executive Officer has outside business interests that could require time and attention."</w:t>
            </w:r>
          </w:p>
        </w:tc>
      </w:tr>
      <w:tr w:rsidR="003C6DBD" w:rsidRPr="003C6DBD" w14:paraId="22E404D4" w14:textId="77777777" w:rsidTr="00F803D8">
        <w:trPr>
          <w:trHeight w:val="286"/>
        </w:trPr>
        <w:tc>
          <w:tcPr>
            <w:tcW w:w="1589" w:type="dxa"/>
            <w:shd w:val="clear" w:color="auto" w:fill="auto"/>
            <w:noWrap/>
          </w:tcPr>
          <w:p w14:paraId="20C51E4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739" w:type="dxa"/>
          </w:tcPr>
          <w:p w14:paraId="45281D8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RKM</w:t>
            </w:r>
          </w:p>
        </w:tc>
        <w:tc>
          <w:tcPr>
            <w:tcW w:w="1703" w:type="dxa"/>
            <w:shd w:val="clear" w:color="auto" w:fill="auto"/>
            <w:noWrap/>
          </w:tcPr>
          <w:p w14:paraId="2F01AEA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Risk management</w:t>
            </w:r>
          </w:p>
        </w:tc>
        <w:tc>
          <w:tcPr>
            <w:tcW w:w="8005" w:type="dxa"/>
            <w:shd w:val="clear" w:color="auto" w:fill="auto"/>
            <w:noWrap/>
          </w:tcPr>
          <w:p w14:paraId="6E969BCD"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"We may be subject to liabilities and losses that may not be covered by insurance."</w:t>
            </w:r>
          </w:p>
        </w:tc>
      </w:tr>
      <w:tr w:rsidR="00D21393" w:rsidRPr="003C6DBD" w14:paraId="0C230518" w14:textId="77777777" w:rsidTr="007A05B7">
        <w:trPr>
          <w:trHeight w:val="286"/>
        </w:trPr>
        <w:tc>
          <w:tcPr>
            <w:tcW w:w="1589" w:type="dxa"/>
            <w:tcBorders>
              <w:bottom w:val="nil"/>
            </w:tcBorders>
            <w:shd w:val="clear" w:color="auto" w:fill="auto"/>
            <w:noWrap/>
          </w:tcPr>
          <w:p w14:paraId="209A0E83"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739" w:type="dxa"/>
            <w:tcBorders>
              <w:bottom w:val="nil"/>
            </w:tcBorders>
          </w:tcPr>
          <w:p w14:paraId="512B74B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FIN</w:t>
            </w:r>
          </w:p>
        </w:tc>
        <w:tc>
          <w:tcPr>
            <w:tcW w:w="1703" w:type="dxa"/>
            <w:tcBorders>
              <w:bottom w:val="nil"/>
            </w:tcBorders>
            <w:shd w:val="clear" w:color="auto" w:fill="auto"/>
            <w:noWrap/>
          </w:tcPr>
          <w:p w14:paraId="0B2A0C2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Financing</w:t>
            </w:r>
          </w:p>
        </w:tc>
        <w:tc>
          <w:tcPr>
            <w:tcW w:w="8005" w:type="dxa"/>
            <w:tcBorders>
              <w:bottom w:val="nil"/>
            </w:tcBorders>
            <w:shd w:val="clear" w:color="auto" w:fill="auto"/>
            <w:noWrap/>
          </w:tcPr>
          <w:p w14:paraId="6721861D"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"Our business is dependent on external financing and cash from operations to service debt and provide future growth."</w:t>
            </w:r>
          </w:p>
        </w:tc>
      </w:tr>
      <w:tr w:rsidR="00F803D8" w:rsidRPr="003C6DBD" w14:paraId="54C1F5E1" w14:textId="77777777" w:rsidTr="007A05B7">
        <w:trPr>
          <w:trHeight w:val="286"/>
        </w:trPr>
        <w:tc>
          <w:tcPr>
            <w:tcW w:w="13036" w:type="dxa"/>
            <w:gridSpan w:val="4"/>
            <w:tcBorders>
              <w:top w:val="nil"/>
              <w:bottom w:val="single" w:sz="4" w:space="0" w:color="auto"/>
            </w:tcBorders>
            <w:shd w:val="clear" w:color="auto" w:fill="auto"/>
            <w:noWrap/>
          </w:tcPr>
          <w:p w14:paraId="0894EFD8" w14:textId="77777777" w:rsidR="00F803D8" w:rsidRPr="003C6DBD" w:rsidRDefault="00F803D8" w:rsidP="00F16FF6">
            <w:pPr>
              <w:spacing w:after="0" w:line="480" w:lineRule="auto"/>
              <w:rPr>
                <w:rFonts w:ascii="Times New Roman" w:eastAsia="Times New Roman" w:hAnsi="Times New Roman" w:cs="Times New Roman"/>
                <w:i/>
                <w:iCs/>
                <w:color w:val="0D0D0D" w:themeColor="text1" w:themeTint="F2"/>
                <w:sz w:val="24"/>
                <w:szCs w:val="24"/>
              </w:rPr>
            </w:pPr>
            <w:r>
              <w:rPr>
                <w:rFonts w:ascii="Times New Roman" w:eastAsia="Times New Roman" w:hAnsi="Times New Roman" w:cs="Times New Roman"/>
                <w:color w:val="0D0D0D" w:themeColor="text1" w:themeTint="F2"/>
                <w:sz w:val="24"/>
                <w:szCs w:val="24"/>
              </w:rPr>
              <w:lastRenderedPageBreak/>
              <w:t>Table 6 continued</w:t>
            </w:r>
          </w:p>
        </w:tc>
      </w:tr>
      <w:tr w:rsidR="00D21393" w:rsidRPr="003C6DBD" w14:paraId="2B6DFDC7" w14:textId="77777777" w:rsidTr="00F803D8">
        <w:trPr>
          <w:trHeight w:val="286"/>
        </w:trPr>
        <w:tc>
          <w:tcPr>
            <w:tcW w:w="1589" w:type="dxa"/>
            <w:shd w:val="clear" w:color="auto" w:fill="auto"/>
            <w:noWrap/>
            <w:hideMark/>
          </w:tcPr>
          <w:p w14:paraId="3687152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739" w:type="dxa"/>
          </w:tcPr>
          <w:p w14:paraId="774446A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CON</w:t>
            </w:r>
          </w:p>
        </w:tc>
        <w:tc>
          <w:tcPr>
            <w:tcW w:w="1703" w:type="dxa"/>
            <w:shd w:val="clear" w:color="auto" w:fill="auto"/>
            <w:noWrap/>
          </w:tcPr>
          <w:p w14:paraId="115820D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Contracting</w:t>
            </w:r>
          </w:p>
        </w:tc>
        <w:tc>
          <w:tcPr>
            <w:tcW w:w="8005" w:type="dxa"/>
            <w:shd w:val="clear" w:color="auto" w:fill="auto"/>
            <w:noWrap/>
          </w:tcPr>
          <w:p w14:paraId="7CF05807"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 xml:space="preserve">“We have entered into agriculture partnership agreements in respect of a significant portion of our sugarcane plantations.”  </w:t>
            </w:r>
          </w:p>
        </w:tc>
      </w:tr>
      <w:tr w:rsidR="00F803D8" w:rsidRPr="003C6DBD" w14:paraId="0565308A" w14:textId="77777777" w:rsidTr="00F803D8">
        <w:trPr>
          <w:trHeight w:val="286"/>
        </w:trPr>
        <w:tc>
          <w:tcPr>
            <w:tcW w:w="1589" w:type="dxa"/>
            <w:shd w:val="clear" w:color="auto" w:fill="auto"/>
            <w:noWrap/>
            <w:hideMark/>
          </w:tcPr>
          <w:p w14:paraId="35AD913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739" w:type="dxa"/>
          </w:tcPr>
          <w:p w14:paraId="5EA991B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MNA</w:t>
            </w:r>
          </w:p>
        </w:tc>
        <w:tc>
          <w:tcPr>
            <w:tcW w:w="1703" w:type="dxa"/>
            <w:shd w:val="clear" w:color="auto" w:fill="auto"/>
            <w:noWrap/>
          </w:tcPr>
          <w:p w14:paraId="2A493C4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Mergers and acquisitions</w:t>
            </w:r>
          </w:p>
          <w:p w14:paraId="56996AB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8005" w:type="dxa"/>
            <w:shd w:val="clear" w:color="auto" w:fill="auto"/>
            <w:noWrap/>
          </w:tcPr>
          <w:p w14:paraId="569FFE44"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r w:rsidRPr="003C6DBD">
              <w:rPr>
                <w:rFonts w:ascii="Times New Roman" w:eastAsia="Times New Roman" w:hAnsi="Times New Roman" w:cs="Times New Roman"/>
                <w:i/>
                <w:iCs/>
                <w:color w:val="0D0D0D" w:themeColor="text1" w:themeTint="F2"/>
                <w:sz w:val="24"/>
                <w:szCs w:val="24"/>
              </w:rPr>
              <w:t>"Our mergers, acquisitions, partnerships, and joint ventures may not be as beneficial as we anticipate."</w:t>
            </w:r>
          </w:p>
          <w:p w14:paraId="52EA6658" w14:textId="77777777" w:rsidR="00C3000E" w:rsidRPr="003C6DBD" w:rsidRDefault="00C3000E" w:rsidP="003117FC">
            <w:pPr>
              <w:spacing w:after="0" w:line="480" w:lineRule="auto"/>
              <w:rPr>
                <w:rFonts w:ascii="Times New Roman" w:eastAsia="Times New Roman" w:hAnsi="Times New Roman" w:cs="Times New Roman"/>
                <w:i/>
                <w:iCs/>
                <w:color w:val="0D0D0D" w:themeColor="text1" w:themeTint="F2"/>
                <w:sz w:val="24"/>
                <w:szCs w:val="24"/>
              </w:rPr>
            </w:pPr>
          </w:p>
        </w:tc>
      </w:tr>
    </w:tbl>
    <w:p w14:paraId="1603C732" w14:textId="77777777" w:rsidR="00C3000E" w:rsidRPr="003C6DBD" w:rsidRDefault="00C3000E" w:rsidP="00C3000E">
      <w:pPr>
        <w:pStyle w:val="Heading3"/>
        <w:spacing w:line="480" w:lineRule="auto"/>
        <w:rPr>
          <w:rFonts w:cs="Times New Roman"/>
          <w:color w:val="0D0D0D" w:themeColor="text1" w:themeTint="F2"/>
          <w:szCs w:val="24"/>
        </w:rPr>
        <w:sectPr w:rsidR="00C3000E" w:rsidRPr="003C6DBD" w:rsidSect="003F384F">
          <w:type w:val="nextColumn"/>
          <w:pgSz w:w="15840" w:h="12240" w:orient="landscape"/>
          <w:pgMar w:top="1440" w:right="1440" w:bottom="1440" w:left="1440" w:header="720" w:footer="720" w:gutter="0"/>
          <w:cols w:space="720"/>
          <w:docGrid w:linePitch="360"/>
        </w:sectPr>
      </w:pPr>
    </w:p>
    <w:p w14:paraId="29FD9152" w14:textId="5222A8C5" w:rsidR="00C3000E" w:rsidRPr="003C6DBD" w:rsidRDefault="00C3000E" w:rsidP="00154E66">
      <w:pPr>
        <w:pStyle w:val="Caption"/>
        <w:keepNext/>
        <w:spacing w:line="480" w:lineRule="auto"/>
        <w:rPr>
          <w:rFonts w:ascii="Times New Roman" w:hAnsi="Times New Roman" w:cs="Times New Roman"/>
          <w:color w:val="0D0D0D" w:themeColor="text1" w:themeTint="F2"/>
          <w:sz w:val="24"/>
          <w:szCs w:val="24"/>
        </w:rPr>
      </w:pPr>
      <w:bookmarkStart w:id="60" w:name="_Toc132671821"/>
      <w:r w:rsidRPr="003C6DBD">
        <w:rPr>
          <w:rFonts w:ascii="Times New Roman" w:hAnsi="Times New Roman" w:cs="Times New Roman"/>
          <w:color w:val="0D0D0D" w:themeColor="text1" w:themeTint="F2"/>
          <w:sz w:val="24"/>
          <w:szCs w:val="24"/>
        </w:rPr>
        <w:lastRenderedPageBreak/>
        <w:t xml:space="preserve">Table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Table \* ARABIC </w:instrText>
      </w:r>
      <w:r w:rsidRPr="003C6DBD">
        <w:rPr>
          <w:rFonts w:ascii="Times New Roman" w:hAnsi="Times New Roman" w:cs="Times New Roman"/>
          <w:color w:val="0D0D0D" w:themeColor="text1" w:themeTint="F2"/>
          <w:sz w:val="24"/>
          <w:szCs w:val="24"/>
        </w:rPr>
        <w:fldChar w:fldCharType="separate"/>
      </w:r>
      <w:r w:rsidR="00154E66" w:rsidRPr="003C6DBD">
        <w:rPr>
          <w:rFonts w:ascii="Times New Roman" w:hAnsi="Times New Roman" w:cs="Times New Roman"/>
          <w:noProof/>
          <w:color w:val="0D0D0D" w:themeColor="text1" w:themeTint="F2"/>
          <w:sz w:val="24"/>
          <w:szCs w:val="24"/>
        </w:rPr>
        <w:t>7</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Example of assigning and normalizing significance scores for the risks reported by a company.</w:t>
      </w:r>
      <w:bookmarkEnd w:id="6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D21393" w:rsidRPr="003C6DBD" w14:paraId="2AF342D8" w14:textId="77777777" w:rsidTr="003117FC">
        <w:trPr>
          <w:trHeight w:val="50"/>
        </w:trPr>
        <w:tc>
          <w:tcPr>
            <w:tcW w:w="3116" w:type="dxa"/>
            <w:tcBorders>
              <w:top w:val="single" w:sz="4" w:space="0" w:color="auto"/>
            </w:tcBorders>
          </w:tcPr>
          <w:p w14:paraId="7FBCCD8D" w14:textId="77777777" w:rsidR="00C3000E" w:rsidRPr="003C6DBD" w:rsidRDefault="00C3000E" w:rsidP="00154E66">
            <w:pPr>
              <w:spacing w:line="480" w:lineRule="auto"/>
              <w:rPr>
                <w:rFonts w:ascii="Times New Roman" w:hAnsi="Times New Roman" w:cs="Times New Roman"/>
                <w:b/>
                <w:bCs/>
                <w:color w:val="0D0D0D" w:themeColor="text1" w:themeTint="F2"/>
                <w:sz w:val="24"/>
                <w:szCs w:val="24"/>
              </w:rPr>
            </w:pPr>
            <w:r w:rsidRPr="003C6DBD">
              <w:rPr>
                <w:rFonts w:ascii="Times New Roman" w:hAnsi="Times New Roman" w:cs="Times New Roman"/>
                <w:b/>
                <w:bCs/>
                <w:color w:val="0D0D0D" w:themeColor="text1" w:themeTint="F2"/>
                <w:sz w:val="24"/>
                <w:szCs w:val="24"/>
              </w:rPr>
              <w:t>Risks</w:t>
            </w:r>
          </w:p>
        </w:tc>
        <w:tc>
          <w:tcPr>
            <w:tcW w:w="6234" w:type="dxa"/>
            <w:gridSpan w:val="2"/>
            <w:tcBorders>
              <w:top w:val="single" w:sz="4" w:space="0" w:color="auto"/>
            </w:tcBorders>
          </w:tcPr>
          <w:p w14:paraId="0926A777" w14:textId="77777777" w:rsidR="00C3000E" w:rsidRPr="003C6DBD" w:rsidRDefault="00C3000E" w:rsidP="00154E66">
            <w:pPr>
              <w:spacing w:line="480" w:lineRule="auto"/>
              <w:rPr>
                <w:rFonts w:ascii="Times New Roman" w:hAnsi="Times New Roman" w:cs="Times New Roman"/>
                <w:b/>
                <w:bCs/>
                <w:color w:val="0D0D0D" w:themeColor="text1" w:themeTint="F2"/>
                <w:sz w:val="24"/>
                <w:szCs w:val="24"/>
              </w:rPr>
            </w:pPr>
            <w:r w:rsidRPr="003C6DBD">
              <w:rPr>
                <w:rFonts w:ascii="Times New Roman" w:hAnsi="Times New Roman" w:cs="Times New Roman"/>
                <w:b/>
                <w:bCs/>
                <w:color w:val="0D0D0D" w:themeColor="text1" w:themeTint="F2"/>
                <w:sz w:val="24"/>
                <w:szCs w:val="24"/>
              </w:rPr>
              <w:t>Assigned significance scores</w:t>
            </w:r>
          </w:p>
        </w:tc>
      </w:tr>
      <w:tr w:rsidR="00D21393" w:rsidRPr="003C6DBD" w14:paraId="0EB94902" w14:textId="77777777" w:rsidTr="003117FC">
        <w:tc>
          <w:tcPr>
            <w:tcW w:w="3116" w:type="dxa"/>
            <w:tcBorders>
              <w:bottom w:val="single" w:sz="4" w:space="0" w:color="auto"/>
            </w:tcBorders>
          </w:tcPr>
          <w:p w14:paraId="51581E4D" w14:textId="77777777" w:rsidR="00C3000E" w:rsidRPr="003C6DBD" w:rsidRDefault="00C3000E" w:rsidP="00154E66">
            <w:pPr>
              <w:spacing w:line="480" w:lineRule="auto"/>
              <w:rPr>
                <w:rFonts w:ascii="Times New Roman" w:hAnsi="Times New Roman" w:cs="Times New Roman"/>
                <w:b/>
                <w:bCs/>
                <w:color w:val="0D0D0D" w:themeColor="text1" w:themeTint="F2"/>
                <w:sz w:val="24"/>
                <w:szCs w:val="24"/>
              </w:rPr>
            </w:pPr>
          </w:p>
        </w:tc>
        <w:tc>
          <w:tcPr>
            <w:tcW w:w="3117" w:type="dxa"/>
            <w:tcBorders>
              <w:bottom w:val="single" w:sz="4" w:space="0" w:color="auto"/>
            </w:tcBorders>
          </w:tcPr>
          <w:p w14:paraId="3C8F54E7" w14:textId="77777777" w:rsidR="00C3000E" w:rsidRPr="003C6DBD" w:rsidRDefault="00C3000E" w:rsidP="00154E66">
            <w:pPr>
              <w:spacing w:line="480" w:lineRule="auto"/>
              <w:rPr>
                <w:rFonts w:ascii="Times New Roman" w:hAnsi="Times New Roman" w:cs="Times New Roman"/>
                <w:b/>
                <w:bCs/>
                <w:color w:val="0D0D0D" w:themeColor="text1" w:themeTint="F2"/>
                <w:sz w:val="24"/>
                <w:szCs w:val="24"/>
              </w:rPr>
            </w:pPr>
          </w:p>
        </w:tc>
        <w:tc>
          <w:tcPr>
            <w:tcW w:w="3117" w:type="dxa"/>
            <w:tcBorders>
              <w:bottom w:val="single" w:sz="4" w:space="0" w:color="auto"/>
            </w:tcBorders>
          </w:tcPr>
          <w:p w14:paraId="61B8EF18" w14:textId="77777777" w:rsidR="00C3000E" w:rsidRPr="003C6DBD" w:rsidRDefault="00C3000E" w:rsidP="00154E66">
            <w:pPr>
              <w:spacing w:line="480" w:lineRule="auto"/>
              <w:rPr>
                <w:rFonts w:ascii="Times New Roman" w:hAnsi="Times New Roman" w:cs="Times New Roman"/>
                <w:b/>
                <w:bCs/>
                <w:color w:val="0D0D0D" w:themeColor="text1" w:themeTint="F2"/>
                <w:sz w:val="24"/>
                <w:szCs w:val="24"/>
              </w:rPr>
            </w:pPr>
            <w:r w:rsidRPr="003C6DBD">
              <w:rPr>
                <w:rFonts w:ascii="Times New Roman" w:hAnsi="Times New Roman" w:cs="Times New Roman"/>
                <w:b/>
                <w:bCs/>
                <w:color w:val="0D0D0D" w:themeColor="text1" w:themeTint="F2"/>
                <w:sz w:val="24"/>
                <w:szCs w:val="24"/>
              </w:rPr>
              <w:t>Normalized scores</w:t>
            </w:r>
          </w:p>
        </w:tc>
      </w:tr>
      <w:tr w:rsidR="00D21393" w:rsidRPr="003C6DBD" w14:paraId="42DC344A" w14:textId="77777777" w:rsidTr="003117FC">
        <w:tc>
          <w:tcPr>
            <w:tcW w:w="3116" w:type="dxa"/>
            <w:tcBorders>
              <w:top w:val="single" w:sz="4" w:space="0" w:color="auto"/>
            </w:tcBorders>
          </w:tcPr>
          <w:p w14:paraId="75328AAB" w14:textId="77777777" w:rsidR="00C3000E" w:rsidRPr="003C6DBD" w:rsidRDefault="00C3000E" w:rsidP="00154E66">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w:t>
            </w:r>
          </w:p>
        </w:tc>
        <w:tc>
          <w:tcPr>
            <w:tcW w:w="3117" w:type="dxa"/>
            <w:tcBorders>
              <w:top w:val="single" w:sz="4" w:space="0" w:color="auto"/>
            </w:tcBorders>
          </w:tcPr>
          <w:p w14:paraId="2EFEC420" w14:textId="77777777" w:rsidR="00C3000E" w:rsidRPr="003C6DBD" w:rsidRDefault="00C3000E" w:rsidP="00154E66">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4</w:t>
            </w:r>
          </w:p>
        </w:tc>
        <w:tc>
          <w:tcPr>
            <w:tcW w:w="3117" w:type="dxa"/>
            <w:tcBorders>
              <w:top w:val="single" w:sz="4" w:space="0" w:color="auto"/>
            </w:tcBorders>
          </w:tcPr>
          <w:p w14:paraId="7EB6B8CB" w14:textId="77777777" w:rsidR="00C3000E" w:rsidRPr="003C6DBD" w:rsidRDefault="00C3000E" w:rsidP="00154E66">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0.4</w:t>
            </w:r>
          </w:p>
        </w:tc>
      </w:tr>
      <w:tr w:rsidR="00D21393" w:rsidRPr="003C6DBD" w14:paraId="32A7595F" w14:textId="77777777" w:rsidTr="003117FC">
        <w:tc>
          <w:tcPr>
            <w:tcW w:w="3116" w:type="dxa"/>
          </w:tcPr>
          <w:p w14:paraId="14CECE22" w14:textId="77777777" w:rsidR="00C3000E" w:rsidRPr="003C6DBD" w:rsidRDefault="00C3000E" w:rsidP="00154E66">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B</w:t>
            </w:r>
          </w:p>
        </w:tc>
        <w:tc>
          <w:tcPr>
            <w:tcW w:w="3117" w:type="dxa"/>
          </w:tcPr>
          <w:p w14:paraId="5CC69A42" w14:textId="77777777" w:rsidR="00C3000E" w:rsidRPr="003C6DBD" w:rsidRDefault="00C3000E" w:rsidP="00154E66">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w:t>
            </w:r>
          </w:p>
        </w:tc>
        <w:tc>
          <w:tcPr>
            <w:tcW w:w="3117" w:type="dxa"/>
          </w:tcPr>
          <w:p w14:paraId="4A18C0C0" w14:textId="77777777" w:rsidR="00C3000E" w:rsidRPr="003C6DBD" w:rsidRDefault="00C3000E" w:rsidP="00154E66">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0.3</w:t>
            </w:r>
          </w:p>
        </w:tc>
      </w:tr>
      <w:tr w:rsidR="00D21393" w:rsidRPr="003C6DBD" w14:paraId="12A9465A" w14:textId="77777777" w:rsidTr="003117FC">
        <w:tc>
          <w:tcPr>
            <w:tcW w:w="3116" w:type="dxa"/>
          </w:tcPr>
          <w:p w14:paraId="591C6043" w14:textId="77777777" w:rsidR="00C3000E" w:rsidRPr="003C6DBD" w:rsidRDefault="00C3000E" w:rsidP="00154E66">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C</w:t>
            </w:r>
          </w:p>
        </w:tc>
        <w:tc>
          <w:tcPr>
            <w:tcW w:w="3117" w:type="dxa"/>
          </w:tcPr>
          <w:p w14:paraId="30A5C082" w14:textId="77777777" w:rsidR="00C3000E" w:rsidRPr="003C6DBD" w:rsidRDefault="00C3000E" w:rsidP="00154E66">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w:t>
            </w:r>
          </w:p>
        </w:tc>
        <w:tc>
          <w:tcPr>
            <w:tcW w:w="3117" w:type="dxa"/>
          </w:tcPr>
          <w:p w14:paraId="61D710B8" w14:textId="77777777" w:rsidR="00C3000E" w:rsidRPr="003C6DBD" w:rsidRDefault="00C3000E" w:rsidP="00154E66">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0.2</w:t>
            </w:r>
          </w:p>
        </w:tc>
      </w:tr>
      <w:tr w:rsidR="00D21393" w:rsidRPr="003C6DBD" w14:paraId="2055E02D" w14:textId="77777777" w:rsidTr="003117FC">
        <w:tc>
          <w:tcPr>
            <w:tcW w:w="3116" w:type="dxa"/>
            <w:tcBorders>
              <w:bottom w:val="single" w:sz="4" w:space="0" w:color="auto"/>
            </w:tcBorders>
          </w:tcPr>
          <w:p w14:paraId="02FCA691" w14:textId="77777777" w:rsidR="00C3000E" w:rsidRPr="003C6DBD" w:rsidRDefault="00C3000E" w:rsidP="00154E66">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D</w:t>
            </w:r>
          </w:p>
        </w:tc>
        <w:tc>
          <w:tcPr>
            <w:tcW w:w="3117" w:type="dxa"/>
            <w:tcBorders>
              <w:bottom w:val="single" w:sz="4" w:space="0" w:color="auto"/>
            </w:tcBorders>
          </w:tcPr>
          <w:p w14:paraId="318EC12C" w14:textId="77777777" w:rsidR="00C3000E" w:rsidRPr="003C6DBD" w:rsidRDefault="00C3000E" w:rsidP="00154E66">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w:t>
            </w:r>
          </w:p>
        </w:tc>
        <w:tc>
          <w:tcPr>
            <w:tcW w:w="3117" w:type="dxa"/>
            <w:tcBorders>
              <w:bottom w:val="single" w:sz="4" w:space="0" w:color="auto"/>
            </w:tcBorders>
          </w:tcPr>
          <w:p w14:paraId="4C958D2D" w14:textId="77777777" w:rsidR="00C3000E" w:rsidRPr="003C6DBD" w:rsidRDefault="00C3000E" w:rsidP="00154E66">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w:t>
            </w:r>
          </w:p>
        </w:tc>
      </w:tr>
      <w:tr w:rsidR="00C3000E" w:rsidRPr="003C6DBD" w14:paraId="7936A8AE" w14:textId="77777777" w:rsidTr="003117FC">
        <w:tc>
          <w:tcPr>
            <w:tcW w:w="3116" w:type="dxa"/>
            <w:tcBorders>
              <w:top w:val="single" w:sz="4" w:space="0" w:color="auto"/>
              <w:bottom w:val="single" w:sz="4" w:space="0" w:color="auto"/>
            </w:tcBorders>
          </w:tcPr>
          <w:p w14:paraId="1985D63F" w14:textId="77777777" w:rsidR="00C3000E" w:rsidRPr="003C6DBD" w:rsidRDefault="00C3000E" w:rsidP="00154E66">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Sum</w:t>
            </w:r>
          </w:p>
        </w:tc>
        <w:tc>
          <w:tcPr>
            <w:tcW w:w="3117" w:type="dxa"/>
            <w:tcBorders>
              <w:top w:val="single" w:sz="4" w:space="0" w:color="auto"/>
              <w:bottom w:val="single" w:sz="4" w:space="0" w:color="auto"/>
            </w:tcBorders>
          </w:tcPr>
          <w:p w14:paraId="3E78F5B2" w14:textId="77777777" w:rsidR="00C3000E" w:rsidRPr="003C6DBD" w:rsidRDefault="00C3000E" w:rsidP="00154E66">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10</w:t>
            </w:r>
          </w:p>
        </w:tc>
        <w:tc>
          <w:tcPr>
            <w:tcW w:w="3117" w:type="dxa"/>
            <w:tcBorders>
              <w:top w:val="single" w:sz="4" w:space="0" w:color="auto"/>
              <w:bottom w:val="single" w:sz="4" w:space="0" w:color="auto"/>
            </w:tcBorders>
          </w:tcPr>
          <w:p w14:paraId="41767A17" w14:textId="77777777" w:rsidR="00C3000E" w:rsidRPr="003C6DBD" w:rsidRDefault="00C3000E" w:rsidP="00154E66">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1.0</w:t>
            </w:r>
          </w:p>
        </w:tc>
      </w:tr>
    </w:tbl>
    <w:p w14:paraId="40F223BB" w14:textId="77777777" w:rsidR="00C3000E" w:rsidRPr="003C6DBD" w:rsidRDefault="00C3000E" w:rsidP="00154E66">
      <w:pPr>
        <w:pStyle w:val="Caption"/>
        <w:keepNext/>
        <w:spacing w:line="480" w:lineRule="auto"/>
        <w:rPr>
          <w:rFonts w:ascii="Times New Roman" w:hAnsi="Times New Roman" w:cs="Times New Roman"/>
          <w:color w:val="0D0D0D" w:themeColor="text1" w:themeTint="F2"/>
          <w:sz w:val="24"/>
          <w:szCs w:val="24"/>
        </w:rPr>
      </w:pPr>
    </w:p>
    <w:p w14:paraId="245194FA" w14:textId="5367D53B" w:rsidR="00C3000E" w:rsidRPr="003C6DBD" w:rsidRDefault="00C3000E" w:rsidP="00154E66">
      <w:pPr>
        <w:pStyle w:val="Caption"/>
        <w:keepNext/>
        <w:spacing w:line="480" w:lineRule="auto"/>
        <w:rPr>
          <w:rFonts w:ascii="Times New Roman" w:hAnsi="Times New Roman" w:cs="Times New Roman"/>
          <w:color w:val="0D0D0D" w:themeColor="text1" w:themeTint="F2"/>
          <w:sz w:val="24"/>
          <w:szCs w:val="24"/>
        </w:rPr>
      </w:pPr>
      <w:bookmarkStart w:id="61" w:name="_Toc132671822"/>
      <w:r w:rsidRPr="003C6DBD">
        <w:rPr>
          <w:rFonts w:ascii="Times New Roman" w:hAnsi="Times New Roman" w:cs="Times New Roman"/>
          <w:color w:val="0D0D0D" w:themeColor="text1" w:themeTint="F2"/>
          <w:sz w:val="24"/>
          <w:szCs w:val="24"/>
        </w:rPr>
        <w:t xml:space="preserve">Table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Table \* ARABIC </w:instrText>
      </w:r>
      <w:r w:rsidRPr="003C6DBD">
        <w:rPr>
          <w:rFonts w:ascii="Times New Roman" w:hAnsi="Times New Roman" w:cs="Times New Roman"/>
          <w:color w:val="0D0D0D" w:themeColor="text1" w:themeTint="F2"/>
          <w:sz w:val="24"/>
          <w:szCs w:val="24"/>
        </w:rPr>
        <w:fldChar w:fldCharType="separate"/>
      </w:r>
      <w:r w:rsidR="00154E66" w:rsidRPr="003C6DBD">
        <w:rPr>
          <w:rFonts w:ascii="Times New Roman" w:hAnsi="Times New Roman" w:cs="Times New Roman"/>
          <w:noProof/>
          <w:color w:val="0D0D0D" w:themeColor="text1" w:themeTint="F2"/>
          <w:sz w:val="24"/>
          <w:szCs w:val="24"/>
        </w:rPr>
        <w:t>8</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List of firms classified as </w:t>
      </w:r>
      <w:r w:rsidR="009363D5" w:rsidRPr="003C6DBD">
        <w:rPr>
          <w:rFonts w:ascii="Times New Roman" w:hAnsi="Times New Roman" w:cs="Times New Roman"/>
          <w:color w:val="0D0D0D" w:themeColor="text1" w:themeTint="F2"/>
          <w:sz w:val="24"/>
          <w:szCs w:val="24"/>
        </w:rPr>
        <w:t>Primary Biofuel (PB)</w:t>
      </w:r>
      <w:r w:rsidRPr="003C6DBD">
        <w:rPr>
          <w:rFonts w:ascii="Times New Roman" w:hAnsi="Times New Roman" w:cs="Times New Roman"/>
          <w:color w:val="0D0D0D" w:themeColor="text1" w:themeTint="F2"/>
          <w:sz w:val="24"/>
          <w:szCs w:val="24"/>
        </w:rPr>
        <w:t>.</w:t>
      </w:r>
      <w:bookmarkEnd w:id="61"/>
    </w:p>
    <w:tbl>
      <w:tblPr>
        <w:tblW w:w="9342" w:type="dxa"/>
        <w:tblBorders>
          <w:top w:val="single" w:sz="4" w:space="0" w:color="auto"/>
          <w:bottom w:val="single" w:sz="4" w:space="0" w:color="auto"/>
        </w:tblBorders>
        <w:tblLook w:val="04A0" w:firstRow="1" w:lastRow="0" w:firstColumn="1" w:lastColumn="0" w:noHBand="0" w:noVBand="1"/>
      </w:tblPr>
      <w:tblGrid>
        <w:gridCol w:w="877"/>
        <w:gridCol w:w="5405"/>
        <w:gridCol w:w="1259"/>
        <w:gridCol w:w="1801"/>
      </w:tblGrid>
      <w:tr w:rsidR="00D21393" w:rsidRPr="003C6DBD" w14:paraId="5E9BAC8E" w14:textId="77777777" w:rsidTr="003117FC">
        <w:trPr>
          <w:trHeight w:val="333"/>
        </w:trPr>
        <w:tc>
          <w:tcPr>
            <w:tcW w:w="877" w:type="dxa"/>
            <w:tcBorders>
              <w:top w:val="single" w:sz="4" w:space="0" w:color="auto"/>
              <w:bottom w:val="single" w:sz="4" w:space="0" w:color="auto"/>
            </w:tcBorders>
            <w:shd w:val="clear" w:color="auto" w:fill="auto"/>
            <w:noWrap/>
            <w:vAlign w:val="bottom"/>
            <w:hideMark/>
          </w:tcPr>
          <w:p w14:paraId="68CCFEB4" w14:textId="77777777" w:rsidR="00C3000E" w:rsidRPr="003C6DBD" w:rsidRDefault="00C3000E" w:rsidP="00154E66">
            <w:pPr>
              <w:spacing w:after="0" w:line="48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S.N.</w:t>
            </w:r>
          </w:p>
        </w:tc>
        <w:tc>
          <w:tcPr>
            <w:tcW w:w="5405" w:type="dxa"/>
            <w:tcBorders>
              <w:top w:val="single" w:sz="4" w:space="0" w:color="auto"/>
              <w:bottom w:val="single" w:sz="4" w:space="0" w:color="auto"/>
            </w:tcBorders>
            <w:shd w:val="clear" w:color="auto" w:fill="auto"/>
            <w:noWrap/>
            <w:vAlign w:val="center"/>
            <w:hideMark/>
          </w:tcPr>
          <w:p w14:paraId="1B542EF6" w14:textId="77777777" w:rsidR="00C3000E" w:rsidRPr="003C6DBD" w:rsidRDefault="00C3000E" w:rsidP="00154E66">
            <w:pPr>
              <w:spacing w:after="0" w:line="48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Primary biofuel</w:t>
            </w:r>
          </w:p>
        </w:tc>
        <w:tc>
          <w:tcPr>
            <w:tcW w:w="1259" w:type="dxa"/>
            <w:tcBorders>
              <w:top w:val="single" w:sz="4" w:space="0" w:color="auto"/>
              <w:bottom w:val="single" w:sz="4" w:space="0" w:color="auto"/>
            </w:tcBorders>
            <w:shd w:val="clear" w:color="auto" w:fill="auto"/>
            <w:noWrap/>
            <w:vAlign w:val="center"/>
            <w:hideMark/>
          </w:tcPr>
          <w:p w14:paraId="079A589B" w14:textId="77777777" w:rsidR="00C3000E" w:rsidRPr="003C6DBD" w:rsidRDefault="00C3000E" w:rsidP="00154E66">
            <w:pPr>
              <w:spacing w:after="0" w:line="48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Ticker</w:t>
            </w:r>
          </w:p>
        </w:tc>
        <w:tc>
          <w:tcPr>
            <w:tcW w:w="1801" w:type="dxa"/>
            <w:tcBorders>
              <w:top w:val="single" w:sz="4" w:space="0" w:color="auto"/>
              <w:bottom w:val="single" w:sz="4" w:space="0" w:color="auto"/>
            </w:tcBorders>
            <w:shd w:val="clear" w:color="auto" w:fill="auto"/>
            <w:noWrap/>
            <w:vAlign w:val="center"/>
            <w:hideMark/>
          </w:tcPr>
          <w:p w14:paraId="4745DF7E" w14:textId="77777777" w:rsidR="00C3000E" w:rsidRPr="003C6DBD" w:rsidRDefault="00C3000E" w:rsidP="00154E66">
            <w:pPr>
              <w:spacing w:after="0" w:line="48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N</w:t>
            </w:r>
          </w:p>
        </w:tc>
      </w:tr>
      <w:tr w:rsidR="00D21393" w:rsidRPr="003C6DBD" w14:paraId="16F7BBE7" w14:textId="77777777" w:rsidTr="003117FC">
        <w:trPr>
          <w:trHeight w:val="333"/>
        </w:trPr>
        <w:tc>
          <w:tcPr>
            <w:tcW w:w="877" w:type="dxa"/>
            <w:tcBorders>
              <w:top w:val="single" w:sz="4" w:space="0" w:color="auto"/>
            </w:tcBorders>
            <w:shd w:val="clear" w:color="auto" w:fill="auto"/>
            <w:noWrap/>
            <w:vAlign w:val="bottom"/>
            <w:hideMark/>
          </w:tcPr>
          <w:p w14:paraId="15379DE1"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w:t>
            </w:r>
          </w:p>
        </w:tc>
        <w:tc>
          <w:tcPr>
            <w:tcW w:w="5405" w:type="dxa"/>
            <w:tcBorders>
              <w:top w:val="single" w:sz="4" w:space="0" w:color="auto"/>
            </w:tcBorders>
            <w:shd w:val="clear" w:color="auto" w:fill="auto"/>
            <w:noWrap/>
            <w:vAlign w:val="center"/>
            <w:hideMark/>
          </w:tcPr>
          <w:p w14:paraId="11B06F7F"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proofErr w:type="spellStart"/>
            <w:r w:rsidRPr="003C6DBD">
              <w:rPr>
                <w:rFonts w:ascii="Times New Roman" w:eastAsia="Times New Roman" w:hAnsi="Times New Roman" w:cs="Times New Roman"/>
                <w:color w:val="0D0D0D" w:themeColor="text1" w:themeTint="F2"/>
                <w:sz w:val="24"/>
                <w:szCs w:val="24"/>
              </w:rPr>
              <w:t>Aemetis</w:t>
            </w:r>
            <w:proofErr w:type="spellEnd"/>
            <w:r w:rsidRPr="003C6DBD">
              <w:rPr>
                <w:rFonts w:ascii="Times New Roman" w:eastAsia="Times New Roman" w:hAnsi="Times New Roman" w:cs="Times New Roman"/>
                <w:color w:val="0D0D0D" w:themeColor="text1" w:themeTint="F2"/>
                <w:sz w:val="24"/>
                <w:szCs w:val="24"/>
              </w:rPr>
              <w:t xml:space="preserve">, Inc. </w:t>
            </w:r>
          </w:p>
        </w:tc>
        <w:tc>
          <w:tcPr>
            <w:tcW w:w="1259" w:type="dxa"/>
            <w:tcBorders>
              <w:top w:val="single" w:sz="4" w:space="0" w:color="auto"/>
            </w:tcBorders>
            <w:shd w:val="clear" w:color="auto" w:fill="auto"/>
            <w:noWrap/>
            <w:vAlign w:val="center"/>
            <w:hideMark/>
          </w:tcPr>
          <w:p w14:paraId="38B21BCD"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AMTX</w:t>
            </w:r>
          </w:p>
        </w:tc>
        <w:tc>
          <w:tcPr>
            <w:tcW w:w="1801" w:type="dxa"/>
            <w:tcBorders>
              <w:top w:val="single" w:sz="4" w:space="0" w:color="auto"/>
            </w:tcBorders>
            <w:shd w:val="clear" w:color="auto" w:fill="auto"/>
            <w:noWrap/>
            <w:vAlign w:val="bottom"/>
            <w:hideMark/>
          </w:tcPr>
          <w:p w14:paraId="23E157F3"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r w:rsidR="00D21393" w:rsidRPr="003C6DBD" w14:paraId="015A757F" w14:textId="77777777" w:rsidTr="003117FC">
        <w:trPr>
          <w:trHeight w:val="333"/>
        </w:trPr>
        <w:tc>
          <w:tcPr>
            <w:tcW w:w="877" w:type="dxa"/>
            <w:shd w:val="clear" w:color="auto" w:fill="auto"/>
            <w:noWrap/>
            <w:vAlign w:val="bottom"/>
            <w:hideMark/>
          </w:tcPr>
          <w:p w14:paraId="38F0505B"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w:t>
            </w:r>
          </w:p>
        </w:tc>
        <w:tc>
          <w:tcPr>
            <w:tcW w:w="5405" w:type="dxa"/>
            <w:shd w:val="clear" w:color="auto" w:fill="auto"/>
            <w:noWrap/>
            <w:vAlign w:val="center"/>
            <w:hideMark/>
          </w:tcPr>
          <w:p w14:paraId="764778D0"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Alto Ingredients, Inc.</w:t>
            </w:r>
          </w:p>
        </w:tc>
        <w:tc>
          <w:tcPr>
            <w:tcW w:w="1259" w:type="dxa"/>
            <w:shd w:val="clear" w:color="auto" w:fill="auto"/>
            <w:noWrap/>
            <w:vAlign w:val="center"/>
            <w:hideMark/>
          </w:tcPr>
          <w:p w14:paraId="2EF2C7E3"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ALTO</w:t>
            </w:r>
          </w:p>
        </w:tc>
        <w:tc>
          <w:tcPr>
            <w:tcW w:w="1801" w:type="dxa"/>
            <w:shd w:val="clear" w:color="auto" w:fill="auto"/>
            <w:noWrap/>
            <w:vAlign w:val="bottom"/>
            <w:hideMark/>
          </w:tcPr>
          <w:p w14:paraId="32EB20EA"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r w:rsidR="00D21393" w:rsidRPr="003C6DBD" w14:paraId="13205D20" w14:textId="77777777" w:rsidTr="003117FC">
        <w:trPr>
          <w:trHeight w:val="333"/>
        </w:trPr>
        <w:tc>
          <w:tcPr>
            <w:tcW w:w="877" w:type="dxa"/>
            <w:shd w:val="clear" w:color="auto" w:fill="auto"/>
            <w:noWrap/>
            <w:vAlign w:val="bottom"/>
            <w:hideMark/>
          </w:tcPr>
          <w:p w14:paraId="065A3D5E"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3</w:t>
            </w:r>
          </w:p>
        </w:tc>
        <w:tc>
          <w:tcPr>
            <w:tcW w:w="5405" w:type="dxa"/>
            <w:shd w:val="clear" w:color="auto" w:fill="auto"/>
            <w:noWrap/>
            <w:vAlign w:val="center"/>
            <w:hideMark/>
          </w:tcPr>
          <w:p w14:paraId="4EF0E36A"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Cardinal Ethanol, LLC </w:t>
            </w:r>
          </w:p>
        </w:tc>
        <w:tc>
          <w:tcPr>
            <w:tcW w:w="1259" w:type="dxa"/>
            <w:shd w:val="clear" w:color="auto" w:fill="auto"/>
            <w:noWrap/>
            <w:vAlign w:val="center"/>
            <w:hideMark/>
          </w:tcPr>
          <w:p w14:paraId="0A513B8D"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CRDE</w:t>
            </w:r>
          </w:p>
        </w:tc>
        <w:tc>
          <w:tcPr>
            <w:tcW w:w="1801" w:type="dxa"/>
            <w:shd w:val="clear" w:color="auto" w:fill="auto"/>
            <w:noWrap/>
            <w:vAlign w:val="bottom"/>
            <w:hideMark/>
          </w:tcPr>
          <w:p w14:paraId="696642DF"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r w:rsidR="00D21393" w:rsidRPr="003C6DBD" w14:paraId="13EBD308" w14:textId="77777777" w:rsidTr="003117FC">
        <w:trPr>
          <w:trHeight w:val="333"/>
        </w:trPr>
        <w:tc>
          <w:tcPr>
            <w:tcW w:w="877" w:type="dxa"/>
            <w:shd w:val="clear" w:color="auto" w:fill="auto"/>
            <w:noWrap/>
            <w:vAlign w:val="bottom"/>
            <w:hideMark/>
          </w:tcPr>
          <w:p w14:paraId="5BA14E9E"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4</w:t>
            </w:r>
          </w:p>
        </w:tc>
        <w:tc>
          <w:tcPr>
            <w:tcW w:w="5405" w:type="dxa"/>
            <w:shd w:val="clear" w:color="auto" w:fill="auto"/>
            <w:noWrap/>
            <w:vAlign w:val="center"/>
            <w:hideMark/>
          </w:tcPr>
          <w:p w14:paraId="5651F3DD"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proofErr w:type="spellStart"/>
            <w:r w:rsidRPr="003C6DBD">
              <w:rPr>
                <w:rFonts w:ascii="Times New Roman" w:eastAsia="Times New Roman" w:hAnsi="Times New Roman" w:cs="Times New Roman"/>
                <w:color w:val="0D0D0D" w:themeColor="text1" w:themeTint="F2"/>
                <w:sz w:val="24"/>
                <w:szCs w:val="24"/>
              </w:rPr>
              <w:t>FutureFuel</w:t>
            </w:r>
            <w:proofErr w:type="spellEnd"/>
            <w:r w:rsidRPr="003C6DBD">
              <w:rPr>
                <w:rFonts w:ascii="Times New Roman" w:eastAsia="Times New Roman" w:hAnsi="Times New Roman" w:cs="Times New Roman"/>
                <w:color w:val="0D0D0D" w:themeColor="text1" w:themeTint="F2"/>
                <w:sz w:val="24"/>
                <w:szCs w:val="24"/>
              </w:rPr>
              <w:t xml:space="preserve"> Corp. </w:t>
            </w:r>
          </w:p>
        </w:tc>
        <w:tc>
          <w:tcPr>
            <w:tcW w:w="1259" w:type="dxa"/>
            <w:shd w:val="clear" w:color="auto" w:fill="auto"/>
            <w:vAlign w:val="center"/>
            <w:hideMark/>
          </w:tcPr>
          <w:p w14:paraId="210557C7"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FF</w:t>
            </w:r>
          </w:p>
        </w:tc>
        <w:tc>
          <w:tcPr>
            <w:tcW w:w="1801" w:type="dxa"/>
            <w:shd w:val="clear" w:color="auto" w:fill="auto"/>
            <w:noWrap/>
            <w:vAlign w:val="bottom"/>
            <w:hideMark/>
          </w:tcPr>
          <w:p w14:paraId="650535BF"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r w:rsidR="00D21393" w:rsidRPr="003C6DBD" w14:paraId="54FE76BB" w14:textId="77777777" w:rsidTr="003117FC">
        <w:trPr>
          <w:trHeight w:val="333"/>
        </w:trPr>
        <w:tc>
          <w:tcPr>
            <w:tcW w:w="877" w:type="dxa"/>
            <w:shd w:val="clear" w:color="auto" w:fill="auto"/>
            <w:noWrap/>
            <w:vAlign w:val="bottom"/>
            <w:hideMark/>
          </w:tcPr>
          <w:p w14:paraId="590B89EF"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5</w:t>
            </w:r>
          </w:p>
        </w:tc>
        <w:tc>
          <w:tcPr>
            <w:tcW w:w="5405" w:type="dxa"/>
            <w:shd w:val="clear" w:color="auto" w:fill="auto"/>
            <w:noWrap/>
            <w:vAlign w:val="center"/>
            <w:hideMark/>
          </w:tcPr>
          <w:p w14:paraId="2AB78039"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proofErr w:type="spellStart"/>
            <w:r w:rsidRPr="003C6DBD">
              <w:rPr>
                <w:rFonts w:ascii="Times New Roman" w:eastAsia="Times New Roman" w:hAnsi="Times New Roman" w:cs="Times New Roman"/>
                <w:color w:val="0D0D0D" w:themeColor="text1" w:themeTint="F2"/>
                <w:sz w:val="24"/>
                <w:szCs w:val="24"/>
              </w:rPr>
              <w:t>Gevo</w:t>
            </w:r>
            <w:proofErr w:type="spellEnd"/>
            <w:r w:rsidRPr="003C6DBD">
              <w:rPr>
                <w:rFonts w:ascii="Times New Roman" w:eastAsia="Times New Roman" w:hAnsi="Times New Roman" w:cs="Times New Roman"/>
                <w:color w:val="0D0D0D" w:themeColor="text1" w:themeTint="F2"/>
                <w:sz w:val="24"/>
                <w:szCs w:val="24"/>
              </w:rPr>
              <w:t xml:space="preserve">, Inc. </w:t>
            </w:r>
          </w:p>
        </w:tc>
        <w:tc>
          <w:tcPr>
            <w:tcW w:w="1259" w:type="dxa"/>
            <w:shd w:val="clear" w:color="auto" w:fill="auto"/>
            <w:noWrap/>
            <w:vAlign w:val="center"/>
            <w:hideMark/>
          </w:tcPr>
          <w:p w14:paraId="5CBEE1D9"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GEVO</w:t>
            </w:r>
          </w:p>
        </w:tc>
        <w:tc>
          <w:tcPr>
            <w:tcW w:w="1801" w:type="dxa"/>
            <w:shd w:val="clear" w:color="auto" w:fill="auto"/>
            <w:noWrap/>
            <w:vAlign w:val="bottom"/>
            <w:hideMark/>
          </w:tcPr>
          <w:p w14:paraId="21EB2530"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r w:rsidR="00D21393" w:rsidRPr="003C6DBD" w14:paraId="01EBCFAA" w14:textId="77777777" w:rsidTr="003117FC">
        <w:trPr>
          <w:trHeight w:val="333"/>
        </w:trPr>
        <w:tc>
          <w:tcPr>
            <w:tcW w:w="877" w:type="dxa"/>
            <w:shd w:val="clear" w:color="auto" w:fill="auto"/>
            <w:noWrap/>
            <w:vAlign w:val="bottom"/>
            <w:hideMark/>
          </w:tcPr>
          <w:p w14:paraId="411DCB09"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6</w:t>
            </w:r>
          </w:p>
        </w:tc>
        <w:tc>
          <w:tcPr>
            <w:tcW w:w="5405" w:type="dxa"/>
            <w:shd w:val="clear" w:color="auto" w:fill="auto"/>
            <w:noWrap/>
            <w:vAlign w:val="center"/>
            <w:hideMark/>
          </w:tcPr>
          <w:p w14:paraId="2F02EFB6"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Granite Falls Energy, LLC </w:t>
            </w:r>
          </w:p>
        </w:tc>
        <w:tc>
          <w:tcPr>
            <w:tcW w:w="1259" w:type="dxa"/>
            <w:shd w:val="clear" w:color="auto" w:fill="auto"/>
            <w:noWrap/>
            <w:vAlign w:val="center"/>
            <w:hideMark/>
          </w:tcPr>
          <w:p w14:paraId="1EB2F1FC"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GFGY</w:t>
            </w:r>
          </w:p>
        </w:tc>
        <w:tc>
          <w:tcPr>
            <w:tcW w:w="1801" w:type="dxa"/>
            <w:shd w:val="clear" w:color="auto" w:fill="auto"/>
            <w:noWrap/>
            <w:vAlign w:val="bottom"/>
            <w:hideMark/>
          </w:tcPr>
          <w:p w14:paraId="51FA145B"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r w:rsidR="00D21393" w:rsidRPr="003C6DBD" w14:paraId="3DBCEAF0" w14:textId="77777777" w:rsidTr="003117FC">
        <w:trPr>
          <w:trHeight w:val="333"/>
        </w:trPr>
        <w:tc>
          <w:tcPr>
            <w:tcW w:w="877" w:type="dxa"/>
            <w:shd w:val="clear" w:color="auto" w:fill="auto"/>
            <w:noWrap/>
            <w:vAlign w:val="bottom"/>
            <w:hideMark/>
          </w:tcPr>
          <w:p w14:paraId="4E8A4FC0"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7</w:t>
            </w:r>
          </w:p>
        </w:tc>
        <w:tc>
          <w:tcPr>
            <w:tcW w:w="5405" w:type="dxa"/>
            <w:shd w:val="clear" w:color="auto" w:fill="auto"/>
            <w:noWrap/>
            <w:vAlign w:val="center"/>
            <w:hideMark/>
          </w:tcPr>
          <w:p w14:paraId="2B224BED"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Green Plains, Inc. </w:t>
            </w:r>
          </w:p>
        </w:tc>
        <w:tc>
          <w:tcPr>
            <w:tcW w:w="1259" w:type="dxa"/>
            <w:shd w:val="clear" w:color="auto" w:fill="auto"/>
            <w:noWrap/>
            <w:vAlign w:val="center"/>
            <w:hideMark/>
          </w:tcPr>
          <w:p w14:paraId="5DC77F0A"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GPRE</w:t>
            </w:r>
          </w:p>
        </w:tc>
        <w:tc>
          <w:tcPr>
            <w:tcW w:w="1801" w:type="dxa"/>
            <w:shd w:val="clear" w:color="auto" w:fill="auto"/>
            <w:noWrap/>
            <w:vAlign w:val="bottom"/>
            <w:hideMark/>
          </w:tcPr>
          <w:p w14:paraId="49618876"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r w:rsidR="00D21393" w:rsidRPr="003C6DBD" w14:paraId="0F4F98C7" w14:textId="77777777" w:rsidTr="003117FC">
        <w:trPr>
          <w:trHeight w:val="333"/>
        </w:trPr>
        <w:tc>
          <w:tcPr>
            <w:tcW w:w="877" w:type="dxa"/>
            <w:shd w:val="clear" w:color="auto" w:fill="auto"/>
            <w:noWrap/>
            <w:vAlign w:val="bottom"/>
          </w:tcPr>
          <w:p w14:paraId="138DCB63"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8</w:t>
            </w:r>
          </w:p>
        </w:tc>
        <w:tc>
          <w:tcPr>
            <w:tcW w:w="5405" w:type="dxa"/>
            <w:shd w:val="clear" w:color="auto" w:fill="auto"/>
            <w:noWrap/>
            <w:vAlign w:val="center"/>
          </w:tcPr>
          <w:p w14:paraId="41C05268"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Red Trail Energy, LLC </w:t>
            </w:r>
          </w:p>
        </w:tc>
        <w:tc>
          <w:tcPr>
            <w:tcW w:w="1259" w:type="dxa"/>
            <w:shd w:val="clear" w:color="auto" w:fill="auto"/>
            <w:noWrap/>
            <w:vAlign w:val="center"/>
          </w:tcPr>
          <w:p w14:paraId="0A263787"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REGX</w:t>
            </w:r>
          </w:p>
        </w:tc>
        <w:tc>
          <w:tcPr>
            <w:tcW w:w="1801" w:type="dxa"/>
            <w:shd w:val="clear" w:color="auto" w:fill="auto"/>
            <w:noWrap/>
            <w:vAlign w:val="bottom"/>
          </w:tcPr>
          <w:p w14:paraId="772CDE0D"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r w:rsidR="00D21393" w:rsidRPr="003C6DBD" w14:paraId="1247C5D8" w14:textId="77777777" w:rsidTr="003117FC">
        <w:trPr>
          <w:trHeight w:val="333"/>
        </w:trPr>
        <w:tc>
          <w:tcPr>
            <w:tcW w:w="877" w:type="dxa"/>
            <w:shd w:val="clear" w:color="auto" w:fill="auto"/>
            <w:noWrap/>
            <w:vAlign w:val="bottom"/>
          </w:tcPr>
          <w:p w14:paraId="7BA4CE1A"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9</w:t>
            </w:r>
          </w:p>
        </w:tc>
        <w:tc>
          <w:tcPr>
            <w:tcW w:w="5405" w:type="dxa"/>
            <w:shd w:val="clear" w:color="auto" w:fill="auto"/>
            <w:noWrap/>
            <w:vAlign w:val="center"/>
            <w:hideMark/>
          </w:tcPr>
          <w:p w14:paraId="7C83A40B"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Renewable Energy Group, Inc. </w:t>
            </w:r>
          </w:p>
        </w:tc>
        <w:tc>
          <w:tcPr>
            <w:tcW w:w="1259" w:type="dxa"/>
            <w:shd w:val="clear" w:color="auto" w:fill="auto"/>
            <w:noWrap/>
            <w:vAlign w:val="center"/>
            <w:hideMark/>
          </w:tcPr>
          <w:p w14:paraId="613929B6"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REGI</w:t>
            </w:r>
          </w:p>
        </w:tc>
        <w:tc>
          <w:tcPr>
            <w:tcW w:w="1801" w:type="dxa"/>
            <w:shd w:val="clear" w:color="auto" w:fill="auto"/>
            <w:noWrap/>
            <w:vAlign w:val="bottom"/>
            <w:hideMark/>
          </w:tcPr>
          <w:p w14:paraId="690224B9"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r w:rsidR="00D21393" w:rsidRPr="003C6DBD" w14:paraId="3AB6B588" w14:textId="77777777" w:rsidTr="003117FC">
        <w:trPr>
          <w:trHeight w:val="333"/>
        </w:trPr>
        <w:tc>
          <w:tcPr>
            <w:tcW w:w="877" w:type="dxa"/>
            <w:shd w:val="clear" w:color="auto" w:fill="auto"/>
            <w:noWrap/>
            <w:vAlign w:val="bottom"/>
          </w:tcPr>
          <w:p w14:paraId="667DB3E0"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10</w:t>
            </w:r>
          </w:p>
        </w:tc>
        <w:tc>
          <w:tcPr>
            <w:tcW w:w="5405" w:type="dxa"/>
            <w:shd w:val="clear" w:color="auto" w:fill="auto"/>
            <w:noWrap/>
            <w:vAlign w:val="center"/>
            <w:hideMark/>
          </w:tcPr>
          <w:p w14:paraId="7F6A925B"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REX American Resources Corporation </w:t>
            </w:r>
          </w:p>
        </w:tc>
        <w:tc>
          <w:tcPr>
            <w:tcW w:w="1259" w:type="dxa"/>
            <w:shd w:val="clear" w:color="auto" w:fill="auto"/>
            <w:noWrap/>
            <w:vAlign w:val="center"/>
            <w:hideMark/>
          </w:tcPr>
          <w:p w14:paraId="367DA22C"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REX</w:t>
            </w:r>
          </w:p>
        </w:tc>
        <w:tc>
          <w:tcPr>
            <w:tcW w:w="1801" w:type="dxa"/>
            <w:shd w:val="clear" w:color="auto" w:fill="auto"/>
            <w:noWrap/>
            <w:vAlign w:val="bottom"/>
            <w:hideMark/>
          </w:tcPr>
          <w:p w14:paraId="0CC3483B"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bl>
    <w:p w14:paraId="6DD484FC" w14:textId="0C0F4DEB" w:rsidR="00C3000E" w:rsidRPr="003C6DBD" w:rsidRDefault="00C3000E" w:rsidP="00154E66">
      <w:pPr>
        <w:pStyle w:val="Caption"/>
        <w:keepNext/>
        <w:spacing w:line="480" w:lineRule="auto"/>
        <w:rPr>
          <w:rFonts w:ascii="Times New Roman" w:hAnsi="Times New Roman" w:cs="Times New Roman"/>
          <w:color w:val="0D0D0D" w:themeColor="text1" w:themeTint="F2"/>
          <w:sz w:val="24"/>
          <w:szCs w:val="24"/>
        </w:rPr>
      </w:pPr>
      <w:bookmarkStart w:id="62" w:name="_Toc132671823"/>
      <w:r w:rsidRPr="003C6DBD">
        <w:rPr>
          <w:rFonts w:ascii="Times New Roman" w:hAnsi="Times New Roman" w:cs="Times New Roman"/>
          <w:color w:val="0D0D0D" w:themeColor="text1" w:themeTint="F2"/>
          <w:sz w:val="24"/>
          <w:szCs w:val="24"/>
        </w:rPr>
        <w:lastRenderedPageBreak/>
        <w:t xml:space="preserve">Table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Table \* ARABIC </w:instrText>
      </w:r>
      <w:r w:rsidRPr="003C6DBD">
        <w:rPr>
          <w:rFonts w:ascii="Times New Roman" w:hAnsi="Times New Roman" w:cs="Times New Roman"/>
          <w:color w:val="0D0D0D" w:themeColor="text1" w:themeTint="F2"/>
          <w:sz w:val="24"/>
          <w:szCs w:val="24"/>
        </w:rPr>
        <w:fldChar w:fldCharType="separate"/>
      </w:r>
      <w:r w:rsidR="00154E66" w:rsidRPr="003C6DBD">
        <w:rPr>
          <w:rFonts w:ascii="Times New Roman" w:hAnsi="Times New Roman" w:cs="Times New Roman"/>
          <w:noProof/>
          <w:color w:val="0D0D0D" w:themeColor="text1" w:themeTint="F2"/>
          <w:sz w:val="24"/>
          <w:szCs w:val="24"/>
        </w:rPr>
        <w:t>9</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List of firms classified as </w:t>
      </w:r>
      <w:r w:rsidR="009363D5" w:rsidRPr="003C6DBD">
        <w:rPr>
          <w:rFonts w:ascii="Times New Roman" w:hAnsi="Times New Roman" w:cs="Times New Roman"/>
          <w:color w:val="0D0D0D" w:themeColor="text1" w:themeTint="F2"/>
          <w:sz w:val="24"/>
          <w:szCs w:val="24"/>
        </w:rPr>
        <w:t>Secondary Biofuel (SB)</w:t>
      </w:r>
      <w:r w:rsidRPr="003C6DBD">
        <w:rPr>
          <w:rFonts w:ascii="Times New Roman" w:hAnsi="Times New Roman" w:cs="Times New Roman"/>
          <w:color w:val="0D0D0D" w:themeColor="text1" w:themeTint="F2"/>
          <w:sz w:val="24"/>
          <w:szCs w:val="24"/>
        </w:rPr>
        <w:t>.</w:t>
      </w:r>
      <w:bookmarkEnd w:id="62"/>
    </w:p>
    <w:tbl>
      <w:tblPr>
        <w:tblW w:w="9556" w:type="dxa"/>
        <w:tblBorders>
          <w:top w:val="single" w:sz="4" w:space="0" w:color="auto"/>
          <w:bottom w:val="single" w:sz="4" w:space="0" w:color="auto"/>
        </w:tblBorders>
        <w:tblLook w:val="04A0" w:firstRow="1" w:lastRow="0" w:firstColumn="1" w:lastColumn="0" w:noHBand="0" w:noVBand="1"/>
      </w:tblPr>
      <w:tblGrid>
        <w:gridCol w:w="900"/>
        <w:gridCol w:w="5551"/>
        <w:gridCol w:w="1256"/>
        <w:gridCol w:w="1849"/>
      </w:tblGrid>
      <w:tr w:rsidR="00D21393" w:rsidRPr="003C6DBD" w14:paraId="1813B609" w14:textId="77777777" w:rsidTr="003117FC">
        <w:trPr>
          <w:trHeight w:val="326"/>
        </w:trPr>
        <w:tc>
          <w:tcPr>
            <w:tcW w:w="900" w:type="dxa"/>
            <w:tcBorders>
              <w:top w:val="single" w:sz="4" w:space="0" w:color="auto"/>
              <w:bottom w:val="single" w:sz="4" w:space="0" w:color="auto"/>
            </w:tcBorders>
            <w:shd w:val="clear" w:color="auto" w:fill="auto"/>
            <w:noWrap/>
            <w:vAlign w:val="bottom"/>
            <w:hideMark/>
          </w:tcPr>
          <w:p w14:paraId="0CFEB940" w14:textId="77777777" w:rsidR="00C3000E" w:rsidRPr="003C6DBD" w:rsidRDefault="00C3000E" w:rsidP="00154E66">
            <w:pPr>
              <w:spacing w:after="0" w:line="48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 xml:space="preserve">S.N. </w:t>
            </w:r>
          </w:p>
        </w:tc>
        <w:tc>
          <w:tcPr>
            <w:tcW w:w="5551" w:type="dxa"/>
            <w:tcBorders>
              <w:top w:val="single" w:sz="4" w:space="0" w:color="auto"/>
              <w:bottom w:val="single" w:sz="4" w:space="0" w:color="auto"/>
            </w:tcBorders>
            <w:shd w:val="clear" w:color="auto" w:fill="auto"/>
            <w:noWrap/>
            <w:vAlign w:val="center"/>
            <w:hideMark/>
          </w:tcPr>
          <w:p w14:paraId="23158FEA" w14:textId="77777777" w:rsidR="00C3000E" w:rsidRPr="003C6DBD" w:rsidRDefault="00C3000E" w:rsidP="00154E66">
            <w:pPr>
              <w:spacing w:after="0" w:line="48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Secondary biofuel</w:t>
            </w:r>
          </w:p>
        </w:tc>
        <w:tc>
          <w:tcPr>
            <w:tcW w:w="1256" w:type="dxa"/>
            <w:tcBorders>
              <w:top w:val="single" w:sz="4" w:space="0" w:color="auto"/>
              <w:bottom w:val="single" w:sz="4" w:space="0" w:color="auto"/>
            </w:tcBorders>
            <w:shd w:val="clear" w:color="auto" w:fill="auto"/>
            <w:noWrap/>
            <w:vAlign w:val="bottom"/>
            <w:hideMark/>
          </w:tcPr>
          <w:p w14:paraId="0D3EB850" w14:textId="77777777" w:rsidR="00C3000E" w:rsidRPr="003C6DBD" w:rsidRDefault="00C3000E" w:rsidP="00154E66">
            <w:pPr>
              <w:spacing w:after="0" w:line="48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Ticker</w:t>
            </w:r>
          </w:p>
        </w:tc>
        <w:tc>
          <w:tcPr>
            <w:tcW w:w="1849" w:type="dxa"/>
            <w:tcBorders>
              <w:top w:val="single" w:sz="4" w:space="0" w:color="auto"/>
              <w:bottom w:val="single" w:sz="4" w:space="0" w:color="auto"/>
            </w:tcBorders>
            <w:shd w:val="clear" w:color="auto" w:fill="auto"/>
            <w:noWrap/>
            <w:vAlign w:val="bottom"/>
            <w:hideMark/>
          </w:tcPr>
          <w:p w14:paraId="3A31804C" w14:textId="77777777" w:rsidR="00C3000E" w:rsidRPr="003C6DBD" w:rsidRDefault="00C3000E" w:rsidP="00154E66">
            <w:pPr>
              <w:spacing w:after="0" w:line="48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N</w:t>
            </w:r>
          </w:p>
        </w:tc>
      </w:tr>
      <w:tr w:rsidR="00D21393" w:rsidRPr="003C6DBD" w14:paraId="1E60ECBC" w14:textId="77777777" w:rsidTr="003117FC">
        <w:trPr>
          <w:trHeight w:val="326"/>
        </w:trPr>
        <w:tc>
          <w:tcPr>
            <w:tcW w:w="900" w:type="dxa"/>
            <w:tcBorders>
              <w:top w:val="single" w:sz="4" w:space="0" w:color="auto"/>
            </w:tcBorders>
            <w:shd w:val="clear" w:color="auto" w:fill="auto"/>
            <w:noWrap/>
            <w:vAlign w:val="bottom"/>
            <w:hideMark/>
          </w:tcPr>
          <w:p w14:paraId="473B2341"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w:t>
            </w:r>
          </w:p>
        </w:tc>
        <w:tc>
          <w:tcPr>
            <w:tcW w:w="5551" w:type="dxa"/>
            <w:tcBorders>
              <w:top w:val="single" w:sz="4" w:space="0" w:color="auto"/>
            </w:tcBorders>
            <w:shd w:val="clear" w:color="auto" w:fill="auto"/>
            <w:noWrap/>
            <w:vAlign w:val="center"/>
            <w:hideMark/>
          </w:tcPr>
          <w:p w14:paraId="42C43FFE"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proofErr w:type="spellStart"/>
            <w:r w:rsidRPr="003C6DBD">
              <w:rPr>
                <w:rFonts w:ascii="Times New Roman" w:eastAsia="Times New Roman" w:hAnsi="Times New Roman" w:cs="Times New Roman"/>
                <w:color w:val="0D0D0D" w:themeColor="text1" w:themeTint="F2"/>
                <w:sz w:val="24"/>
                <w:szCs w:val="24"/>
              </w:rPr>
              <w:t>Adecoagro</w:t>
            </w:r>
            <w:proofErr w:type="spellEnd"/>
            <w:r w:rsidRPr="003C6DBD">
              <w:rPr>
                <w:rFonts w:ascii="Times New Roman" w:eastAsia="Times New Roman" w:hAnsi="Times New Roman" w:cs="Times New Roman"/>
                <w:color w:val="0D0D0D" w:themeColor="text1" w:themeTint="F2"/>
                <w:sz w:val="24"/>
                <w:szCs w:val="24"/>
              </w:rPr>
              <w:t xml:space="preserve"> S.A.</w:t>
            </w:r>
          </w:p>
        </w:tc>
        <w:tc>
          <w:tcPr>
            <w:tcW w:w="1256" w:type="dxa"/>
            <w:tcBorders>
              <w:top w:val="single" w:sz="4" w:space="0" w:color="auto"/>
            </w:tcBorders>
            <w:shd w:val="clear" w:color="auto" w:fill="auto"/>
            <w:noWrap/>
            <w:vAlign w:val="center"/>
            <w:hideMark/>
          </w:tcPr>
          <w:p w14:paraId="7DD7C2C5"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AGRO</w:t>
            </w:r>
          </w:p>
        </w:tc>
        <w:tc>
          <w:tcPr>
            <w:tcW w:w="1849" w:type="dxa"/>
            <w:tcBorders>
              <w:top w:val="single" w:sz="4" w:space="0" w:color="auto"/>
            </w:tcBorders>
            <w:shd w:val="clear" w:color="auto" w:fill="auto"/>
            <w:noWrap/>
            <w:vAlign w:val="bottom"/>
            <w:hideMark/>
          </w:tcPr>
          <w:p w14:paraId="5957F50E"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r w:rsidR="00D21393" w:rsidRPr="003C6DBD" w14:paraId="01FCBC67" w14:textId="77777777" w:rsidTr="003117FC">
        <w:trPr>
          <w:trHeight w:val="326"/>
        </w:trPr>
        <w:tc>
          <w:tcPr>
            <w:tcW w:w="900" w:type="dxa"/>
            <w:shd w:val="clear" w:color="auto" w:fill="auto"/>
            <w:noWrap/>
            <w:vAlign w:val="bottom"/>
            <w:hideMark/>
          </w:tcPr>
          <w:p w14:paraId="0766A930"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w:t>
            </w:r>
          </w:p>
        </w:tc>
        <w:tc>
          <w:tcPr>
            <w:tcW w:w="5551" w:type="dxa"/>
            <w:shd w:val="clear" w:color="auto" w:fill="auto"/>
            <w:noWrap/>
            <w:vAlign w:val="center"/>
            <w:hideMark/>
          </w:tcPr>
          <w:p w14:paraId="08755575"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Archer-Daniels-Midland Company </w:t>
            </w:r>
          </w:p>
        </w:tc>
        <w:tc>
          <w:tcPr>
            <w:tcW w:w="1256" w:type="dxa"/>
            <w:shd w:val="clear" w:color="auto" w:fill="auto"/>
            <w:noWrap/>
            <w:vAlign w:val="center"/>
            <w:hideMark/>
          </w:tcPr>
          <w:p w14:paraId="185C13C4"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ADM</w:t>
            </w:r>
          </w:p>
        </w:tc>
        <w:tc>
          <w:tcPr>
            <w:tcW w:w="1849" w:type="dxa"/>
            <w:shd w:val="clear" w:color="auto" w:fill="auto"/>
            <w:noWrap/>
            <w:vAlign w:val="bottom"/>
            <w:hideMark/>
          </w:tcPr>
          <w:p w14:paraId="1F6F0AC4"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r w:rsidR="00D21393" w:rsidRPr="003C6DBD" w14:paraId="24D8E9E4" w14:textId="77777777" w:rsidTr="003117FC">
        <w:trPr>
          <w:trHeight w:val="326"/>
        </w:trPr>
        <w:tc>
          <w:tcPr>
            <w:tcW w:w="900" w:type="dxa"/>
            <w:shd w:val="clear" w:color="auto" w:fill="auto"/>
            <w:noWrap/>
            <w:vAlign w:val="bottom"/>
          </w:tcPr>
          <w:p w14:paraId="57D45B90"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3</w:t>
            </w:r>
          </w:p>
        </w:tc>
        <w:tc>
          <w:tcPr>
            <w:tcW w:w="5551" w:type="dxa"/>
            <w:shd w:val="clear" w:color="auto" w:fill="auto"/>
            <w:noWrap/>
            <w:vAlign w:val="center"/>
            <w:hideMark/>
          </w:tcPr>
          <w:p w14:paraId="08C97A3C"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Bunge Limited </w:t>
            </w:r>
          </w:p>
        </w:tc>
        <w:tc>
          <w:tcPr>
            <w:tcW w:w="1256" w:type="dxa"/>
            <w:shd w:val="clear" w:color="auto" w:fill="auto"/>
            <w:noWrap/>
            <w:vAlign w:val="center"/>
            <w:hideMark/>
          </w:tcPr>
          <w:p w14:paraId="34630EE3"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BG</w:t>
            </w:r>
          </w:p>
        </w:tc>
        <w:tc>
          <w:tcPr>
            <w:tcW w:w="1849" w:type="dxa"/>
            <w:shd w:val="clear" w:color="auto" w:fill="auto"/>
            <w:noWrap/>
            <w:vAlign w:val="bottom"/>
            <w:hideMark/>
          </w:tcPr>
          <w:p w14:paraId="573EF20E"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r w:rsidR="00D21393" w:rsidRPr="003C6DBD" w14:paraId="7F8FBF3A" w14:textId="77777777" w:rsidTr="003117FC">
        <w:trPr>
          <w:trHeight w:val="326"/>
        </w:trPr>
        <w:tc>
          <w:tcPr>
            <w:tcW w:w="900" w:type="dxa"/>
            <w:shd w:val="clear" w:color="auto" w:fill="auto"/>
            <w:noWrap/>
            <w:vAlign w:val="bottom"/>
          </w:tcPr>
          <w:p w14:paraId="30918B66"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4</w:t>
            </w:r>
          </w:p>
        </w:tc>
        <w:tc>
          <w:tcPr>
            <w:tcW w:w="5551" w:type="dxa"/>
            <w:shd w:val="clear" w:color="auto" w:fill="auto"/>
            <w:noWrap/>
            <w:vAlign w:val="center"/>
            <w:hideMark/>
          </w:tcPr>
          <w:p w14:paraId="5A9D8B0A"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Clean Energy Fuels Corp.</w:t>
            </w:r>
          </w:p>
        </w:tc>
        <w:tc>
          <w:tcPr>
            <w:tcW w:w="1256" w:type="dxa"/>
            <w:shd w:val="clear" w:color="000000" w:fill="FFFFFF"/>
            <w:noWrap/>
            <w:vAlign w:val="center"/>
            <w:hideMark/>
          </w:tcPr>
          <w:p w14:paraId="68EBE74E"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CLNE</w:t>
            </w:r>
          </w:p>
        </w:tc>
        <w:tc>
          <w:tcPr>
            <w:tcW w:w="1849" w:type="dxa"/>
            <w:shd w:val="clear" w:color="auto" w:fill="auto"/>
            <w:noWrap/>
            <w:vAlign w:val="bottom"/>
            <w:hideMark/>
          </w:tcPr>
          <w:p w14:paraId="3D159206"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r w:rsidR="00D21393" w:rsidRPr="003C6DBD" w14:paraId="6F546540" w14:textId="77777777" w:rsidTr="003117FC">
        <w:trPr>
          <w:trHeight w:val="326"/>
        </w:trPr>
        <w:tc>
          <w:tcPr>
            <w:tcW w:w="900" w:type="dxa"/>
            <w:shd w:val="clear" w:color="auto" w:fill="auto"/>
            <w:noWrap/>
            <w:vAlign w:val="bottom"/>
          </w:tcPr>
          <w:p w14:paraId="48A8061C"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5</w:t>
            </w:r>
          </w:p>
        </w:tc>
        <w:tc>
          <w:tcPr>
            <w:tcW w:w="5551" w:type="dxa"/>
            <w:shd w:val="clear" w:color="auto" w:fill="auto"/>
            <w:noWrap/>
            <w:vAlign w:val="center"/>
            <w:hideMark/>
          </w:tcPr>
          <w:p w14:paraId="70FF4BB1"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Darling Ingredients Inc. </w:t>
            </w:r>
          </w:p>
        </w:tc>
        <w:tc>
          <w:tcPr>
            <w:tcW w:w="1256" w:type="dxa"/>
            <w:shd w:val="clear" w:color="auto" w:fill="auto"/>
            <w:noWrap/>
            <w:vAlign w:val="center"/>
            <w:hideMark/>
          </w:tcPr>
          <w:p w14:paraId="0D07B83F"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DAR</w:t>
            </w:r>
          </w:p>
        </w:tc>
        <w:tc>
          <w:tcPr>
            <w:tcW w:w="1849" w:type="dxa"/>
            <w:shd w:val="clear" w:color="auto" w:fill="auto"/>
            <w:noWrap/>
            <w:vAlign w:val="bottom"/>
            <w:hideMark/>
          </w:tcPr>
          <w:p w14:paraId="7C33EE93"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r w:rsidR="00D21393" w:rsidRPr="003C6DBD" w14:paraId="5BE71FEC" w14:textId="77777777" w:rsidTr="003117FC">
        <w:trPr>
          <w:trHeight w:val="326"/>
        </w:trPr>
        <w:tc>
          <w:tcPr>
            <w:tcW w:w="900" w:type="dxa"/>
            <w:shd w:val="clear" w:color="auto" w:fill="auto"/>
            <w:noWrap/>
            <w:vAlign w:val="bottom"/>
          </w:tcPr>
          <w:p w14:paraId="13BD3F2A"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6</w:t>
            </w:r>
          </w:p>
        </w:tc>
        <w:tc>
          <w:tcPr>
            <w:tcW w:w="5551" w:type="dxa"/>
            <w:shd w:val="clear" w:color="auto" w:fill="auto"/>
            <w:noWrap/>
            <w:vAlign w:val="center"/>
            <w:hideMark/>
          </w:tcPr>
          <w:p w14:paraId="5E2CEBEC"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proofErr w:type="spellStart"/>
            <w:r w:rsidRPr="003C6DBD">
              <w:rPr>
                <w:rFonts w:ascii="Times New Roman" w:eastAsia="Times New Roman" w:hAnsi="Times New Roman" w:cs="Times New Roman"/>
                <w:color w:val="0D0D0D" w:themeColor="text1" w:themeTint="F2"/>
                <w:sz w:val="24"/>
                <w:szCs w:val="24"/>
              </w:rPr>
              <w:t>Delek</w:t>
            </w:r>
            <w:proofErr w:type="spellEnd"/>
            <w:r w:rsidRPr="003C6DBD">
              <w:rPr>
                <w:rFonts w:ascii="Times New Roman" w:eastAsia="Times New Roman" w:hAnsi="Times New Roman" w:cs="Times New Roman"/>
                <w:color w:val="0D0D0D" w:themeColor="text1" w:themeTint="F2"/>
                <w:sz w:val="24"/>
                <w:szCs w:val="24"/>
              </w:rPr>
              <w:t xml:space="preserve"> US Holdings, Inc. </w:t>
            </w:r>
          </w:p>
        </w:tc>
        <w:tc>
          <w:tcPr>
            <w:tcW w:w="1256" w:type="dxa"/>
            <w:shd w:val="clear" w:color="auto" w:fill="auto"/>
            <w:noWrap/>
            <w:vAlign w:val="center"/>
            <w:hideMark/>
          </w:tcPr>
          <w:p w14:paraId="7C63A961"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DK</w:t>
            </w:r>
          </w:p>
        </w:tc>
        <w:tc>
          <w:tcPr>
            <w:tcW w:w="1849" w:type="dxa"/>
            <w:shd w:val="clear" w:color="auto" w:fill="auto"/>
            <w:noWrap/>
            <w:vAlign w:val="bottom"/>
            <w:hideMark/>
          </w:tcPr>
          <w:p w14:paraId="1665D69E"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r w:rsidR="00D21393" w:rsidRPr="003C6DBD" w14:paraId="7ED7B311" w14:textId="77777777" w:rsidTr="003117FC">
        <w:trPr>
          <w:trHeight w:val="326"/>
        </w:trPr>
        <w:tc>
          <w:tcPr>
            <w:tcW w:w="900" w:type="dxa"/>
            <w:shd w:val="clear" w:color="auto" w:fill="auto"/>
            <w:noWrap/>
            <w:vAlign w:val="bottom"/>
          </w:tcPr>
          <w:p w14:paraId="4CC0873C"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7</w:t>
            </w:r>
          </w:p>
        </w:tc>
        <w:tc>
          <w:tcPr>
            <w:tcW w:w="5551" w:type="dxa"/>
            <w:shd w:val="clear" w:color="auto" w:fill="auto"/>
            <w:noWrap/>
            <w:vAlign w:val="center"/>
            <w:hideMark/>
          </w:tcPr>
          <w:p w14:paraId="1110F539"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proofErr w:type="spellStart"/>
            <w:r w:rsidRPr="003C6DBD">
              <w:rPr>
                <w:rFonts w:ascii="Times New Roman" w:eastAsia="Times New Roman" w:hAnsi="Times New Roman" w:cs="Times New Roman"/>
                <w:color w:val="0D0D0D" w:themeColor="text1" w:themeTint="F2"/>
                <w:sz w:val="24"/>
                <w:szCs w:val="24"/>
              </w:rPr>
              <w:t>Ecopetrol</w:t>
            </w:r>
            <w:proofErr w:type="spellEnd"/>
            <w:r w:rsidRPr="003C6DBD">
              <w:rPr>
                <w:rFonts w:ascii="Times New Roman" w:eastAsia="Times New Roman" w:hAnsi="Times New Roman" w:cs="Times New Roman"/>
                <w:color w:val="0D0D0D" w:themeColor="text1" w:themeTint="F2"/>
                <w:sz w:val="24"/>
                <w:szCs w:val="24"/>
              </w:rPr>
              <w:t xml:space="preserve"> S.A. </w:t>
            </w:r>
          </w:p>
        </w:tc>
        <w:tc>
          <w:tcPr>
            <w:tcW w:w="1256" w:type="dxa"/>
            <w:shd w:val="clear" w:color="auto" w:fill="auto"/>
            <w:vAlign w:val="center"/>
            <w:hideMark/>
          </w:tcPr>
          <w:p w14:paraId="529C38D0"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EC</w:t>
            </w:r>
          </w:p>
        </w:tc>
        <w:tc>
          <w:tcPr>
            <w:tcW w:w="1849" w:type="dxa"/>
            <w:shd w:val="clear" w:color="auto" w:fill="auto"/>
            <w:noWrap/>
            <w:vAlign w:val="bottom"/>
            <w:hideMark/>
          </w:tcPr>
          <w:p w14:paraId="4E3C6ABD"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r w:rsidR="00D21393" w:rsidRPr="003C6DBD" w14:paraId="0DD8C314" w14:textId="77777777" w:rsidTr="003117FC">
        <w:trPr>
          <w:trHeight w:val="326"/>
        </w:trPr>
        <w:tc>
          <w:tcPr>
            <w:tcW w:w="900" w:type="dxa"/>
            <w:shd w:val="clear" w:color="auto" w:fill="auto"/>
            <w:noWrap/>
            <w:vAlign w:val="bottom"/>
          </w:tcPr>
          <w:p w14:paraId="33FD8E49"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8</w:t>
            </w:r>
          </w:p>
        </w:tc>
        <w:tc>
          <w:tcPr>
            <w:tcW w:w="5551" w:type="dxa"/>
            <w:shd w:val="clear" w:color="auto" w:fill="auto"/>
            <w:noWrap/>
            <w:vAlign w:val="center"/>
            <w:hideMark/>
          </w:tcPr>
          <w:p w14:paraId="21484AC8"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Green Plains Partners LP </w:t>
            </w:r>
          </w:p>
        </w:tc>
        <w:tc>
          <w:tcPr>
            <w:tcW w:w="1256" w:type="dxa"/>
            <w:shd w:val="clear" w:color="auto" w:fill="auto"/>
            <w:vAlign w:val="center"/>
            <w:hideMark/>
          </w:tcPr>
          <w:p w14:paraId="6D69A056"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GPP</w:t>
            </w:r>
          </w:p>
        </w:tc>
        <w:tc>
          <w:tcPr>
            <w:tcW w:w="1849" w:type="dxa"/>
            <w:shd w:val="clear" w:color="auto" w:fill="auto"/>
            <w:noWrap/>
            <w:vAlign w:val="bottom"/>
            <w:hideMark/>
          </w:tcPr>
          <w:p w14:paraId="0839009A"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r w:rsidR="00D21393" w:rsidRPr="003C6DBD" w14:paraId="71BCBB6A" w14:textId="77777777" w:rsidTr="003117FC">
        <w:trPr>
          <w:trHeight w:val="326"/>
        </w:trPr>
        <w:tc>
          <w:tcPr>
            <w:tcW w:w="900" w:type="dxa"/>
            <w:shd w:val="clear" w:color="auto" w:fill="auto"/>
            <w:noWrap/>
            <w:vAlign w:val="bottom"/>
          </w:tcPr>
          <w:p w14:paraId="4FC09368"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9</w:t>
            </w:r>
          </w:p>
        </w:tc>
        <w:tc>
          <w:tcPr>
            <w:tcW w:w="5551" w:type="dxa"/>
            <w:shd w:val="clear" w:color="auto" w:fill="auto"/>
            <w:noWrap/>
            <w:vAlign w:val="center"/>
            <w:hideMark/>
          </w:tcPr>
          <w:p w14:paraId="29E3DF04"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lang w:val="es-MX"/>
              </w:rPr>
            </w:pPr>
            <w:r w:rsidRPr="003C6DBD">
              <w:rPr>
                <w:rFonts w:ascii="Times New Roman" w:eastAsia="Times New Roman" w:hAnsi="Times New Roman" w:cs="Times New Roman"/>
                <w:color w:val="0D0D0D" w:themeColor="text1" w:themeTint="F2"/>
                <w:sz w:val="24"/>
                <w:szCs w:val="24"/>
                <w:lang w:val="es-MX"/>
              </w:rPr>
              <w:t xml:space="preserve">Petróleo Brasileiro S.A. - Petrobras </w:t>
            </w:r>
          </w:p>
        </w:tc>
        <w:tc>
          <w:tcPr>
            <w:tcW w:w="1256" w:type="dxa"/>
            <w:shd w:val="clear" w:color="auto" w:fill="auto"/>
            <w:noWrap/>
            <w:vAlign w:val="center"/>
            <w:hideMark/>
          </w:tcPr>
          <w:p w14:paraId="25EF54F3"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PBR</w:t>
            </w:r>
          </w:p>
        </w:tc>
        <w:tc>
          <w:tcPr>
            <w:tcW w:w="1849" w:type="dxa"/>
            <w:shd w:val="clear" w:color="auto" w:fill="auto"/>
            <w:noWrap/>
            <w:vAlign w:val="bottom"/>
            <w:hideMark/>
          </w:tcPr>
          <w:p w14:paraId="699AC677"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r w:rsidR="00D21393" w:rsidRPr="003C6DBD" w14:paraId="7BE92A04" w14:textId="77777777" w:rsidTr="003117FC">
        <w:trPr>
          <w:trHeight w:val="326"/>
        </w:trPr>
        <w:tc>
          <w:tcPr>
            <w:tcW w:w="900" w:type="dxa"/>
            <w:shd w:val="clear" w:color="auto" w:fill="auto"/>
            <w:noWrap/>
            <w:vAlign w:val="bottom"/>
          </w:tcPr>
          <w:p w14:paraId="706EB8D5"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10</w:t>
            </w:r>
          </w:p>
        </w:tc>
        <w:tc>
          <w:tcPr>
            <w:tcW w:w="5551" w:type="dxa"/>
            <w:shd w:val="clear" w:color="auto" w:fill="auto"/>
            <w:noWrap/>
            <w:vAlign w:val="center"/>
            <w:hideMark/>
          </w:tcPr>
          <w:p w14:paraId="62B5AFCC"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lang w:val="es-MX"/>
              </w:rPr>
            </w:pPr>
            <w:r w:rsidRPr="003C6DBD">
              <w:rPr>
                <w:rFonts w:ascii="Times New Roman" w:eastAsia="Times New Roman" w:hAnsi="Times New Roman" w:cs="Times New Roman"/>
                <w:color w:val="0D0D0D" w:themeColor="text1" w:themeTint="F2"/>
                <w:sz w:val="24"/>
                <w:szCs w:val="24"/>
              </w:rPr>
              <w:t xml:space="preserve">Royal Dutch Shell plc </w:t>
            </w:r>
          </w:p>
        </w:tc>
        <w:tc>
          <w:tcPr>
            <w:tcW w:w="1256" w:type="dxa"/>
            <w:shd w:val="clear" w:color="auto" w:fill="auto"/>
            <w:noWrap/>
            <w:vAlign w:val="center"/>
            <w:hideMark/>
          </w:tcPr>
          <w:p w14:paraId="6F261F04"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SHEL</w:t>
            </w:r>
          </w:p>
        </w:tc>
        <w:tc>
          <w:tcPr>
            <w:tcW w:w="1849" w:type="dxa"/>
            <w:shd w:val="clear" w:color="auto" w:fill="auto"/>
            <w:noWrap/>
            <w:vAlign w:val="bottom"/>
            <w:hideMark/>
          </w:tcPr>
          <w:p w14:paraId="2480CA9A"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r w:rsidR="00D21393" w:rsidRPr="003C6DBD" w14:paraId="2BD555A6" w14:textId="77777777" w:rsidTr="003117FC">
        <w:trPr>
          <w:trHeight w:val="326"/>
        </w:trPr>
        <w:tc>
          <w:tcPr>
            <w:tcW w:w="900" w:type="dxa"/>
            <w:shd w:val="clear" w:color="auto" w:fill="auto"/>
            <w:noWrap/>
            <w:vAlign w:val="bottom"/>
          </w:tcPr>
          <w:p w14:paraId="3AFDE4DF"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11</w:t>
            </w:r>
          </w:p>
        </w:tc>
        <w:tc>
          <w:tcPr>
            <w:tcW w:w="5551" w:type="dxa"/>
            <w:shd w:val="clear" w:color="auto" w:fill="auto"/>
            <w:noWrap/>
            <w:vAlign w:val="center"/>
            <w:hideMark/>
          </w:tcPr>
          <w:p w14:paraId="39421DF2"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The Andersons, Inc.</w:t>
            </w:r>
          </w:p>
        </w:tc>
        <w:tc>
          <w:tcPr>
            <w:tcW w:w="1256" w:type="dxa"/>
            <w:shd w:val="clear" w:color="auto" w:fill="auto"/>
            <w:noWrap/>
            <w:vAlign w:val="center"/>
            <w:hideMark/>
          </w:tcPr>
          <w:p w14:paraId="3883AC13"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ANDE</w:t>
            </w:r>
          </w:p>
        </w:tc>
        <w:tc>
          <w:tcPr>
            <w:tcW w:w="1849" w:type="dxa"/>
            <w:shd w:val="clear" w:color="auto" w:fill="auto"/>
            <w:noWrap/>
            <w:vAlign w:val="bottom"/>
            <w:hideMark/>
          </w:tcPr>
          <w:p w14:paraId="2E6D229B"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r w:rsidR="00C3000E" w:rsidRPr="003C6DBD" w14:paraId="380B5FC7" w14:textId="77777777" w:rsidTr="003117FC">
        <w:trPr>
          <w:trHeight w:val="326"/>
        </w:trPr>
        <w:tc>
          <w:tcPr>
            <w:tcW w:w="900" w:type="dxa"/>
            <w:shd w:val="clear" w:color="auto" w:fill="auto"/>
            <w:noWrap/>
            <w:vAlign w:val="bottom"/>
          </w:tcPr>
          <w:p w14:paraId="324383C4"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12</w:t>
            </w:r>
          </w:p>
        </w:tc>
        <w:tc>
          <w:tcPr>
            <w:tcW w:w="5551" w:type="dxa"/>
            <w:shd w:val="clear" w:color="auto" w:fill="auto"/>
            <w:noWrap/>
            <w:vAlign w:val="center"/>
            <w:hideMark/>
          </w:tcPr>
          <w:p w14:paraId="6322D476"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Valero Energy Corporation </w:t>
            </w:r>
          </w:p>
        </w:tc>
        <w:tc>
          <w:tcPr>
            <w:tcW w:w="1256" w:type="dxa"/>
            <w:shd w:val="clear" w:color="auto" w:fill="auto"/>
            <w:noWrap/>
            <w:vAlign w:val="center"/>
            <w:hideMark/>
          </w:tcPr>
          <w:p w14:paraId="4A3DA00A"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VLO</w:t>
            </w:r>
          </w:p>
        </w:tc>
        <w:tc>
          <w:tcPr>
            <w:tcW w:w="1849" w:type="dxa"/>
            <w:shd w:val="clear" w:color="auto" w:fill="auto"/>
            <w:noWrap/>
            <w:vAlign w:val="bottom"/>
            <w:hideMark/>
          </w:tcPr>
          <w:p w14:paraId="39316C0F" w14:textId="77777777" w:rsidR="00C3000E" w:rsidRPr="003C6DBD" w:rsidRDefault="00C3000E" w:rsidP="00154E66">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r>
    </w:tbl>
    <w:p w14:paraId="3470C0BD" w14:textId="77777777" w:rsidR="00154E66" w:rsidRPr="003C6DBD" w:rsidRDefault="00154E66" w:rsidP="00154E66">
      <w:pPr>
        <w:pStyle w:val="Caption"/>
        <w:keepNext/>
        <w:spacing w:line="480" w:lineRule="auto"/>
        <w:rPr>
          <w:rFonts w:ascii="Times New Roman" w:hAnsi="Times New Roman" w:cs="Times New Roman"/>
          <w:color w:val="0D0D0D" w:themeColor="text1" w:themeTint="F2"/>
          <w:sz w:val="24"/>
          <w:szCs w:val="24"/>
        </w:rPr>
      </w:pPr>
    </w:p>
    <w:p w14:paraId="3F7C40D4" w14:textId="77777777" w:rsidR="00154E66" w:rsidRPr="003C6DBD" w:rsidRDefault="00154E66" w:rsidP="00154E66">
      <w:pPr>
        <w:pStyle w:val="Caption"/>
        <w:keepNext/>
        <w:spacing w:line="480" w:lineRule="auto"/>
        <w:rPr>
          <w:rFonts w:ascii="Times New Roman" w:hAnsi="Times New Roman" w:cs="Times New Roman"/>
          <w:color w:val="0D0D0D" w:themeColor="text1" w:themeTint="F2"/>
          <w:sz w:val="24"/>
          <w:szCs w:val="24"/>
        </w:rPr>
      </w:pPr>
    </w:p>
    <w:p w14:paraId="315BE56E" w14:textId="77777777" w:rsidR="00154E66" w:rsidRPr="003C6DBD" w:rsidRDefault="00154E66" w:rsidP="00154E66">
      <w:pPr>
        <w:rPr>
          <w:rFonts w:ascii="Times New Roman" w:hAnsi="Times New Roman" w:cs="Times New Roman"/>
          <w:color w:val="0D0D0D" w:themeColor="text1" w:themeTint="F2"/>
          <w:sz w:val="24"/>
          <w:szCs w:val="24"/>
        </w:rPr>
      </w:pPr>
    </w:p>
    <w:p w14:paraId="4424D295" w14:textId="77777777" w:rsidR="00154E66" w:rsidRPr="003C6DBD" w:rsidRDefault="00154E66" w:rsidP="00154E66">
      <w:pPr>
        <w:rPr>
          <w:rFonts w:ascii="Times New Roman" w:hAnsi="Times New Roman" w:cs="Times New Roman"/>
          <w:color w:val="0D0D0D" w:themeColor="text1" w:themeTint="F2"/>
          <w:sz w:val="24"/>
          <w:szCs w:val="24"/>
        </w:rPr>
      </w:pPr>
    </w:p>
    <w:p w14:paraId="0FB97E54" w14:textId="77777777" w:rsidR="00154E66" w:rsidRPr="003C6DBD" w:rsidRDefault="00154E66" w:rsidP="00154E66">
      <w:pPr>
        <w:rPr>
          <w:rFonts w:ascii="Times New Roman" w:hAnsi="Times New Roman" w:cs="Times New Roman"/>
          <w:color w:val="0D0D0D" w:themeColor="text1" w:themeTint="F2"/>
          <w:sz w:val="24"/>
          <w:szCs w:val="24"/>
        </w:rPr>
      </w:pPr>
    </w:p>
    <w:p w14:paraId="28F78AEB" w14:textId="77777777" w:rsidR="00154E66" w:rsidRPr="003C6DBD" w:rsidRDefault="00154E66" w:rsidP="00154E66">
      <w:pPr>
        <w:pStyle w:val="Caption"/>
        <w:keepNext/>
        <w:spacing w:line="480" w:lineRule="auto"/>
        <w:rPr>
          <w:rFonts w:ascii="Times New Roman" w:hAnsi="Times New Roman" w:cs="Times New Roman"/>
          <w:color w:val="0D0D0D" w:themeColor="text1" w:themeTint="F2"/>
          <w:sz w:val="24"/>
          <w:szCs w:val="24"/>
        </w:rPr>
      </w:pPr>
    </w:p>
    <w:p w14:paraId="6BAC9702" w14:textId="77777777" w:rsidR="00C6134D" w:rsidRPr="003C6DBD" w:rsidRDefault="00C6134D" w:rsidP="00C6134D">
      <w:pPr>
        <w:rPr>
          <w:rFonts w:ascii="Times New Roman" w:hAnsi="Times New Roman" w:cs="Times New Roman"/>
          <w:color w:val="0D0D0D" w:themeColor="text1" w:themeTint="F2"/>
        </w:rPr>
      </w:pPr>
    </w:p>
    <w:p w14:paraId="27663773" w14:textId="54FD2F27" w:rsidR="00C3000E" w:rsidRPr="003C6DBD" w:rsidRDefault="00C3000E" w:rsidP="00154E66">
      <w:pPr>
        <w:pStyle w:val="Caption"/>
        <w:keepNext/>
        <w:spacing w:line="480" w:lineRule="auto"/>
        <w:rPr>
          <w:rFonts w:ascii="Times New Roman" w:hAnsi="Times New Roman" w:cs="Times New Roman"/>
          <w:color w:val="0D0D0D" w:themeColor="text1" w:themeTint="F2"/>
          <w:sz w:val="24"/>
          <w:szCs w:val="24"/>
        </w:rPr>
      </w:pPr>
      <w:bookmarkStart w:id="63" w:name="_Toc132671824"/>
      <w:r w:rsidRPr="003C6DBD">
        <w:rPr>
          <w:rFonts w:ascii="Times New Roman" w:hAnsi="Times New Roman" w:cs="Times New Roman"/>
          <w:color w:val="0D0D0D" w:themeColor="text1" w:themeTint="F2"/>
          <w:sz w:val="24"/>
          <w:szCs w:val="24"/>
        </w:rPr>
        <w:lastRenderedPageBreak/>
        <w:t xml:space="preserve">Table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Table \* ARABIC </w:instrText>
      </w:r>
      <w:r w:rsidRPr="003C6DBD">
        <w:rPr>
          <w:rFonts w:ascii="Times New Roman" w:hAnsi="Times New Roman" w:cs="Times New Roman"/>
          <w:color w:val="0D0D0D" w:themeColor="text1" w:themeTint="F2"/>
          <w:sz w:val="24"/>
          <w:szCs w:val="24"/>
        </w:rPr>
        <w:fldChar w:fldCharType="separate"/>
      </w:r>
      <w:r w:rsidR="00154E66" w:rsidRPr="003C6DBD">
        <w:rPr>
          <w:rFonts w:ascii="Times New Roman" w:hAnsi="Times New Roman" w:cs="Times New Roman"/>
          <w:noProof/>
          <w:color w:val="0D0D0D" w:themeColor="text1" w:themeTint="F2"/>
          <w:sz w:val="24"/>
          <w:szCs w:val="24"/>
        </w:rPr>
        <w:t>10</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Financial ratios and formulas used </w:t>
      </w:r>
      <w:bookmarkEnd w:id="63"/>
      <w:r w:rsidR="001477C8" w:rsidRPr="003C6DBD">
        <w:rPr>
          <w:rFonts w:ascii="Times New Roman" w:hAnsi="Times New Roman" w:cs="Times New Roman"/>
          <w:color w:val="0D0D0D" w:themeColor="text1" w:themeTint="F2"/>
          <w:sz w:val="24"/>
          <w:szCs w:val="24"/>
        </w:rPr>
        <w:t>in this study.</w:t>
      </w:r>
    </w:p>
    <w:tbl>
      <w:tblPr>
        <w:tblStyle w:val="TableGrid"/>
        <w:tblW w:w="919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6"/>
        <w:gridCol w:w="2871"/>
        <w:gridCol w:w="5017"/>
      </w:tblGrid>
      <w:tr w:rsidR="00D21393" w:rsidRPr="003C6DBD" w14:paraId="6CB4D969" w14:textId="77777777" w:rsidTr="003117FC">
        <w:trPr>
          <w:trHeight w:val="356"/>
        </w:trPr>
        <w:tc>
          <w:tcPr>
            <w:tcW w:w="1311" w:type="dxa"/>
            <w:tcBorders>
              <w:top w:val="single" w:sz="4" w:space="0" w:color="auto"/>
              <w:bottom w:val="single" w:sz="4" w:space="0" w:color="auto"/>
            </w:tcBorders>
            <w:noWrap/>
          </w:tcPr>
          <w:p w14:paraId="176A0EAC" w14:textId="77777777" w:rsidR="00C3000E" w:rsidRPr="003C6DBD" w:rsidRDefault="00C3000E" w:rsidP="00154E66">
            <w:pPr>
              <w:tabs>
                <w:tab w:val="left" w:pos="1050"/>
              </w:tabs>
              <w:spacing w:line="480" w:lineRule="auto"/>
              <w:rPr>
                <w:rFonts w:ascii="Times New Roman" w:hAnsi="Times New Roman" w:cs="Times New Roman"/>
                <w:b/>
                <w:bCs/>
                <w:color w:val="0D0D0D" w:themeColor="text1" w:themeTint="F2"/>
                <w:sz w:val="24"/>
                <w:szCs w:val="24"/>
              </w:rPr>
            </w:pPr>
            <w:r w:rsidRPr="003C6DBD">
              <w:rPr>
                <w:rFonts w:ascii="Times New Roman" w:hAnsi="Times New Roman" w:cs="Times New Roman"/>
                <w:b/>
                <w:bCs/>
                <w:color w:val="0D0D0D" w:themeColor="text1" w:themeTint="F2"/>
                <w:sz w:val="24"/>
                <w:szCs w:val="24"/>
              </w:rPr>
              <w:t>Categories</w:t>
            </w:r>
          </w:p>
        </w:tc>
        <w:tc>
          <w:tcPr>
            <w:tcW w:w="2871" w:type="dxa"/>
            <w:tcBorders>
              <w:top w:val="single" w:sz="4" w:space="0" w:color="auto"/>
              <w:bottom w:val="single" w:sz="4" w:space="0" w:color="auto"/>
            </w:tcBorders>
            <w:noWrap/>
          </w:tcPr>
          <w:p w14:paraId="5AC1926E" w14:textId="77777777" w:rsidR="00C3000E" w:rsidRPr="003C6DBD" w:rsidRDefault="00C3000E" w:rsidP="00154E66">
            <w:pPr>
              <w:tabs>
                <w:tab w:val="left" w:pos="1050"/>
              </w:tabs>
              <w:spacing w:line="480" w:lineRule="auto"/>
              <w:rPr>
                <w:rFonts w:ascii="Times New Roman" w:hAnsi="Times New Roman" w:cs="Times New Roman"/>
                <w:b/>
                <w:bCs/>
                <w:color w:val="0D0D0D" w:themeColor="text1" w:themeTint="F2"/>
                <w:sz w:val="24"/>
                <w:szCs w:val="24"/>
              </w:rPr>
            </w:pPr>
            <w:r w:rsidRPr="003C6DBD">
              <w:rPr>
                <w:rFonts w:ascii="Times New Roman" w:hAnsi="Times New Roman" w:cs="Times New Roman"/>
                <w:b/>
                <w:bCs/>
                <w:color w:val="0D0D0D" w:themeColor="text1" w:themeTint="F2"/>
                <w:sz w:val="24"/>
                <w:szCs w:val="24"/>
              </w:rPr>
              <w:t>Financial ratios</w:t>
            </w:r>
          </w:p>
        </w:tc>
        <w:tc>
          <w:tcPr>
            <w:tcW w:w="5017" w:type="dxa"/>
            <w:tcBorders>
              <w:top w:val="single" w:sz="4" w:space="0" w:color="auto"/>
              <w:bottom w:val="single" w:sz="4" w:space="0" w:color="auto"/>
            </w:tcBorders>
            <w:noWrap/>
          </w:tcPr>
          <w:p w14:paraId="4F1B7DC5" w14:textId="77777777" w:rsidR="00C3000E" w:rsidRPr="003C6DBD" w:rsidRDefault="00C3000E" w:rsidP="00154E66">
            <w:pPr>
              <w:tabs>
                <w:tab w:val="left" w:pos="1050"/>
              </w:tabs>
              <w:spacing w:line="480" w:lineRule="auto"/>
              <w:rPr>
                <w:rFonts w:ascii="Times New Roman" w:hAnsi="Times New Roman" w:cs="Times New Roman"/>
                <w:b/>
                <w:bCs/>
                <w:color w:val="0D0D0D" w:themeColor="text1" w:themeTint="F2"/>
                <w:sz w:val="24"/>
                <w:szCs w:val="24"/>
              </w:rPr>
            </w:pPr>
            <w:r w:rsidRPr="003C6DBD">
              <w:rPr>
                <w:rFonts w:ascii="Times New Roman" w:hAnsi="Times New Roman" w:cs="Times New Roman"/>
                <w:b/>
                <w:bCs/>
                <w:color w:val="0D0D0D" w:themeColor="text1" w:themeTint="F2"/>
                <w:sz w:val="24"/>
                <w:szCs w:val="24"/>
              </w:rPr>
              <w:t>Formulas</w:t>
            </w:r>
          </w:p>
        </w:tc>
      </w:tr>
      <w:tr w:rsidR="00D21393" w:rsidRPr="003C6DBD" w14:paraId="6C760633" w14:textId="77777777" w:rsidTr="003117FC">
        <w:trPr>
          <w:trHeight w:val="356"/>
        </w:trPr>
        <w:tc>
          <w:tcPr>
            <w:tcW w:w="1311" w:type="dxa"/>
            <w:tcBorders>
              <w:top w:val="single" w:sz="4" w:space="0" w:color="auto"/>
            </w:tcBorders>
            <w:noWrap/>
            <w:hideMark/>
          </w:tcPr>
          <w:p w14:paraId="71059218" w14:textId="25632584"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Profitability </w:t>
            </w:r>
          </w:p>
        </w:tc>
        <w:tc>
          <w:tcPr>
            <w:tcW w:w="2871" w:type="dxa"/>
            <w:tcBorders>
              <w:top w:val="single" w:sz="4" w:space="0" w:color="auto"/>
            </w:tcBorders>
            <w:noWrap/>
            <w:hideMark/>
          </w:tcPr>
          <w:p w14:paraId="7DC293C8"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Return on asset </w:t>
            </w:r>
          </w:p>
        </w:tc>
        <w:tc>
          <w:tcPr>
            <w:tcW w:w="5017" w:type="dxa"/>
            <w:tcBorders>
              <w:top w:val="single" w:sz="4" w:space="0" w:color="auto"/>
            </w:tcBorders>
            <w:noWrap/>
            <w:hideMark/>
          </w:tcPr>
          <w:p w14:paraId="2CAC639B" w14:textId="3B991CA8"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(EBIT</w:t>
            </w:r>
            <w:r w:rsidRPr="003C6DBD">
              <w:rPr>
                <w:rStyle w:val="FootnoteReference"/>
                <w:rFonts w:ascii="Times New Roman" w:hAnsi="Times New Roman" w:cs="Times New Roman"/>
                <w:color w:val="0D0D0D" w:themeColor="text1" w:themeTint="F2"/>
                <w:sz w:val="24"/>
                <w:szCs w:val="24"/>
              </w:rPr>
              <w:footnoteReference w:id="15"/>
            </w:r>
            <w:r w:rsidRPr="003C6DBD">
              <w:rPr>
                <w:rFonts w:ascii="Times New Roman" w:hAnsi="Times New Roman" w:cs="Times New Roman"/>
                <w:color w:val="0D0D0D" w:themeColor="text1" w:themeTint="F2"/>
                <w:sz w:val="24"/>
                <w:szCs w:val="24"/>
              </w:rPr>
              <w:t> * 0.625</w:t>
            </w:r>
            <w:r w:rsidR="00154E66" w:rsidRPr="003C6DBD">
              <w:rPr>
                <w:rStyle w:val="FootnoteReference"/>
                <w:rFonts w:ascii="Times New Roman" w:hAnsi="Times New Roman" w:cs="Times New Roman"/>
                <w:color w:val="0D0D0D" w:themeColor="text1" w:themeTint="F2"/>
                <w:sz w:val="24"/>
                <w:szCs w:val="24"/>
              </w:rPr>
              <w:footnoteReference w:id="16"/>
            </w:r>
            <w:r w:rsidRPr="003C6DBD">
              <w:rPr>
                <w:rFonts w:ascii="Times New Roman" w:hAnsi="Times New Roman" w:cs="Times New Roman"/>
                <w:color w:val="0D0D0D" w:themeColor="text1" w:themeTint="F2"/>
                <w:sz w:val="24"/>
                <w:szCs w:val="24"/>
              </w:rPr>
              <w:t>) / ((Total assets</w:t>
            </w:r>
            <w:r w:rsidRPr="003C6DBD">
              <w:rPr>
                <w:rFonts w:ascii="Times New Roman" w:hAnsi="Times New Roman" w:cs="Times New Roman"/>
                <w:color w:val="0D0D0D" w:themeColor="text1" w:themeTint="F2"/>
                <w:sz w:val="24"/>
                <w:szCs w:val="24"/>
                <w:vertAlign w:val="subscript"/>
              </w:rPr>
              <w:t>t-1</w:t>
            </w:r>
            <w:r w:rsidRPr="003C6DBD">
              <w:rPr>
                <w:rStyle w:val="FootnoteReference"/>
                <w:rFonts w:ascii="Times New Roman" w:hAnsi="Times New Roman" w:cs="Times New Roman"/>
                <w:color w:val="0D0D0D" w:themeColor="text1" w:themeTint="F2"/>
                <w:sz w:val="24"/>
                <w:szCs w:val="24"/>
              </w:rPr>
              <w:footnoteReference w:id="17"/>
            </w:r>
            <w:r w:rsidRPr="003C6DBD">
              <w:rPr>
                <w:rFonts w:ascii="Times New Roman" w:hAnsi="Times New Roman" w:cs="Times New Roman"/>
                <w:color w:val="0D0D0D" w:themeColor="text1" w:themeTint="F2"/>
                <w:sz w:val="24"/>
                <w:szCs w:val="24"/>
              </w:rPr>
              <w:t xml:space="preserve"> + Total assets</w:t>
            </w:r>
            <w:r w:rsidRPr="003C6DBD">
              <w:rPr>
                <w:rFonts w:ascii="Times New Roman" w:hAnsi="Times New Roman" w:cs="Times New Roman"/>
                <w:color w:val="0D0D0D" w:themeColor="text1" w:themeTint="F2"/>
                <w:sz w:val="24"/>
                <w:szCs w:val="24"/>
                <w:vertAlign w:val="subscript"/>
              </w:rPr>
              <w:t>t-1</w:t>
            </w:r>
            <w:r w:rsidRPr="003C6DBD">
              <w:rPr>
                <w:rStyle w:val="FootnoteReference"/>
                <w:rFonts w:ascii="Times New Roman" w:hAnsi="Times New Roman" w:cs="Times New Roman"/>
                <w:color w:val="0D0D0D" w:themeColor="text1" w:themeTint="F2"/>
                <w:sz w:val="24"/>
                <w:szCs w:val="24"/>
              </w:rPr>
              <w:footnoteReference w:id="18"/>
            </w:r>
            <w:r w:rsidRPr="003C6DBD">
              <w:rPr>
                <w:rFonts w:ascii="Times New Roman" w:hAnsi="Times New Roman" w:cs="Times New Roman"/>
                <w:color w:val="0D0D0D" w:themeColor="text1" w:themeTint="F2"/>
                <w:sz w:val="24"/>
                <w:szCs w:val="24"/>
              </w:rPr>
              <w:t>) / 2)</w:t>
            </w:r>
          </w:p>
        </w:tc>
      </w:tr>
      <w:tr w:rsidR="00D21393" w:rsidRPr="003C6DBD" w14:paraId="7D782C5D" w14:textId="77777777" w:rsidTr="003117FC">
        <w:trPr>
          <w:trHeight w:val="356"/>
        </w:trPr>
        <w:tc>
          <w:tcPr>
            <w:tcW w:w="1311" w:type="dxa"/>
            <w:noWrap/>
            <w:hideMark/>
          </w:tcPr>
          <w:p w14:paraId="06D8CB04"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p>
        </w:tc>
        <w:tc>
          <w:tcPr>
            <w:tcW w:w="2871" w:type="dxa"/>
            <w:noWrap/>
          </w:tcPr>
          <w:p w14:paraId="45F10EED"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Return on equity </w:t>
            </w:r>
          </w:p>
        </w:tc>
        <w:tc>
          <w:tcPr>
            <w:tcW w:w="5017" w:type="dxa"/>
            <w:noWrap/>
          </w:tcPr>
          <w:p w14:paraId="4BD675F6" w14:textId="20FE0B34" w:rsidR="00C3000E" w:rsidRPr="003C6DBD" w:rsidRDefault="00000000" w:rsidP="00154E66">
            <w:pPr>
              <w:tabs>
                <w:tab w:val="left" w:pos="1050"/>
              </w:tabs>
              <w:spacing w:line="480" w:lineRule="auto"/>
              <w:rPr>
                <w:rFonts w:ascii="Times New Roman" w:hAnsi="Times New Roman" w:cs="Times New Roman"/>
                <w:color w:val="0D0D0D" w:themeColor="text1" w:themeTint="F2"/>
                <w:sz w:val="24"/>
                <w:szCs w:val="24"/>
              </w:rPr>
            </w:pPr>
            <m:oMathPara>
              <m:oMathParaPr>
                <m:jc m:val="left"/>
              </m:oMathParaPr>
              <m:oMath>
                <m:f>
                  <m:fPr>
                    <m:ctrlPr>
                      <w:rPr>
                        <w:rFonts w:ascii="Cambria Math" w:hAnsi="Cambria Math" w:cs="Times New Roman"/>
                        <w:i/>
                        <w:color w:val="0D0D0D" w:themeColor="text1" w:themeTint="F2"/>
                        <w:sz w:val="24"/>
                        <w:szCs w:val="24"/>
                      </w:rPr>
                    </m:ctrlPr>
                  </m:fPr>
                  <m:num>
                    <m:r>
                      <w:rPr>
                        <w:rFonts w:ascii="Cambria Math" w:hAnsi="Cambria Math" w:cs="Times New Roman"/>
                        <w:color w:val="0D0D0D" w:themeColor="text1" w:themeTint="F2"/>
                        <w:sz w:val="24"/>
                        <w:szCs w:val="24"/>
                      </w:rPr>
                      <m:t>Net income</m:t>
                    </m:r>
                  </m:num>
                  <m:den>
                    <m:r>
                      <w:rPr>
                        <w:rFonts w:ascii="Cambria Math" w:hAnsi="Cambria Math" w:cs="Times New Roman"/>
                        <w:color w:val="0D0D0D" w:themeColor="text1" w:themeTint="F2"/>
                        <w:sz w:val="24"/>
                        <w:szCs w:val="24"/>
                      </w:rPr>
                      <m:t>Equity</m:t>
                    </m:r>
                  </m:den>
                </m:f>
              </m:oMath>
            </m:oMathPara>
          </w:p>
        </w:tc>
      </w:tr>
      <w:tr w:rsidR="00D21393" w:rsidRPr="003C6DBD" w14:paraId="6FF298AA" w14:textId="77777777" w:rsidTr="003117FC">
        <w:trPr>
          <w:trHeight w:val="356"/>
        </w:trPr>
        <w:tc>
          <w:tcPr>
            <w:tcW w:w="1311" w:type="dxa"/>
            <w:noWrap/>
          </w:tcPr>
          <w:p w14:paraId="064AEF5D"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p>
        </w:tc>
        <w:tc>
          <w:tcPr>
            <w:tcW w:w="2871" w:type="dxa"/>
            <w:noWrap/>
          </w:tcPr>
          <w:p w14:paraId="03CD74C4"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Return on capital</w:t>
            </w:r>
          </w:p>
        </w:tc>
        <w:tc>
          <w:tcPr>
            <w:tcW w:w="5017" w:type="dxa"/>
            <w:noWrap/>
          </w:tcPr>
          <w:p w14:paraId="7C053C98"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(EBIT* 0.625) / ((Total </w:t>
            </w:r>
            <w:proofErr w:type="spellStart"/>
            <w:r w:rsidRPr="003C6DBD">
              <w:rPr>
                <w:rFonts w:ascii="Times New Roman" w:hAnsi="Times New Roman" w:cs="Times New Roman"/>
                <w:color w:val="0D0D0D" w:themeColor="text1" w:themeTint="F2"/>
                <w:sz w:val="24"/>
                <w:szCs w:val="24"/>
              </w:rPr>
              <w:t>capital</w:t>
            </w:r>
            <w:r w:rsidRPr="003C6DBD">
              <w:rPr>
                <w:rFonts w:ascii="Times New Roman" w:hAnsi="Times New Roman" w:cs="Times New Roman"/>
                <w:color w:val="0D0D0D" w:themeColor="text1" w:themeTint="F2"/>
                <w:sz w:val="24"/>
                <w:szCs w:val="24"/>
                <w:vertAlign w:val="subscript"/>
              </w:rPr>
              <w:t>t</w:t>
            </w:r>
            <w:proofErr w:type="spellEnd"/>
            <w:r w:rsidRPr="003C6DBD">
              <w:rPr>
                <w:rFonts w:ascii="Times New Roman" w:hAnsi="Times New Roman" w:cs="Times New Roman"/>
                <w:color w:val="0D0D0D" w:themeColor="text1" w:themeTint="F2"/>
                <w:sz w:val="24"/>
                <w:szCs w:val="24"/>
                <w:vertAlign w:val="subscript"/>
              </w:rPr>
              <w:t xml:space="preserve"> </w:t>
            </w:r>
            <w:r w:rsidRPr="003C6DBD">
              <w:rPr>
                <w:rFonts w:ascii="Times New Roman" w:hAnsi="Times New Roman" w:cs="Times New Roman"/>
                <w:color w:val="0D0D0D" w:themeColor="text1" w:themeTint="F2"/>
                <w:sz w:val="24"/>
                <w:szCs w:val="24"/>
              </w:rPr>
              <w:t>+ (Total capital)</w:t>
            </w:r>
            <w:r w:rsidRPr="003C6DBD">
              <w:rPr>
                <w:rFonts w:ascii="Times New Roman" w:hAnsi="Times New Roman" w:cs="Times New Roman"/>
                <w:color w:val="0D0D0D" w:themeColor="text1" w:themeTint="F2"/>
                <w:sz w:val="24"/>
                <w:szCs w:val="24"/>
                <w:vertAlign w:val="subscript"/>
              </w:rPr>
              <w:t>t-1</w:t>
            </w:r>
            <w:r w:rsidRPr="003C6DBD">
              <w:rPr>
                <w:rFonts w:ascii="Times New Roman" w:hAnsi="Times New Roman" w:cs="Times New Roman"/>
                <w:color w:val="0D0D0D" w:themeColor="text1" w:themeTint="F2"/>
                <w:sz w:val="24"/>
                <w:szCs w:val="24"/>
              </w:rPr>
              <w:t>) / 2)</w:t>
            </w:r>
          </w:p>
        </w:tc>
      </w:tr>
      <w:tr w:rsidR="00D21393" w:rsidRPr="003C6DBD" w14:paraId="23BCBBCB" w14:textId="77777777" w:rsidTr="003117FC">
        <w:trPr>
          <w:trHeight w:val="356"/>
        </w:trPr>
        <w:tc>
          <w:tcPr>
            <w:tcW w:w="1311" w:type="dxa"/>
            <w:noWrap/>
            <w:hideMark/>
          </w:tcPr>
          <w:p w14:paraId="48D79EEE"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p>
        </w:tc>
        <w:tc>
          <w:tcPr>
            <w:tcW w:w="2871" w:type="dxa"/>
            <w:noWrap/>
          </w:tcPr>
          <w:p w14:paraId="12F8DCF7"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Net margin</w:t>
            </w:r>
          </w:p>
        </w:tc>
        <w:tc>
          <w:tcPr>
            <w:tcW w:w="5017" w:type="dxa"/>
            <w:noWrap/>
          </w:tcPr>
          <w:p w14:paraId="7041B4A9"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Net income / Total revenues</w:t>
            </w:r>
          </w:p>
        </w:tc>
      </w:tr>
      <w:tr w:rsidR="00D21393" w:rsidRPr="003C6DBD" w14:paraId="49602E79" w14:textId="77777777" w:rsidTr="003117FC">
        <w:trPr>
          <w:trHeight w:val="356"/>
        </w:trPr>
        <w:tc>
          <w:tcPr>
            <w:tcW w:w="1311" w:type="dxa"/>
            <w:noWrap/>
          </w:tcPr>
          <w:p w14:paraId="1A7D3317"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p>
        </w:tc>
        <w:tc>
          <w:tcPr>
            <w:tcW w:w="2871" w:type="dxa"/>
            <w:noWrap/>
          </w:tcPr>
          <w:p w14:paraId="501DB2C0"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EBITDA margin</w:t>
            </w:r>
          </w:p>
        </w:tc>
        <w:tc>
          <w:tcPr>
            <w:tcW w:w="5017" w:type="dxa"/>
            <w:noWrap/>
          </w:tcPr>
          <w:p w14:paraId="1E5F4ED6" w14:textId="4A3D45C2"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(EBIT + D&amp;A</w:t>
            </w:r>
            <w:r w:rsidRPr="003C6DBD">
              <w:rPr>
                <w:rStyle w:val="FootnoteReference"/>
                <w:rFonts w:ascii="Times New Roman" w:hAnsi="Times New Roman" w:cs="Times New Roman"/>
                <w:color w:val="0D0D0D" w:themeColor="text1" w:themeTint="F2"/>
                <w:sz w:val="24"/>
                <w:szCs w:val="24"/>
              </w:rPr>
              <w:footnoteReference w:id="19"/>
            </w:r>
            <w:r w:rsidRPr="003C6DBD">
              <w:rPr>
                <w:rFonts w:ascii="Times New Roman" w:hAnsi="Times New Roman" w:cs="Times New Roman"/>
                <w:color w:val="0D0D0D" w:themeColor="text1" w:themeTint="F2"/>
                <w:sz w:val="24"/>
                <w:szCs w:val="24"/>
              </w:rPr>
              <w:t>) / Total revenues</w:t>
            </w:r>
          </w:p>
        </w:tc>
      </w:tr>
      <w:tr w:rsidR="00D21393" w:rsidRPr="003C6DBD" w14:paraId="1D364541" w14:textId="77777777" w:rsidTr="003117FC">
        <w:trPr>
          <w:trHeight w:val="356"/>
        </w:trPr>
        <w:tc>
          <w:tcPr>
            <w:tcW w:w="1311" w:type="dxa"/>
            <w:noWrap/>
          </w:tcPr>
          <w:p w14:paraId="09E3C3C8" w14:textId="61E5404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Liquidity </w:t>
            </w:r>
          </w:p>
        </w:tc>
        <w:tc>
          <w:tcPr>
            <w:tcW w:w="2871" w:type="dxa"/>
            <w:noWrap/>
          </w:tcPr>
          <w:p w14:paraId="01DA91BF"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Current ratio</w:t>
            </w:r>
          </w:p>
        </w:tc>
        <w:tc>
          <w:tcPr>
            <w:tcW w:w="5017" w:type="dxa"/>
            <w:noWrap/>
          </w:tcPr>
          <w:p w14:paraId="391607CE"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Total current assets / Total current liabilities</w:t>
            </w:r>
          </w:p>
        </w:tc>
      </w:tr>
      <w:tr w:rsidR="00D21393" w:rsidRPr="003C6DBD" w14:paraId="52B202EF" w14:textId="77777777" w:rsidTr="003117FC">
        <w:trPr>
          <w:trHeight w:val="356"/>
        </w:trPr>
        <w:tc>
          <w:tcPr>
            <w:tcW w:w="1311" w:type="dxa"/>
            <w:noWrap/>
          </w:tcPr>
          <w:p w14:paraId="460B89CE" w14:textId="43A50559"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Efficiency </w:t>
            </w:r>
          </w:p>
        </w:tc>
        <w:tc>
          <w:tcPr>
            <w:tcW w:w="2871" w:type="dxa"/>
            <w:noWrap/>
          </w:tcPr>
          <w:p w14:paraId="43B290B5"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Asset turnover</w:t>
            </w:r>
          </w:p>
        </w:tc>
        <w:tc>
          <w:tcPr>
            <w:tcW w:w="5017" w:type="dxa"/>
            <w:noWrap/>
          </w:tcPr>
          <w:p w14:paraId="346646AC" w14:textId="2BA9FB98"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Total revenues / ((Total </w:t>
            </w:r>
            <w:proofErr w:type="spellStart"/>
            <w:r w:rsidRPr="003C6DBD">
              <w:rPr>
                <w:rFonts w:ascii="Times New Roman" w:hAnsi="Times New Roman" w:cs="Times New Roman"/>
                <w:color w:val="0D0D0D" w:themeColor="text1" w:themeTint="F2"/>
                <w:sz w:val="24"/>
                <w:szCs w:val="24"/>
              </w:rPr>
              <w:t>assets</w:t>
            </w:r>
            <w:r w:rsidRPr="003C6DBD">
              <w:rPr>
                <w:rFonts w:ascii="Times New Roman" w:hAnsi="Times New Roman" w:cs="Times New Roman"/>
                <w:color w:val="0D0D0D" w:themeColor="text1" w:themeTint="F2"/>
                <w:sz w:val="24"/>
                <w:szCs w:val="24"/>
                <w:vertAlign w:val="subscript"/>
              </w:rPr>
              <w:t>t</w:t>
            </w:r>
            <w:proofErr w:type="spellEnd"/>
            <w:r w:rsidRPr="003C6DBD">
              <w:rPr>
                <w:rFonts w:ascii="Times New Roman" w:hAnsi="Times New Roman" w:cs="Times New Roman"/>
                <w:color w:val="0D0D0D" w:themeColor="text1" w:themeTint="F2"/>
                <w:sz w:val="24"/>
                <w:szCs w:val="24"/>
              </w:rPr>
              <w:t xml:space="preserve"> + Total assets</w:t>
            </w:r>
            <w:r w:rsidRPr="003C6DBD">
              <w:rPr>
                <w:rFonts w:ascii="Times New Roman" w:hAnsi="Times New Roman" w:cs="Times New Roman"/>
                <w:color w:val="0D0D0D" w:themeColor="text1" w:themeTint="F2"/>
                <w:sz w:val="24"/>
                <w:szCs w:val="24"/>
                <w:vertAlign w:val="subscript"/>
              </w:rPr>
              <w:t>t-1</w:t>
            </w:r>
            <w:r w:rsidR="001477C8"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t>/ 2)</w:t>
            </w:r>
          </w:p>
        </w:tc>
      </w:tr>
      <w:tr w:rsidR="00D21393" w:rsidRPr="003C6DBD" w14:paraId="016A7212" w14:textId="77777777" w:rsidTr="003117FC">
        <w:trPr>
          <w:trHeight w:val="356"/>
        </w:trPr>
        <w:tc>
          <w:tcPr>
            <w:tcW w:w="1311" w:type="dxa"/>
            <w:noWrap/>
            <w:hideMark/>
          </w:tcPr>
          <w:p w14:paraId="12276B7C"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p>
        </w:tc>
        <w:tc>
          <w:tcPr>
            <w:tcW w:w="2871" w:type="dxa"/>
            <w:noWrap/>
            <w:hideMark/>
          </w:tcPr>
          <w:p w14:paraId="0D5333AA"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Inventory turnover</w:t>
            </w:r>
          </w:p>
        </w:tc>
        <w:tc>
          <w:tcPr>
            <w:tcW w:w="5017" w:type="dxa"/>
            <w:noWrap/>
            <w:hideMark/>
          </w:tcPr>
          <w:p w14:paraId="4BF1BC66" w14:textId="77777777" w:rsidR="00C3000E" w:rsidRPr="003C6DBD" w:rsidRDefault="00C3000E" w:rsidP="00154E66">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Total cost of goods sold / ((</w:t>
            </w:r>
            <w:proofErr w:type="spellStart"/>
            <w:r w:rsidRPr="003C6DBD">
              <w:rPr>
                <w:rFonts w:ascii="Times New Roman" w:hAnsi="Times New Roman" w:cs="Times New Roman"/>
                <w:color w:val="0D0D0D" w:themeColor="text1" w:themeTint="F2"/>
                <w:sz w:val="24"/>
                <w:szCs w:val="24"/>
              </w:rPr>
              <w:t>Inventory</w:t>
            </w:r>
            <w:r w:rsidRPr="003C6DBD">
              <w:rPr>
                <w:rFonts w:ascii="Times New Roman" w:hAnsi="Times New Roman" w:cs="Times New Roman"/>
                <w:color w:val="0D0D0D" w:themeColor="text1" w:themeTint="F2"/>
                <w:sz w:val="24"/>
                <w:szCs w:val="24"/>
                <w:vertAlign w:val="subscript"/>
              </w:rPr>
              <w:t>t</w:t>
            </w:r>
            <w:proofErr w:type="spellEnd"/>
            <w:r w:rsidRPr="003C6DBD">
              <w:rPr>
                <w:rFonts w:ascii="Times New Roman" w:hAnsi="Times New Roman" w:cs="Times New Roman"/>
                <w:color w:val="0D0D0D" w:themeColor="text1" w:themeTint="F2"/>
                <w:sz w:val="24"/>
                <w:szCs w:val="24"/>
              </w:rPr>
              <w:t xml:space="preserve"> + Inventory</w:t>
            </w:r>
            <w:r w:rsidRPr="003C6DBD">
              <w:rPr>
                <w:rFonts w:ascii="Times New Roman" w:hAnsi="Times New Roman" w:cs="Times New Roman"/>
                <w:color w:val="0D0D0D" w:themeColor="text1" w:themeTint="F2"/>
                <w:sz w:val="24"/>
                <w:szCs w:val="24"/>
                <w:vertAlign w:val="subscript"/>
              </w:rPr>
              <w:t>t-1</w:t>
            </w:r>
            <w:r w:rsidRPr="003C6DBD">
              <w:rPr>
                <w:rFonts w:ascii="Times New Roman" w:hAnsi="Times New Roman" w:cs="Times New Roman"/>
                <w:color w:val="0D0D0D" w:themeColor="text1" w:themeTint="F2"/>
                <w:sz w:val="24"/>
                <w:szCs w:val="24"/>
              </w:rPr>
              <w:t>) / 2)</w:t>
            </w:r>
          </w:p>
          <w:p w14:paraId="13D58560"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p>
        </w:tc>
      </w:tr>
      <w:tr w:rsidR="00D21393" w:rsidRPr="003C6DBD" w14:paraId="559ADF19" w14:textId="77777777" w:rsidTr="003117FC">
        <w:trPr>
          <w:trHeight w:val="356"/>
        </w:trPr>
        <w:tc>
          <w:tcPr>
            <w:tcW w:w="1311" w:type="dxa"/>
            <w:noWrap/>
            <w:hideMark/>
          </w:tcPr>
          <w:p w14:paraId="6BA6C6DF" w14:textId="58DE8AC3"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Solvency </w:t>
            </w:r>
          </w:p>
        </w:tc>
        <w:tc>
          <w:tcPr>
            <w:tcW w:w="2871" w:type="dxa"/>
            <w:noWrap/>
            <w:hideMark/>
          </w:tcPr>
          <w:p w14:paraId="78284AE7"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Total debt to equity</w:t>
            </w:r>
          </w:p>
        </w:tc>
        <w:tc>
          <w:tcPr>
            <w:tcW w:w="5017" w:type="dxa"/>
            <w:noWrap/>
            <w:hideMark/>
          </w:tcPr>
          <w:p w14:paraId="3CCE68E5"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Total debt / Total equity</w:t>
            </w:r>
          </w:p>
        </w:tc>
      </w:tr>
      <w:tr w:rsidR="00D21393" w:rsidRPr="003C6DBD" w14:paraId="1D7D2814" w14:textId="77777777" w:rsidTr="003117FC">
        <w:trPr>
          <w:trHeight w:val="356"/>
        </w:trPr>
        <w:tc>
          <w:tcPr>
            <w:tcW w:w="1311" w:type="dxa"/>
            <w:noWrap/>
          </w:tcPr>
          <w:p w14:paraId="316DADFB"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p>
        </w:tc>
        <w:tc>
          <w:tcPr>
            <w:tcW w:w="2871" w:type="dxa"/>
            <w:noWrap/>
          </w:tcPr>
          <w:p w14:paraId="57B83F3D"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Assets to equity ratio</w:t>
            </w:r>
          </w:p>
        </w:tc>
        <w:tc>
          <w:tcPr>
            <w:tcW w:w="5017" w:type="dxa"/>
            <w:noWrap/>
          </w:tcPr>
          <w:p w14:paraId="525EE4D2"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Average total assets/Average shareholder equity</w:t>
            </w:r>
          </w:p>
        </w:tc>
      </w:tr>
      <w:tr w:rsidR="00D21393" w:rsidRPr="003C6DBD" w14:paraId="26CD963C" w14:textId="77777777" w:rsidTr="003117FC">
        <w:trPr>
          <w:trHeight w:val="356"/>
        </w:trPr>
        <w:tc>
          <w:tcPr>
            <w:tcW w:w="1311" w:type="dxa"/>
            <w:noWrap/>
            <w:hideMark/>
          </w:tcPr>
          <w:p w14:paraId="65774E4C" w14:textId="5AD7247A"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Market </w:t>
            </w:r>
          </w:p>
        </w:tc>
        <w:tc>
          <w:tcPr>
            <w:tcW w:w="2871" w:type="dxa"/>
            <w:noWrap/>
            <w:hideMark/>
          </w:tcPr>
          <w:p w14:paraId="2D039AF1"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P/E</w:t>
            </w:r>
            <w:r w:rsidRPr="003C6DBD">
              <w:rPr>
                <w:rStyle w:val="FootnoteReference"/>
                <w:rFonts w:ascii="Times New Roman" w:hAnsi="Times New Roman" w:cs="Times New Roman"/>
                <w:color w:val="0D0D0D" w:themeColor="text1" w:themeTint="F2"/>
                <w:sz w:val="24"/>
                <w:szCs w:val="24"/>
              </w:rPr>
              <w:footnoteReference w:id="20"/>
            </w:r>
            <w:r w:rsidRPr="003C6DBD">
              <w:rPr>
                <w:rFonts w:ascii="Times New Roman" w:hAnsi="Times New Roman" w:cs="Times New Roman"/>
                <w:color w:val="0D0D0D" w:themeColor="text1" w:themeTint="F2"/>
                <w:sz w:val="24"/>
                <w:szCs w:val="24"/>
              </w:rPr>
              <w:t xml:space="preserve"> ratio</w:t>
            </w:r>
          </w:p>
        </w:tc>
        <w:tc>
          <w:tcPr>
            <w:tcW w:w="5017" w:type="dxa"/>
            <w:noWrap/>
            <w:hideMark/>
          </w:tcPr>
          <w:p w14:paraId="7E5BE783"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Market price per share</w:t>
            </w:r>
            <w:r w:rsidRPr="003C6DBD">
              <w:rPr>
                <w:rStyle w:val="FootnoteReference"/>
                <w:rFonts w:ascii="Times New Roman" w:hAnsi="Times New Roman" w:cs="Times New Roman"/>
                <w:color w:val="0D0D0D" w:themeColor="text1" w:themeTint="F2"/>
                <w:sz w:val="24"/>
                <w:szCs w:val="24"/>
              </w:rPr>
              <w:footnoteReference w:id="21"/>
            </w:r>
            <w:r w:rsidRPr="003C6DBD">
              <w:rPr>
                <w:rFonts w:ascii="Times New Roman" w:hAnsi="Times New Roman" w:cs="Times New Roman"/>
                <w:color w:val="0D0D0D" w:themeColor="text1" w:themeTint="F2"/>
                <w:sz w:val="24"/>
                <w:szCs w:val="24"/>
              </w:rPr>
              <w:t>/Diluted EPS</w:t>
            </w:r>
            <w:r w:rsidRPr="003C6DBD">
              <w:rPr>
                <w:rStyle w:val="FootnoteReference"/>
                <w:rFonts w:ascii="Times New Roman" w:hAnsi="Times New Roman" w:cs="Times New Roman"/>
                <w:color w:val="0D0D0D" w:themeColor="text1" w:themeTint="F2"/>
                <w:sz w:val="24"/>
                <w:szCs w:val="24"/>
              </w:rPr>
              <w:footnoteReference w:id="22"/>
            </w:r>
          </w:p>
        </w:tc>
      </w:tr>
    </w:tbl>
    <w:tbl>
      <w:tblPr>
        <w:tblW w:w="13036" w:type="dxa"/>
        <w:tblBorders>
          <w:top w:val="single" w:sz="4" w:space="0" w:color="auto"/>
          <w:bottom w:val="single" w:sz="4" w:space="0" w:color="auto"/>
        </w:tblBorders>
        <w:tblLook w:val="04A0" w:firstRow="1" w:lastRow="0" w:firstColumn="1" w:lastColumn="0" w:noHBand="0" w:noVBand="1"/>
      </w:tblPr>
      <w:tblGrid>
        <w:gridCol w:w="13036"/>
      </w:tblGrid>
      <w:tr w:rsidR="007A05B7" w:rsidRPr="003C6DBD" w14:paraId="6F437F5F" w14:textId="77777777" w:rsidTr="007A05B7">
        <w:trPr>
          <w:trHeight w:val="286"/>
        </w:trPr>
        <w:tc>
          <w:tcPr>
            <w:tcW w:w="13036" w:type="dxa"/>
            <w:tcBorders>
              <w:top w:val="nil"/>
              <w:bottom w:val="nil"/>
            </w:tcBorders>
            <w:shd w:val="clear" w:color="auto" w:fill="auto"/>
            <w:noWrap/>
          </w:tcPr>
          <w:p w14:paraId="757A48B0" w14:textId="0536103C" w:rsidR="007A05B7" w:rsidRPr="003C6DBD" w:rsidRDefault="007A05B7" w:rsidP="00F16FF6">
            <w:pPr>
              <w:spacing w:after="0" w:line="480" w:lineRule="auto"/>
              <w:rPr>
                <w:rFonts w:ascii="Times New Roman" w:eastAsia="Times New Roman" w:hAnsi="Times New Roman" w:cs="Times New Roman"/>
                <w:i/>
                <w:iCs/>
                <w:color w:val="0D0D0D" w:themeColor="text1" w:themeTint="F2"/>
                <w:sz w:val="24"/>
                <w:szCs w:val="24"/>
              </w:rPr>
            </w:pPr>
            <w:r>
              <w:rPr>
                <w:rFonts w:ascii="Times New Roman" w:eastAsia="Times New Roman" w:hAnsi="Times New Roman" w:cs="Times New Roman"/>
                <w:color w:val="0D0D0D" w:themeColor="text1" w:themeTint="F2"/>
                <w:sz w:val="24"/>
                <w:szCs w:val="24"/>
              </w:rPr>
              <w:lastRenderedPageBreak/>
              <w:t>Table 10 continued</w:t>
            </w:r>
          </w:p>
        </w:tc>
      </w:tr>
    </w:tbl>
    <w:tbl>
      <w:tblPr>
        <w:tblStyle w:val="TableGrid"/>
        <w:tblW w:w="919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1"/>
        <w:gridCol w:w="2871"/>
        <w:gridCol w:w="5017"/>
      </w:tblGrid>
      <w:tr w:rsidR="00D21393" w:rsidRPr="003C6DBD" w14:paraId="4F203E20" w14:textId="77777777" w:rsidTr="003117FC">
        <w:trPr>
          <w:trHeight w:val="356"/>
        </w:trPr>
        <w:tc>
          <w:tcPr>
            <w:tcW w:w="1311" w:type="dxa"/>
            <w:noWrap/>
          </w:tcPr>
          <w:p w14:paraId="38094933"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p>
        </w:tc>
        <w:tc>
          <w:tcPr>
            <w:tcW w:w="2871" w:type="dxa"/>
            <w:noWrap/>
          </w:tcPr>
          <w:p w14:paraId="5749F55B"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EPS</w:t>
            </w:r>
          </w:p>
        </w:tc>
        <w:tc>
          <w:tcPr>
            <w:tcW w:w="5017" w:type="dxa"/>
            <w:noWrap/>
          </w:tcPr>
          <w:p w14:paraId="4B567701"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Net income/Number of shares outstanding</w:t>
            </w:r>
            <w:r w:rsidRPr="003C6DBD">
              <w:rPr>
                <w:rStyle w:val="FootnoteReference"/>
                <w:rFonts w:ascii="Times New Roman" w:hAnsi="Times New Roman" w:cs="Times New Roman"/>
                <w:color w:val="0D0D0D" w:themeColor="text1" w:themeTint="F2"/>
                <w:sz w:val="24"/>
                <w:szCs w:val="24"/>
              </w:rPr>
              <w:footnoteReference w:id="23"/>
            </w:r>
          </w:p>
        </w:tc>
      </w:tr>
      <w:tr w:rsidR="00D21393" w:rsidRPr="003C6DBD" w14:paraId="14775F8B" w14:textId="77777777" w:rsidTr="003117FC">
        <w:trPr>
          <w:trHeight w:val="356"/>
        </w:trPr>
        <w:tc>
          <w:tcPr>
            <w:tcW w:w="1311" w:type="dxa"/>
            <w:noWrap/>
          </w:tcPr>
          <w:p w14:paraId="22FC2685"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p>
        </w:tc>
        <w:tc>
          <w:tcPr>
            <w:tcW w:w="2871" w:type="dxa"/>
            <w:noWrap/>
          </w:tcPr>
          <w:p w14:paraId="3E5E8E70"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Stock returns</w:t>
            </w:r>
          </w:p>
        </w:tc>
        <w:tc>
          <w:tcPr>
            <w:tcW w:w="5017" w:type="dxa"/>
            <w:noWrap/>
          </w:tcPr>
          <w:p w14:paraId="4C8B3B86" w14:textId="6784DFAD" w:rsidR="00C3000E" w:rsidRPr="003C6DBD" w:rsidRDefault="00C3000E" w:rsidP="00154E66">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ln (P</w:t>
            </w:r>
            <w:r w:rsidR="001477C8" w:rsidRPr="003C6DBD">
              <w:rPr>
                <w:rFonts w:ascii="Times New Roman" w:hAnsi="Times New Roman" w:cs="Times New Roman"/>
                <w:color w:val="0D0D0D" w:themeColor="text1" w:themeTint="F2"/>
                <w:sz w:val="24"/>
                <w:szCs w:val="24"/>
              </w:rPr>
              <w:t xml:space="preserve">rice per </w:t>
            </w:r>
            <w:proofErr w:type="spellStart"/>
            <w:r w:rsidR="001477C8" w:rsidRPr="003C6DBD">
              <w:rPr>
                <w:rFonts w:ascii="Times New Roman" w:hAnsi="Times New Roman" w:cs="Times New Roman"/>
                <w:color w:val="0D0D0D" w:themeColor="text1" w:themeTint="F2"/>
                <w:sz w:val="24"/>
                <w:szCs w:val="24"/>
              </w:rPr>
              <w:t>share</w:t>
            </w:r>
            <w:r w:rsidRPr="003C6DBD">
              <w:rPr>
                <w:rFonts w:ascii="Times New Roman" w:hAnsi="Times New Roman" w:cs="Times New Roman"/>
                <w:color w:val="0D0D0D" w:themeColor="text1" w:themeTint="F2"/>
                <w:sz w:val="24"/>
                <w:szCs w:val="24"/>
                <w:vertAlign w:val="subscript"/>
              </w:rPr>
              <w:t>t</w:t>
            </w:r>
            <w:proofErr w:type="spellEnd"/>
            <w:r w:rsidRPr="003C6DBD">
              <w:rPr>
                <w:rFonts w:ascii="Times New Roman" w:hAnsi="Times New Roman" w:cs="Times New Roman"/>
                <w:color w:val="0D0D0D" w:themeColor="text1" w:themeTint="F2"/>
                <w:sz w:val="24"/>
                <w:szCs w:val="24"/>
              </w:rPr>
              <w:t>/P</w:t>
            </w:r>
            <w:r w:rsidR="001477C8" w:rsidRPr="003C6DBD">
              <w:rPr>
                <w:rFonts w:ascii="Times New Roman" w:hAnsi="Times New Roman" w:cs="Times New Roman"/>
                <w:color w:val="0D0D0D" w:themeColor="text1" w:themeTint="F2"/>
                <w:sz w:val="24"/>
                <w:szCs w:val="24"/>
              </w:rPr>
              <w:t>rice per share</w:t>
            </w:r>
            <w:r w:rsidRPr="003C6DBD">
              <w:rPr>
                <w:rFonts w:ascii="Times New Roman" w:hAnsi="Times New Roman" w:cs="Times New Roman"/>
                <w:color w:val="0D0D0D" w:themeColor="text1" w:themeTint="F2"/>
                <w:sz w:val="24"/>
                <w:szCs w:val="24"/>
                <w:vertAlign w:val="subscript"/>
              </w:rPr>
              <w:t>t-1</w:t>
            </w:r>
            <w:r w:rsidRPr="003C6DBD">
              <w:rPr>
                <w:rFonts w:ascii="Times New Roman" w:hAnsi="Times New Roman" w:cs="Times New Roman"/>
                <w:color w:val="0D0D0D" w:themeColor="text1" w:themeTint="F2"/>
                <w:sz w:val="24"/>
                <w:szCs w:val="24"/>
              </w:rPr>
              <w:t>)</w:t>
            </w:r>
          </w:p>
        </w:tc>
      </w:tr>
      <w:tr w:rsidR="00D21393" w:rsidRPr="003C6DBD" w14:paraId="7A7EE23D" w14:textId="77777777" w:rsidTr="003117FC">
        <w:trPr>
          <w:trHeight w:val="356"/>
        </w:trPr>
        <w:tc>
          <w:tcPr>
            <w:tcW w:w="1311" w:type="dxa"/>
            <w:noWrap/>
          </w:tcPr>
          <w:p w14:paraId="4299257F"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Financial distress</w:t>
            </w:r>
          </w:p>
        </w:tc>
        <w:tc>
          <w:tcPr>
            <w:tcW w:w="2871" w:type="dxa"/>
            <w:noWrap/>
          </w:tcPr>
          <w:p w14:paraId="0840565A"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Altman Z score</w:t>
            </w:r>
          </w:p>
        </w:tc>
        <w:tc>
          <w:tcPr>
            <w:tcW w:w="5017" w:type="dxa"/>
            <w:noWrap/>
          </w:tcPr>
          <w:p w14:paraId="273D6CAD" w14:textId="72395E4D" w:rsidR="00C3000E" w:rsidRPr="003C6DBD" w:rsidRDefault="00C3000E" w:rsidP="00154E66">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1.2 * ((Total current assets - Total current liabilities) / Total assets) + 1.4 * (Retained earnings / Total assets) + 3.3 * (EBIT / Total assets) + 0.6 * (Average market cap/ Total liabilities) + 1.0 * (Total revenues / Total assets)</w:t>
            </w:r>
          </w:p>
        </w:tc>
      </w:tr>
      <w:tr w:rsidR="00D21393" w:rsidRPr="003C6DBD" w14:paraId="22575360" w14:textId="77777777" w:rsidTr="003117FC">
        <w:trPr>
          <w:trHeight w:val="356"/>
        </w:trPr>
        <w:tc>
          <w:tcPr>
            <w:tcW w:w="1311" w:type="dxa"/>
            <w:noWrap/>
          </w:tcPr>
          <w:p w14:paraId="70BA439B" w14:textId="3B5BD942"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Cash-flows </w:t>
            </w:r>
          </w:p>
        </w:tc>
        <w:tc>
          <w:tcPr>
            <w:tcW w:w="2871" w:type="dxa"/>
            <w:noWrap/>
          </w:tcPr>
          <w:p w14:paraId="34C07E7B" w14:textId="77777777" w:rsidR="00C3000E" w:rsidRPr="003C6DBD" w:rsidRDefault="00C3000E" w:rsidP="00154E66">
            <w:pPr>
              <w:tabs>
                <w:tab w:val="left" w:pos="1050"/>
              </w:tabs>
              <w:spacing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CFO to CAPEX</w:t>
            </w:r>
            <w:r w:rsidRPr="003C6DBD">
              <w:rPr>
                <w:rStyle w:val="FootnoteReference"/>
                <w:rFonts w:ascii="Times New Roman" w:hAnsi="Times New Roman" w:cs="Times New Roman"/>
                <w:color w:val="0D0D0D" w:themeColor="text1" w:themeTint="F2"/>
                <w:sz w:val="24"/>
                <w:szCs w:val="24"/>
              </w:rPr>
              <w:footnoteReference w:id="24"/>
            </w:r>
          </w:p>
        </w:tc>
        <w:tc>
          <w:tcPr>
            <w:tcW w:w="5017" w:type="dxa"/>
            <w:noWrap/>
          </w:tcPr>
          <w:p w14:paraId="57C1012F" w14:textId="77777777" w:rsidR="00C3000E" w:rsidRPr="003C6DBD" w:rsidRDefault="00C3000E" w:rsidP="00154E66">
            <w:pPr>
              <w:spacing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Cash flow from operations (CFO)/ Capital expenditure (CAPEX)</w:t>
            </w:r>
          </w:p>
        </w:tc>
      </w:tr>
      <w:tr w:rsidR="00D21393" w:rsidRPr="003C6DBD" w14:paraId="6FBA49B6" w14:textId="77777777" w:rsidTr="003117FC">
        <w:trPr>
          <w:trHeight w:val="356"/>
        </w:trPr>
        <w:tc>
          <w:tcPr>
            <w:tcW w:w="1311" w:type="dxa"/>
            <w:noWrap/>
          </w:tcPr>
          <w:p w14:paraId="0B26418D" w14:textId="77777777" w:rsidR="00C3000E" w:rsidRPr="003C6DBD" w:rsidRDefault="00C3000E" w:rsidP="00154E66">
            <w:pPr>
              <w:tabs>
                <w:tab w:val="left" w:pos="1050"/>
              </w:tabs>
              <w:spacing w:line="480" w:lineRule="auto"/>
              <w:rPr>
                <w:rFonts w:ascii="Times New Roman" w:hAnsi="Times New Roman" w:cs="Times New Roman"/>
                <w:color w:val="0D0D0D" w:themeColor="text1" w:themeTint="F2"/>
                <w:sz w:val="24"/>
                <w:szCs w:val="24"/>
              </w:rPr>
            </w:pPr>
          </w:p>
        </w:tc>
        <w:tc>
          <w:tcPr>
            <w:tcW w:w="2871" w:type="dxa"/>
            <w:noWrap/>
          </w:tcPr>
          <w:p w14:paraId="55AD7020" w14:textId="77777777" w:rsidR="00C3000E" w:rsidRPr="003C6DBD" w:rsidRDefault="00C3000E" w:rsidP="00154E66">
            <w:pPr>
              <w:tabs>
                <w:tab w:val="left" w:pos="1050"/>
              </w:tabs>
              <w:spacing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CAPEX to D&amp;A</w:t>
            </w:r>
            <w:r w:rsidRPr="003C6DBD">
              <w:rPr>
                <w:rStyle w:val="FootnoteReference"/>
                <w:rFonts w:ascii="Times New Roman" w:hAnsi="Times New Roman" w:cs="Times New Roman"/>
                <w:color w:val="0D0D0D" w:themeColor="text1" w:themeTint="F2"/>
                <w:sz w:val="24"/>
                <w:szCs w:val="24"/>
              </w:rPr>
              <w:footnoteReference w:id="25"/>
            </w:r>
          </w:p>
        </w:tc>
        <w:tc>
          <w:tcPr>
            <w:tcW w:w="5017" w:type="dxa"/>
            <w:noWrap/>
          </w:tcPr>
          <w:p w14:paraId="79B35469" w14:textId="77777777" w:rsidR="00C3000E" w:rsidRPr="003C6DBD" w:rsidRDefault="00C3000E" w:rsidP="00154E66">
            <w:pPr>
              <w:spacing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Capital expenditure (CAPEX)/ Depreciation and amortization (D&amp;A)</w:t>
            </w:r>
          </w:p>
        </w:tc>
      </w:tr>
    </w:tbl>
    <w:p w14:paraId="7FE7B427" w14:textId="640D2133" w:rsidR="00C3000E" w:rsidRPr="003C6DBD" w:rsidRDefault="00C3000E" w:rsidP="00154E66">
      <w:pPr>
        <w:spacing w:before="16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Note: The formulas presented in Table 10 are based on Standard and Poor’s guidelines except for stock returns (Muhammad &amp; Ali, 2018)</w:t>
      </w:r>
      <w:r w:rsidR="00E45DE9" w:rsidRPr="003C6DBD">
        <w:rPr>
          <w:rFonts w:ascii="Times New Roman" w:hAnsi="Times New Roman" w:cs="Times New Roman"/>
          <w:color w:val="0D0D0D" w:themeColor="text1" w:themeTint="F2"/>
          <w:sz w:val="24"/>
          <w:szCs w:val="24"/>
        </w:rPr>
        <w:t>.</w:t>
      </w:r>
    </w:p>
    <w:p w14:paraId="40EDEF27" w14:textId="77777777" w:rsidR="000468CE" w:rsidRPr="003C6DBD" w:rsidRDefault="000468CE" w:rsidP="00154E66">
      <w:pPr>
        <w:spacing w:before="160" w:line="480" w:lineRule="auto"/>
        <w:rPr>
          <w:rFonts w:ascii="Times New Roman" w:hAnsi="Times New Roman" w:cs="Times New Roman"/>
          <w:color w:val="0D0D0D" w:themeColor="text1" w:themeTint="F2"/>
          <w:sz w:val="24"/>
          <w:szCs w:val="24"/>
        </w:rPr>
      </w:pPr>
    </w:p>
    <w:p w14:paraId="2AFDA11E" w14:textId="77777777" w:rsidR="000468CE" w:rsidRPr="003C6DBD" w:rsidRDefault="000468CE" w:rsidP="00154E66">
      <w:pPr>
        <w:spacing w:before="160" w:line="480" w:lineRule="auto"/>
        <w:rPr>
          <w:rFonts w:ascii="Times New Roman" w:hAnsi="Times New Roman" w:cs="Times New Roman"/>
          <w:color w:val="0D0D0D" w:themeColor="text1" w:themeTint="F2"/>
          <w:sz w:val="24"/>
          <w:szCs w:val="24"/>
        </w:rPr>
      </w:pPr>
    </w:p>
    <w:p w14:paraId="7BE3BE1B" w14:textId="77777777" w:rsidR="000468CE" w:rsidRPr="003C6DBD" w:rsidRDefault="000468CE" w:rsidP="00154E66">
      <w:pPr>
        <w:spacing w:before="160" w:line="480" w:lineRule="auto"/>
        <w:rPr>
          <w:rFonts w:ascii="Times New Roman" w:hAnsi="Times New Roman" w:cs="Times New Roman"/>
          <w:color w:val="0D0D0D" w:themeColor="text1" w:themeTint="F2"/>
          <w:sz w:val="24"/>
          <w:szCs w:val="24"/>
        </w:rPr>
      </w:pPr>
    </w:p>
    <w:p w14:paraId="5485C2B3" w14:textId="77777777" w:rsidR="000468CE" w:rsidRPr="003C6DBD" w:rsidRDefault="000468CE" w:rsidP="00154E66">
      <w:pPr>
        <w:spacing w:before="160" w:line="480" w:lineRule="auto"/>
        <w:rPr>
          <w:rFonts w:ascii="Times New Roman" w:hAnsi="Times New Roman" w:cs="Times New Roman"/>
          <w:color w:val="0D0D0D" w:themeColor="text1" w:themeTint="F2"/>
          <w:sz w:val="24"/>
          <w:szCs w:val="24"/>
        </w:rPr>
      </w:pPr>
    </w:p>
    <w:p w14:paraId="79A4F7B4" w14:textId="77777777" w:rsidR="000468CE" w:rsidRPr="003C6DBD" w:rsidRDefault="000468CE" w:rsidP="00154E66">
      <w:pPr>
        <w:spacing w:before="160" w:line="480" w:lineRule="auto"/>
        <w:rPr>
          <w:rFonts w:ascii="Times New Roman" w:hAnsi="Times New Roman" w:cs="Times New Roman"/>
          <w:color w:val="0D0D0D" w:themeColor="text1" w:themeTint="F2"/>
          <w:sz w:val="24"/>
          <w:szCs w:val="24"/>
        </w:rPr>
      </w:pPr>
    </w:p>
    <w:p w14:paraId="76F732A0" w14:textId="422F0B89" w:rsidR="00C3000E" w:rsidRPr="003C6DBD" w:rsidRDefault="00C3000E" w:rsidP="00C3000E">
      <w:pPr>
        <w:pStyle w:val="Caption"/>
        <w:keepNext/>
        <w:rPr>
          <w:rFonts w:ascii="Times New Roman" w:hAnsi="Times New Roman" w:cs="Times New Roman"/>
          <w:color w:val="0D0D0D" w:themeColor="text1" w:themeTint="F2"/>
          <w:sz w:val="24"/>
          <w:szCs w:val="24"/>
        </w:rPr>
      </w:pPr>
      <w:bookmarkStart w:id="64" w:name="_Toc132671825"/>
      <w:r w:rsidRPr="003C6DBD">
        <w:rPr>
          <w:rFonts w:ascii="Times New Roman" w:hAnsi="Times New Roman" w:cs="Times New Roman"/>
          <w:color w:val="0D0D0D" w:themeColor="text1" w:themeTint="F2"/>
          <w:sz w:val="24"/>
          <w:szCs w:val="24"/>
        </w:rPr>
        <w:lastRenderedPageBreak/>
        <w:t xml:space="preserve">Table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Table \* ARABIC </w:instrText>
      </w:r>
      <w:r w:rsidRPr="003C6DBD">
        <w:rPr>
          <w:rFonts w:ascii="Times New Roman" w:hAnsi="Times New Roman" w:cs="Times New Roman"/>
          <w:color w:val="0D0D0D" w:themeColor="text1" w:themeTint="F2"/>
          <w:sz w:val="24"/>
          <w:szCs w:val="24"/>
        </w:rPr>
        <w:fldChar w:fldCharType="separate"/>
      </w:r>
      <w:r w:rsidR="00154E66" w:rsidRPr="003C6DBD">
        <w:rPr>
          <w:rFonts w:ascii="Times New Roman" w:hAnsi="Times New Roman" w:cs="Times New Roman"/>
          <w:noProof/>
          <w:color w:val="0D0D0D" w:themeColor="text1" w:themeTint="F2"/>
          <w:sz w:val="24"/>
          <w:szCs w:val="24"/>
        </w:rPr>
        <w:t>11</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Prevalence and significance measure for risks </w:t>
      </w:r>
      <w:r w:rsidR="001477C8" w:rsidRPr="003C6DBD">
        <w:rPr>
          <w:rFonts w:ascii="Times New Roman" w:hAnsi="Times New Roman" w:cs="Times New Roman"/>
          <w:color w:val="0D0D0D" w:themeColor="text1" w:themeTint="F2"/>
          <w:sz w:val="24"/>
          <w:szCs w:val="24"/>
        </w:rPr>
        <w:t>from 2018 to 2021</w:t>
      </w:r>
      <w:r w:rsidRPr="003C6DBD">
        <w:rPr>
          <w:rFonts w:ascii="Times New Roman" w:hAnsi="Times New Roman" w:cs="Times New Roman"/>
          <w:color w:val="0D0D0D" w:themeColor="text1" w:themeTint="F2"/>
          <w:sz w:val="24"/>
          <w:szCs w:val="24"/>
        </w:rPr>
        <w:t>.</w:t>
      </w:r>
      <w:bookmarkEnd w:id="64"/>
    </w:p>
    <w:tbl>
      <w:tblPr>
        <w:tblW w:w="8575" w:type="dxa"/>
        <w:tblBorders>
          <w:top w:val="single" w:sz="4" w:space="0" w:color="auto"/>
          <w:bottom w:val="single" w:sz="4" w:space="0" w:color="auto"/>
        </w:tblBorders>
        <w:tblLook w:val="04A0" w:firstRow="1" w:lastRow="0" w:firstColumn="1" w:lastColumn="0" w:noHBand="0" w:noVBand="1"/>
      </w:tblPr>
      <w:tblGrid>
        <w:gridCol w:w="1784"/>
        <w:gridCol w:w="1214"/>
        <w:gridCol w:w="1859"/>
        <w:gridCol w:w="1859"/>
        <w:gridCol w:w="1859"/>
      </w:tblGrid>
      <w:tr w:rsidR="00D21393" w:rsidRPr="003C6DBD" w14:paraId="0ADDA3DF" w14:textId="77777777" w:rsidTr="003117FC">
        <w:trPr>
          <w:trHeight w:val="314"/>
        </w:trPr>
        <w:tc>
          <w:tcPr>
            <w:tcW w:w="1784" w:type="dxa"/>
            <w:tcBorders>
              <w:top w:val="single" w:sz="4" w:space="0" w:color="auto"/>
              <w:bottom w:val="single" w:sz="4" w:space="0" w:color="auto"/>
            </w:tcBorders>
            <w:shd w:val="clear" w:color="auto" w:fill="auto"/>
            <w:vAlign w:val="center"/>
            <w:hideMark/>
          </w:tcPr>
          <w:p w14:paraId="045E2B13" w14:textId="77777777" w:rsidR="00C3000E" w:rsidRPr="003C6DBD" w:rsidRDefault="00C3000E" w:rsidP="003117FC">
            <w:pPr>
              <w:spacing w:after="0" w:line="480" w:lineRule="auto"/>
              <w:rPr>
                <w:rFonts w:ascii="Times New Roman" w:hAnsi="Times New Roman" w:cs="Times New Roman"/>
                <w:b/>
                <w:bCs/>
                <w:color w:val="0D0D0D" w:themeColor="text1" w:themeTint="F2"/>
                <w:sz w:val="24"/>
                <w:szCs w:val="24"/>
              </w:rPr>
            </w:pPr>
            <w:r w:rsidRPr="003C6DBD">
              <w:rPr>
                <w:rFonts w:ascii="Times New Roman" w:hAnsi="Times New Roman" w:cs="Times New Roman"/>
                <w:b/>
                <w:bCs/>
                <w:color w:val="0D0D0D" w:themeColor="text1" w:themeTint="F2"/>
                <w:sz w:val="24"/>
                <w:szCs w:val="24"/>
              </w:rPr>
              <w:t> </w:t>
            </w:r>
          </w:p>
        </w:tc>
        <w:tc>
          <w:tcPr>
            <w:tcW w:w="1214" w:type="dxa"/>
            <w:tcBorders>
              <w:top w:val="single" w:sz="4" w:space="0" w:color="auto"/>
              <w:bottom w:val="single" w:sz="4" w:space="0" w:color="auto"/>
            </w:tcBorders>
            <w:shd w:val="clear" w:color="auto" w:fill="auto"/>
            <w:vAlign w:val="center"/>
            <w:hideMark/>
          </w:tcPr>
          <w:p w14:paraId="2BA730A0" w14:textId="77777777" w:rsidR="00C3000E" w:rsidRPr="003C6DBD" w:rsidRDefault="00C3000E" w:rsidP="003117FC">
            <w:pPr>
              <w:spacing w:after="0" w:line="480" w:lineRule="auto"/>
              <w:rPr>
                <w:rFonts w:ascii="Times New Roman" w:hAnsi="Times New Roman" w:cs="Times New Roman"/>
                <w:b/>
                <w:bCs/>
                <w:color w:val="0D0D0D" w:themeColor="text1" w:themeTint="F2"/>
                <w:sz w:val="24"/>
                <w:szCs w:val="24"/>
              </w:rPr>
            </w:pPr>
            <w:r w:rsidRPr="003C6DBD">
              <w:rPr>
                <w:rFonts w:ascii="Times New Roman" w:hAnsi="Times New Roman" w:cs="Times New Roman"/>
                <w:b/>
                <w:bCs/>
                <w:color w:val="0D0D0D" w:themeColor="text1" w:themeTint="F2"/>
                <w:sz w:val="24"/>
                <w:szCs w:val="24"/>
              </w:rPr>
              <w:t>Year</w:t>
            </w:r>
          </w:p>
        </w:tc>
        <w:tc>
          <w:tcPr>
            <w:tcW w:w="1859" w:type="dxa"/>
            <w:tcBorders>
              <w:top w:val="single" w:sz="4" w:space="0" w:color="auto"/>
              <w:bottom w:val="single" w:sz="4" w:space="0" w:color="auto"/>
            </w:tcBorders>
            <w:vAlign w:val="center"/>
          </w:tcPr>
          <w:p w14:paraId="480130DB" w14:textId="77777777" w:rsidR="00C3000E" w:rsidRPr="003C6DBD" w:rsidRDefault="00C3000E" w:rsidP="003117FC">
            <w:pPr>
              <w:spacing w:after="0" w:line="480" w:lineRule="auto"/>
              <w:rPr>
                <w:rFonts w:ascii="Times New Roman" w:hAnsi="Times New Roman" w:cs="Times New Roman"/>
                <w:b/>
                <w:bCs/>
                <w:color w:val="0D0D0D" w:themeColor="text1" w:themeTint="F2"/>
                <w:sz w:val="24"/>
                <w:szCs w:val="24"/>
              </w:rPr>
            </w:pPr>
            <w:r w:rsidRPr="003C6DBD">
              <w:rPr>
                <w:rFonts w:ascii="Times New Roman" w:hAnsi="Times New Roman" w:cs="Times New Roman"/>
                <w:b/>
                <w:bCs/>
                <w:color w:val="0D0D0D" w:themeColor="text1" w:themeTint="F2"/>
                <w:sz w:val="24"/>
                <w:szCs w:val="24"/>
              </w:rPr>
              <w:t>Min.</w:t>
            </w:r>
          </w:p>
        </w:tc>
        <w:tc>
          <w:tcPr>
            <w:tcW w:w="1859" w:type="dxa"/>
            <w:tcBorders>
              <w:top w:val="single" w:sz="4" w:space="0" w:color="auto"/>
              <w:bottom w:val="single" w:sz="4" w:space="0" w:color="auto"/>
            </w:tcBorders>
            <w:shd w:val="clear" w:color="auto" w:fill="auto"/>
            <w:vAlign w:val="center"/>
            <w:hideMark/>
          </w:tcPr>
          <w:p w14:paraId="70BC2D61" w14:textId="77777777" w:rsidR="00C3000E" w:rsidRPr="003C6DBD" w:rsidRDefault="00C3000E" w:rsidP="003117FC">
            <w:pPr>
              <w:spacing w:after="0" w:line="480" w:lineRule="auto"/>
              <w:rPr>
                <w:rFonts w:ascii="Times New Roman" w:hAnsi="Times New Roman" w:cs="Times New Roman"/>
                <w:b/>
                <w:bCs/>
                <w:color w:val="0D0D0D" w:themeColor="text1" w:themeTint="F2"/>
                <w:sz w:val="24"/>
                <w:szCs w:val="24"/>
              </w:rPr>
            </w:pPr>
            <w:r w:rsidRPr="003C6DBD">
              <w:rPr>
                <w:rFonts w:ascii="Times New Roman" w:hAnsi="Times New Roman" w:cs="Times New Roman"/>
                <w:b/>
                <w:bCs/>
                <w:color w:val="0D0D0D" w:themeColor="text1" w:themeTint="F2"/>
                <w:sz w:val="24"/>
                <w:szCs w:val="24"/>
              </w:rPr>
              <w:t>Mean</w:t>
            </w:r>
          </w:p>
        </w:tc>
        <w:tc>
          <w:tcPr>
            <w:tcW w:w="1859" w:type="dxa"/>
            <w:tcBorders>
              <w:top w:val="single" w:sz="4" w:space="0" w:color="auto"/>
              <w:bottom w:val="single" w:sz="4" w:space="0" w:color="auto"/>
            </w:tcBorders>
            <w:vAlign w:val="center"/>
          </w:tcPr>
          <w:p w14:paraId="7E25CAAF" w14:textId="77777777" w:rsidR="00C3000E" w:rsidRPr="003C6DBD" w:rsidRDefault="00C3000E" w:rsidP="003117FC">
            <w:pPr>
              <w:spacing w:after="0" w:line="480" w:lineRule="auto"/>
              <w:rPr>
                <w:rFonts w:ascii="Times New Roman" w:hAnsi="Times New Roman" w:cs="Times New Roman"/>
                <w:b/>
                <w:bCs/>
                <w:color w:val="0D0D0D" w:themeColor="text1" w:themeTint="F2"/>
                <w:sz w:val="24"/>
                <w:szCs w:val="24"/>
              </w:rPr>
            </w:pPr>
            <w:r w:rsidRPr="003C6DBD">
              <w:rPr>
                <w:rFonts w:ascii="Times New Roman" w:hAnsi="Times New Roman" w:cs="Times New Roman"/>
                <w:b/>
                <w:bCs/>
                <w:color w:val="0D0D0D" w:themeColor="text1" w:themeTint="F2"/>
                <w:sz w:val="24"/>
                <w:szCs w:val="24"/>
              </w:rPr>
              <w:t>Max.</w:t>
            </w:r>
          </w:p>
        </w:tc>
      </w:tr>
      <w:tr w:rsidR="00D21393" w:rsidRPr="003C6DBD" w14:paraId="082BE2C0" w14:textId="77777777" w:rsidTr="003117FC">
        <w:trPr>
          <w:trHeight w:val="304"/>
        </w:trPr>
        <w:tc>
          <w:tcPr>
            <w:tcW w:w="1784" w:type="dxa"/>
            <w:tcBorders>
              <w:top w:val="single" w:sz="4" w:space="0" w:color="auto"/>
            </w:tcBorders>
            <w:shd w:val="clear" w:color="auto" w:fill="auto"/>
            <w:vAlign w:val="center"/>
            <w:hideMark/>
          </w:tcPr>
          <w:p w14:paraId="73E46512"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Prevalence</w:t>
            </w:r>
          </w:p>
        </w:tc>
        <w:tc>
          <w:tcPr>
            <w:tcW w:w="1214" w:type="dxa"/>
            <w:tcBorders>
              <w:top w:val="single" w:sz="4" w:space="0" w:color="auto"/>
            </w:tcBorders>
            <w:shd w:val="clear" w:color="auto" w:fill="auto"/>
            <w:noWrap/>
            <w:vAlign w:val="bottom"/>
            <w:hideMark/>
          </w:tcPr>
          <w:p w14:paraId="1C06532F"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2021</w:t>
            </w:r>
          </w:p>
        </w:tc>
        <w:tc>
          <w:tcPr>
            <w:tcW w:w="1859" w:type="dxa"/>
            <w:tcBorders>
              <w:top w:val="single" w:sz="4" w:space="0" w:color="auto"/>
            </w:tcBorders>
            <w:vAlign w:val="bottom"/>
          </w:tcPr>
          <w:p w14:paraId="39B1FE6D"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w:t>
            </w:r>
          </w:p>
        </w:tc>
        <w:tc>
          <w:tcPr>
            <w:tcW w:w="1859" w:type="dxa"/>
            <w:tcBorders>
              <w:top w:val="single" w:sz="4" w:space="0" w:color="auto"/>
            </w:tcBorders>
            <w:shd w:val="clear" w:color="auto" w:fill="auto"/>
            <w:noWrap/>
            <w:vAlign w:val="bottom"/>
            <w:hideMark/>
          </w:tcPr>
          <w:p w14:paraId="7C7A78F4"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13.40</w:t>
            </w:r>
          </w:p>
        </w:tc>
        <w:tc>
          <w:tcPr>
            <w:tcW w:w="1859" w:type="dxa"/>
            <w:tcBorders>
              <w:top w:val="single" w:sz="4" w:space="0" w:color="auto"/>
            </w:tcBorders>
            <w:vAlign w:val="bottom"/>
          </w:tcPr>
          <w:p w14:paraId="017F3549"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21</w:t>
            </w:r>
          </w:p>
        </w:tc>
      </w:tr>
      <w:tr w:rsidR="00D21393" w:rsidRPr="003C6DBD" w14:paraId="5BA9339E" w14:textId="77777777" w:rsidTr="003117FC">
        <w:trPr>
          <w:trHeight w:val="304"/>
        </w:trPr>
        <w:tc>
          <w:tcPr>
            <w:tcW w:w="1784" w:type="dxa"/>
            <w:shd w:val="clear" w:color="auto" w:fill="auto"/>
            <w:vAlign w:val="center"/>
            <w:hideMark/>
          </w:tcPr>
          <w:p w14:paraId="16A6A031"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p>
        </w:tc>
        <w:tc>
          <w:tcPr>
            <w:tcW w:w="1214" w:type="dxa"/>
            <w:shd w:val="clear" w:color="auto" w:fill="auto"/>
            <w:vAlign w:val="center"/>
            <w:hideMark/>
          </w:tcPr>
          <w:p w14:paraId="115C3EE0"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2020</w:t>
            </w:r>
          </w:p>
        </w:tc>
        <w:tc>
          <w:tcPr>
            <w:tcW w:w="1859" w:type="dxa"/>
            <w:vAlign w:val="center"/>
          </w:tcPr>
          <w:p w14:paraId="1AE4C2A6"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w:t>
            </w:r>
          </w:p>
        </w:tc>
        <w:tc>
          <w:tcPr>
            <w:tcW w:w="1859" w:type="dxa"/>
            <w:shd w:val="clear" w:color="auto" w:fill="auto"/>
            <w:vAlign w:val="center"/>
            <w:hideMark/>
          </w:tcPr>
          <w:p w14:paraId="550C1D07"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14.00</w:t>
            </w:r>
          </w:p>
        </w:tc>
        <w:tc>
          <w:tcPr>
            <w:tcW w:w="1859" w:type="dxa"/>
            <w:vAlign w:val="center"/>
          </w:tcPr>
          <w:p w14:paraId="4CC27903"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22</w:t>
            </w:r>
          </w:p>
        </w:tc>
      </w:tr>
      <w:tr w:rsidR="00D21393" w:rsidRPr="003C6DBD" w14:paraId="39167AFD" w14:textId="77777777" w:rsidTr="003117FC">
        <w:trPr>
          <w:trHeight w:val="304"/>
        </w:trPr>
        <w:tc>
          <w:tcPr>
            <w:tcW w:w="1784" w:type="dxa"/>
            <w:shd w:val="clear" w:color="auto" w:fill="auto"/>
            <w:vAlign w:val="center"/>
            <w:hideMark/>
          </w:tcPr>
          <w:p w14:paraId="052E11D7"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p>
        </w:tc>
        <w:tc>
          <w:tcPr>
            <w:tcW w:w="1214" w:type="dxa"/>
            <w:shd w:val="clear" w:color="auto" w:fill="auto"/>
            <w:vAlign w:val="center"/>
            <w:hideMark/>
          </w:tcPr>
          <w:p w14:paraId="536F05A0"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2019</w:t>
            </w:r>
          </w:p>
        </w:tc>
        <w:tc>
          <w:tcPr>
            <w:tcW w:w="1859" w:type="dxa"/>
            <w:vAlign w:val="center"/>
          </w:tcPr>
          <w:p w14:paraId="65379E85"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w:t>
            </w:r>
          </w:p>
        </w:tc>
        <w:tc>
          <w:tcPr>
            <w:tcW w:w="1859" w:type="dxa"/>
            <w:shd w:val="clear" w:color="auto" w:fill="auto"/>
            <w:vAlign w:val="center"/>
            <w:hideMark/>
          </w:tcPr>
          <w:p w14:paraId="21C93487"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13.80</w:t>
            </w:r>
          </w:p>
        </w:tc>
        <w:tc>
          <w:tcPr>
            <w:tcW w:w="1859" w:type="dxa"/>
            <w:vAlign w:val="center"/>
          </w:tcPr>
          <w:p w14:paraId="3EF0DB36"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21</w:t>
            </w:r>
          </w:p>
        </w:tc>
      </w:tr>
      <w:tr w:rsidR="00D21393" w:rsidRPr="003C6DBD" w14:paraId="558C2228" w14:textId="77777777" w:rsidTr="003117FC">
        <w:trPr>
          <w:trHeight w:val="304"/>
        </w:trPr>
        <w:tc>
          <w:tcPr>
            <w:tcW w:w="1784" w:type="dxa"/>
            <w:shd w:val="clear" w:color="auto" w:fill="auto"/>
            <w:vAlign w:val="center"/>
            <w:hideMark/>
          </w:tcPr>
          <w:p w14:paraId="2E79039E"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p>
        </w:tc>
        <w:tc>
          <w:tcPr>
            <w:tcW w:w="1214" w:type="dxa"/>
            <w:shd w:val="clear" w:color="auto" w:fill="auto"/>
            <w:vAlign w:val="center"/>
            <w:hideMark/>
          </w:tcPr>
          <w:p w14:paraId="738C97B7"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2018</w:t>
            </w:r>
          </w:p>
        </w:tc>
        <w:tc>
          <w:tcPr>
            <w:tcW w:w="1859" w:type="dxa"/>
            <w:vAlign w:val="center"/>
          </w:tcPr>
          <w:p w14:paraId="73A54715"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w:t>
            </w:r>
          </w:p>
        </w:tc>
        <w:tc>
          <w:tcPr>
            <w:tcW w:w="1859" w:type="dxa"/>
            <w:shd w:val="clear" w:color="auto" w:fill="auto"/>
            <w:vAlign w:val="center"/>
            <w:hideMark/>
          </w:tcPr>
          <w:p w14:paraId="26A4D75C"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13.92</w:t>
            </w:r>
          </w:p>
        </w:tc>
        <w:tc>
          <w:tcPr>
            <w:tcW w:w="1859" w:type="dxa"/>
            <w:vAlign w:val="center"/>
          </w:tcPr>
          <w:p w14:paraId="1CE69919"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21</w:t>
            </w:r>
          </w:p>
        </w:tc>
      </w:tr>
      <w:tr w:rsidR="00D21393" w:rsidRPr="003C6DBD" w14:paraId="5BB56C0B" w14:textId="77777777" w:rsidTr="003117FC">
        <w:trPr>
          <w:trHeight w:val="304"/>
        </w:trPr>
        <w:tc>
          <w:tcPr>
            <w:tcW w:w="1784" w:type="dxa"/>
            <w:shd w:val="clear" w:color="auto" w:fill="auto"/>
            <w:vAlign w:val="center"/>
            <w:hideMark/>
          </w:tcPr>
          <w:p w14:paraId="7C073CB5"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Significance</w:t>
            </w:r>
          </w:p>
        </w:tc>
        <w:tc>
          <w:tcPr>
            <w:tcW w:w="1214" w:type="dxa"/>
            <w:shd w:val="clear" w:color="auto" w:fill="auto"/>
            <w:vAlign w:val="center"/>
            <w:hideMark/>
          </w:tcPr>
          <w:p w14:paraId="3CB0E656"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2021</w:t>
            </w:r>
          </w:p>
        </w:tc>
        <w:tc>
          <w:tcPr>
            <w:tcW w:w="1859" w:type="dxa"/>
            <w:vAlign w:val="bottom"/>
          </w:tcPr>
          <w:p w14:paraId="6981515F"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0.025100</w:t>
            </w:r>
          </w:p>
        </w:tc>
        <w:tc>
          <w:tcPr>
            <w:tcW w:w="1859" w:type="dxa"/>
            <w:shd w:val="clear" w:color="auto" w:fill="auto"/>
            <w:noWrap/>
            <w:vAlign w:val="bottom"/>
            <w:hideMark/>
          </w:tcPr>
          <w:p w14:paraId="211BAB71"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0.056368</w:t>
            </w:r>
          </w:p>
        </w:tc>
        <w:tc>
          <w:tcPr>
            <w:tcW w:w="1859" w:type="dxa"/>
            <w:vAlign w:val="bottom"/>
          </w:tcPr>
          <w:p w14:paraId="3D8CC02E"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0.153948</w:t>
            </w:r>
          </w:p>
        </w:tc>
      </w:tr>
      <w:tr w:rsidR="00D21393" w:rsidRPr="003C6DBD" w14:paraId="719A8DF0" w14:textId="77777777" w:rsidTr="003117FC">
        <w:trPr>
          <w:trHeight w:val="304"/>
        </w:trPr>
        <w:tc>
          <w:tcPr>
            <w:tcW w:w="1784" w:type="dxa"/>
            <w:shd w:val="clear" w:color="auto" w:fill="auto"/>
            <w:vAlign w:val="center"/>
            <w:hideMark/>
          </w:tcPr>
          <w:p w14:paraId="59FEB8D6"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p>
        </w:tc>
        <w:tc>
          <w:tcPr>
            <w:tcW w:w="1214" w:type="dxa"/>
            <w:shd w:val="clear" w:color="auto" w:fill="auto"/>
            <w:vAlign w:val="center"/>
            <w:hideMark/>
          </w:tcPr>
          <w:p w14:paraId="1C05D797"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2020</w:t>
            </w:r>
          </w:p>
        </w:tc>
        <w:tc>
          <w:tcPr>
            <w:tcW w:w="1859" w:type="dxa"/>
            <w:vAlign w:val="center"/>
          </w:tcPr>
          <w:p w14:paraId="272C7A46"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0.022001</w:t>
            </w:r>
          </w:p>
        </w:tc>
        <w:tc>
          <w:tcPr>
            <w:tcW w:w="1859" w:type="dxa"/>
            <w:shd w:val="clear" w:color="auto" w:fill="auto"/>
            <w:vAlign w:val="center"/>
            <w:hideMark/>
          </w:tcPr>
          <w:p w14:paraId="705B8EAB"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0.056554</w:t>
            </w:r>
          </w:p>
        </w:tc>
        <w:tc>
          <w:tcPr>
            <w:tcW w:w="1859" w:type="dxa"/>
            <w:vAlign w:val="center"/>
          </w:tcPr>
          <w:p w14:paraId="037D1BA7"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0.151037</w:t>
            </w:r>
          </w:p>
        </w:tc>
      </w:tr>
      <w:tr w:rsidR="00D21393" w:rsidRPr="003C6DBD" w14:paraId="6203357B" w14:textId="77777777" w:rsidTr="003117FC">
        <w:trPr>
          <w:trHeight w:val="304"/>
        </w:trPr>
        <w:tc>
          <w:tcPr>
            <w:tcW w:w="1784" w:type="dxa"/>
            <w:shd w:val="clear" w:color="auto" w:fill="auto"/>
            <w:vAlign w:val="center"/>
            <w:hideMark/>
          </w:tcPr>
          <w:p w14:paraId="514419D6"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p>
        </w:tc>
        <w:tc>
          <w:tcPr>
            <w:tcW w:w="1214" w:type="dxa"/>
            <w:shd w:val="clear" w:color="auto" w:fill="auto"/>
            <w:vAlign w:val="center"/>
            <w:hideMark/>
          </w:tcPr>
          <w:p w14:paraId="3CA00514"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2019</w:t>
            </w:r>
          </w:p>
        </w:tc>
        <w:tc>
          <w:tcPr>
            <w:tcW w:w="1859" w:type="dxa"/>
            <w:vAlign w:val="center"/>
          </w:tcPr>
          <w:p w14:paraId="61EF9E0A"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0.000000</w:t>
            </w:r>
          </w:p>
        </w:tc>
        <w:tc>
          <w:tcPr>
            <w:tcW w:w="1859" w:type="dxa"/>
            <w:shd w:val="clear" w:color="auto" w:fill="auto"/>
            <w:vAlign w:val="center"/>
            <w:hideMark/>
          </w:tcPr>
          <w:p w14:paraId="408ED44D"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0.056138</w:t>
            </w:r>
          </w:p>
        </w:tc>
        <w:tc>
          <w:tcPr>
            <w:tcW w:w="1859" w:type="dxa"/>
            <w:vAlign w:val="center"/>
          </w:tcPr>
          <w:p w14:paraId="427372AD"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0.146176</w:t>
            </w:r>
          </w:p>
        </w:tc>
      </w:tr>
      <w:tr w:rsidR="00C3000E" w:rsidRPr="003C6DBD" w14:paraId="2654B331" w14:textId="77777777" w:rsidTr="003117FC">
        <w:trPr>
          <w:trHeight w:val="314"/>
        </w:trPr>
        <w:tc>
          <w:tcPr>
            <w:tcW w:w="1784" w:type="dxa"/>
            <w:shd w:val="clear" w:color="auto" w:fill="auto"/>
            <w:vAlign w:val="center"/>
            <w:hideMark/>
          </w:tcPr>
          <w:p w14:paraId="30279955"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w:t>
            </w:r>
          </w:p>
        </w:tc>
        <w:tc>
          <w:tcPr>
            <w:tcW w:w="1214" w:type="dxa"/>
            <w:shd w:val="clear" w:color="auto" w:fill="auto"/>
            <w:vAlign w:val="center"/>
            <w:hideMark/>
          </w:tcPr>
          <w:p w14:paraId="7A32300F"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2018</w:t>
            </w:r>
          </w:p>
        </w:tc>
        <w:tc>
          <w:tcPr>
            <w:tcW w:w="1859" w:type="dxa"/>
            <w:vAlign w:val="center"/>
          </w:tcPr>
          <w:p w14:paraId="726ABC03"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0.016667</w:t>
            </w:r>
          </w:p>
        </w:tc>
        <w:tc>
          <w:tcPr>
            <w:tcW w:w="1859" w:type="dxa"/>
            <w:shd w:val="clear" w:color="auto" w:fill="auto"/>
            <w:vAlign w:val="center"/>
            <w:hideMark/>
          </w:tcPr>
          <w:p w14:paraId="03BBB601"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0.056830</w:t>
            </w:r>
          </w:p>
        </w:tc>
        <w:tc>
          <w:tcPr>
            <w:tcW w:w="1859" w:type="dxa"/>
            <w:vAlign w:val="center"/>
          </w:tcPr>
          <w:p w14:paraId="53420207"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0.135918</w:t>
            </w:r>
          </w:p>
        </w:tc>
      </w:tr>
    </w:tbl>
    <w:p w14:paraId="1A6B20D1" w14:textId="77777777" w:rsidR="00C3000E" w:rsidRPr="003C6DBD" w:rsidRDefault="00C3000E" w:rsidP="00C3000E">
      <w:pPr>
        <w:pStyle w:val="comp"/>
        <w:spacing w:before="0" w:beforeAutospacing="0" w:after="160" w:afterAutospacing="0" w:line="480" w:lineRule="auto"/>
        <w:rPr>
          <w:rFonts w:eastAsiaTheme="minorHAnsi"/>
          <w:color w:val="0D0D0D" w:themeColor="text1" w:themeTint="F2"/>
        </w:rPr>
      </w:pPr>
    </w:p>
    <w:p w14:paraId="4054791C" w14:textId="77777777" w:rsidR="00E45DE9" w:rsidRPr="003C6DBD" w:rsidRDefault="00E45DE9" w:rsidP="00C3000E">
      <w:pPr>
        <w:pStyle w:val="comp"/>
        <w:spacing w:before="0" w:beforeAutospacing="0" w:after="160" w:afterAutospacing="0" w:line="480" w:lineRule="auto"/>
        <w:rPr>
          <w:rFonts w:eastAsiaTheme="minorHAnsi"/>
          <w:color w:val="0D0D0D" w:themeColor="text1" w:themeTint="F2"/>
        </w:rPr>
      </w:pPr>
    </w:p>
    <w:p w14:paraId="69754949" w14:textId="77777777" w:rsidR="00E45DE9" w:rsidRPr="003C6DBD" w:rsidRDefault="00E45DE9" w:rsidP="00C3000E">
      <w:pPr>
        <w:pStyle w:val="comp"/>
        <w:spacing w:before="0" w:beforeAutospacing="0" w:after="160" w:afterAutospacing="0" w:line="480" w:lineRule="auto"/>
        <w:rPr>
          <w:rFonts w:eastAsiaTheme="minorHAnsi"/>
          <w:color w:val="0D0D0D" w:themeColor="text1" w:themeTint="F2"/>
        </w:rPr>
      </w:pPr>
    </w:p>
    <w:p w14:paraId="2F6133C1" w14:textId="77777777" w:rsidR="00E45DE9" w:rsidRPr="003C6DBD" w:rsidRDefault="00E45DE9" w:rsidP="00C3000E">
      <w:pPr>
        <w:pStyle w:val="comp"/>
        <w:spacing w:before="0" w:beforeAutospacing="0" w:after="160" w:afterAutospacing="0" w:line="480" w:lineRule="auto"/>
        <w:rPr>
          <w:rFonts w:eastAsiaTheme="minorHAnsi"/>
          <w:color w:val="0D0D0D" w:themeColor="text1" w:themeTint="F2"/>
        </w:rPr>
      </w:pPr>
    </w:p>
    <w:p w14:paraId="691EE7A5" w14:textId="77777777" w:rsidR="00E45DE9" w:rsidRPr="003C6DBD" w:rsidRDefault="00E45DE9" w:rsidP="00C3000E">
      <w:pPr>
        <w:pStyle w:val="comp"/>
        <w:spacing w:before="0" w:beforeAutospacing="0" w:after="160" w:afterAutospacing="0" w:line="480" w:lineRule="auto"/>
        <w:rPr>
          <w:rFonts w:eastAsiaTheme="minorHAnsi"/>
          <w:color w:val="0D0D0D" w:themeColor="text1" w:themeTint="F2"/>
        </w:rPr>
      </w:pPr>
    </w:p>
    <w:p w14:paraId="54B1296A" w14:textId="77777777" w:rsidR="00E45DE9" w:rsidRPr="003C6DBD" w:rsidRDefault="00E45DE9" w:rsidP="00C3000E">
      <w:pPr>
        <w:pStyle w:val="comp"/>
        <w:spacing w:before="0" w:beforeAutospacing="0" w:after="160" w:afterAutospacing="0" w:line="480" w:lineRule="auto"/>
        <w:rPr>
          <w:rFonts w:eastAsiaTheme="minorHAnsi"/>
          <w:color w:val="0D0D0D" w:themeColor="text1" w:themeTint="F2"/>
        </w:rPr>
      </w:pPr>
    </w:p>
    <w:p w14:paraId="4FACE9D2" w14:textId="77777777" w:rsidR="00154E66" w:rsidRPr="003C6DBD" w:rsidRDefault="00154E66" w:rsidP="00C3000E">
      <w:pPr>
        <w:pStyle w:val="comp"/>
        <w:spacing w:before="0" w:beforeAutospacing="0" w:after="160" w:afterAutospacing="0" w:line="480" w:lineRule="auto"/>
        <w:rPr>
          <w:rFonts w:eastAsiaTheme="minorHAnsi"/>
          <w:color w:val="0D0D0D" w:themeColor="text1" w:themeTint="F2"/>
        </w:rPr>
      </w:pPr>
    </w:p>
    <w:p w14:paraId="1BEEA0DC" w14:textId="77777777" w:rsidR="00154E66" w:rsidRPr="003C6DBD" w:rsidRDefault="00154E66" w:rsidP="00C3000E">
      <w:pPr>
        <w:pStyle w:val="comp"/>
        <w:spacing w:before="0" w:beforeAutospacing="0" w:after="160" w:afterAutospacing="0" w:line="480" w:lineRule="auto"/>
        <w:rPr>
          <w:rFonts w:eastAsiaTheme="minorHAnsi"/>
          <w:color w:val="0D0D0D" w:themeColor="text1" w:themeTint="F2"/>
        </w:rPr>
      </w:pPr>
    </w:p>
    <w:p w14:paraId="488A8925" w14:textId="77777777" w:rsidR="00154E66" w:rsidRPr="003C6DBD" w:rsidRDefault="00154E66" w:rsidP="00C3000E">
      <w:pPr>
        <w:pStyle w:val="comp"/>
        <w:spacing w:before="0" w:beforeAutospacing="0" w:after="160" w:afterAutospacing="0" w:line="480" w:lineRule="auto"/>
        <w:rPr>
          <w:rFonts w:eastAsiaTheme="minorHAnsi"/>
          <w:color w:val="0D0D0D" w:themeColor="text1" w:themeTint="F2"/>
        </w:rPr>
      </w:pPr>
    </w:p>
    <w:p w14:paraId="022F03B6" w14:textId="77777777" w:rsidR="00154E66" w:rsidRPr="003C6DBD" w:rsidRDefault="00154E66" w:rsidP="00C3000E">
      <w:pPr>
        <w:pStyle w:val="comp"/>
        <w:spacing w:before="0" w:beforeAutospacing="0" w:after="160" w:afterAutospacing="0" w:line="480" w:lineRule="auto"/>
        <w:rPr>
          <w:rFonts w:eastAsiaTheme="minorHAnsi"/>
          <w:color w:val="0D0D0D" w:themeColor="text1" w:themeTint="F2"/>
        </w:rPr>
      </w:pPr>
    </w:p>
    <w:p w14:paraId="08F9918E" w14:textId="77777777" w:rsidR="00C6134D" w:rsidRPr="003C6DBD" w:rsidRDefault="00C6134D" w:rsidP="00C3000E">
      <w:pPr>
        <w:pStyle w:val="comp"/>
        <w:spacing w:before="0" w:beforeAutospacing="0" w:after="160" w:afterAutospacing="0" w:line="480" w:lineRule="auto"/>
        <w:rPr>
          <w:rFonts w:eastAsiaTheme="minorHAnsi"/>
          <w:color w:val="0D0D0D" w:themeColor="text1" w:themeTint="F2"/>
        </w:rPr>
      </w:pPr>
    </w:p>
    <w:p w14:paraId="1AD6A661" w14:textId="1B5AD744" w:rsidR="00C3000E" w:rsidRPr="003C6DBD" w:rsidRDefault="00C3000E" w:rsidP="00C3000E">
      <w:pPr>
        <w:pStyle w:val="Caption"/>
        <w:keepNext/>
        <w:rPr>
          <w:rFonts w:ascii="Times New Roman" w:hAnsi="Times New Roman" w:cs="Times New Roman"/>
          <w:color w:val="0D0D0D" w:themeColor="text1" w:themeTint="F2"/>
          <w:sz w:val="24"/>
          <w:szCs w:val="24"/>
        </w:rPr>
      </w:pPr>
      <w:bookmarkStart w:id="65" w:name="_Toc132671826"/>
      <w:r w:rsidRPr="003C6DBD">
        <w:rPr>
          <w:rFonts w:ascii="Times New Roman" w:hAnsi="Times New Roman" w:cs="Times New Roman"/>
          <w:color w:val="0D0D0D" w:themeColor="text1" w:themeTint="F2"/>
          <w:sz w:val="24"/>
          <w:szCs w:val="24"/>
        </w:rPr>
        <w:lastRenderedPageBreak/>
        <w:t xml:space="preserve">Table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Table \* ARABIC </w:instrText>
      </w:r>
      <w:r w:rsidRPr="003C6DBD">
        <w:rPr>
          <w:rFonts w:ascii="Times New Roman" w:hAnsi="Times New Roman" w:cs="Times New Roman"/>
          <w:color w:val="0D0D0D" w:themeColor="text1" w:themeTint="F2"/>
          <w:sz w:val="24"/>
          <w:szCs w:val="24"/>
        </w:rPr>
        <w:fldChar w:fldCharType="separate"/>
      </w:r>
      <w:r w:rsidR="00154E66" w:rsidRPr="003C6DBD">
        <w:rPr>
          <w:rFonts w:ascii="Times New Roman" w:hAnsi="Times New Roman" w:cs="Times New Roman"/>
          <w:noProof/>
          <w:color w:val="0D0D0D" w:themeColor="text1" w:themeTint="F2"/>
          <w:sz w:val="24"/>
          <w:szCs w:val="24"/>
        </w:rPr>
        <w:t>12</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Prevalence and significance scores of specific risks.</w:t>
      </w:r>
      <w:bookmarkEnd w:id="65"/>
    </w:p>
    <w:tbl>
      <w:tblPr>
        <w:tblW w:w="13036" w:type="dxa"/>
        <w:tblBorders>
          <w:top w:val="single" w:sz="4" w:space="0" w:color="auto"/>
          <w:bottom w:val="single" w:sz="4" w:space="0" w:color="auto"/>
        </w:tblBorders>
        <w:tblLook w:val="04A0" w:firstRow="1" w:lastRow="0" w:firstColumn="1" w:lastColumn="0" w:noHBand="0" w:noVBand="1"/>
      </w:tblPr>
      <w:tblGrid>
        <w:gridCol w:w="2433"/>
        <w:gridCol w:w="1012"/>
        <w:gridCol w:w="1189"/>
        <w:gridCol w:w="1095"/>
        <w:gridCol w:w="1116"/>
        <w:gridCol w:w="996"/>
        <w:gridCol w:w="996"/>
        <w:gridCol w:w="4199"/>
      </w:tblGrid>
      <w:tr w:rsidR="00D21393" w:rsidRPr="003C6DBD" w14:paraId="44A8B896" w14:textId="77777777" w:rsidTr="007A05B7">
        <w:trPr>
          <w:gridAfter w:val="1"/>
          <w:wAfter w:w="4199" w:type="dxa"/>
          <w:trHeight w:val="340"/>
        </w:trPr>
        <w:tc>
          <w:tcPr>
            <w:tcW w:w="2433" w:type="dxa"/>
            <w:tcBorders>
              <w:top w:val="single" w:sz="4" w:space="0" w:color="auto"/>
              <w:bottom w:val="single" w:sz="4" w:space="0" w:color="auto"/>
            </w:tcBorders>
            <w:shd w:val="clear" w:color="auto" w:fill="auto"/>
            <w:noWrap/>
            <w:vAlign w:val="center"/>
            <w:hideMark/>
          </w:tcPr>
          <w:p w14:paraId="37B99069" w14:textId="77777777" w:rsidR="00C3000E" w:rsidRPr="003C6DBD" w:rsidRDefault="00C3000E" w:rsidP="003117FC">
            <w:pPr>
              <w:spacing w:after="0" w:line="48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Specific risks</w:t>
            </w:r>
          </w:p>
        </w:tc>
        <w:tc>
          <w:tcPr>
            <w:tcW w:w="3296" w:type="dxa"/>
            <w:gridSpan w:val="3"/>
            <w:tcBorders>
              <w:top w:val="single" w:sz="4" w:space="0" w:color="auto"/>
              <w:bottom w:val="single" w:sz="4" w:space="0" w:color="auto"/>
            </w:tcBorders>
            <w:shd w:val="clear" w:color="auto" w:fill="auto"/>
            <w:noWrap/>
            <w:vAlign w:val="center"/>
            <w:hideMark/>
          </w:tcPr>
          <w:p w14:paraId="64E5D652" w14:textId="77777777" w:rsidR="00C3000E" w:rsidRPr="003C6DBD" w:rsidRDefault="00C3000E" w:rsidP="003117FC">
            <w:pPr>
              <w:spacing w:after="0" w:line="48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Prevalence</w:t>
            </w:r>
          </w:p>
        </w:tc>
        <w:tc>
          <w:tcPr>
            <w:tcW w:w="3108" w:type="dxa"/>
            <w:gridSpan w:val="3"/>
            <w:tcBorders>
              <w:top w:val="single" w:sz="4" w:space="0" w:color="auto"/>
              <w:bottom w:val="single" w:sz="4" w:space="0" w:color="auto"/>
            </w:tcBorders>
            <w:shd w:val="clear" w:color="auto" w:fill="auto"/>
            <w:noWrap/>
            <w:vAlign w:val="center"/>
            <w:hideMark/>
          </w:tcPr>
          <w:p w14:paraId="605C013F" w14:textId="77777777" w:rsidR="00C3000E" w:rsidRPr="003C6DBD" w:rsidRDefault="00C3000E" w:rsidP="003117FC">
            <w:pPr>
              <w:spacing w:after="0" w:line="48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Significance</w:t>
            </w:r>
          </w:p>
        </w:tc>
      </w:tr>
      <w:tr w:rsidR="00D21393" w:rsidRPr="003C6DBD" w14:paraId="2F920048" w14:textId="77777777" w:rsidTr="007A05B7">
        <w:trPr>
          <w:gridAfter w:val="1"/>
          <w:wAfter w:w="4199" w:type="dxa"/>
          <w:trHeight w:val="340"/>
        </w:trPr>
        <w:tc>
          <w:tcPr>
            <w:tcW w:w="2433" w:type="dxa"/>
            <w:tcBorders>
              <w:top w:val="single" w:sz="4" w:space="0" w:color="auto"/>
            </w:tcBorders>
            <w:shd w:val="clear" w:color="auto" w:fill="auto"/>
            <w:noWrap/>
            <w:vAlign w:val="center"/>
            <w:hideMark/>
          </w:tcPr>
          <w:p w14:paraId="17BE1F26"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w:t>
            </w:r>
          </w:p>
        </w:tc>
        <w:tc>
          <w:tcPr>
            <w:tcW w:w="1012" w:type="dxa"/>
            <w:tcBorders>
              <w:top w:val="single" w:sz="4" w:space="0" w:color="auto"/>
              <w:bottom w:val="single" w:sz="4" w:space="0" w:color="auto"/>
            </w:tcBorders>
            <w:shd w:val="clear" w:color="auto" w:fill="auto"/>
            <w:noWrap/>
            <w:vAlign w:val="center"/>
            <w:hideMark/>
          </w:tcPr>
          <w:p w14:paraId="73BDA14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Min.</w:t>
            </w:r>
          </w:p>
        </w:tc>
        <w:tc>
          <w:tcPr>
            <w:tcW w:w="1189" w:type="dxa"/>
            <w:tcBorders>
              <w:top w:val="single" w:sz="4" w:space="0" w:color="auto"/>
              <w:bottom w:val="single" w:sz="4" w:space="0" w:color="auto"/>
            </w:tcBorders>
            <w:shd w:val="clear" w:color="auto" w:fill="auto"/>
            <w:noWrap/>
            <w:vAlign w:val="center"/>
            <w:hideMark/>
          </w:tcPr>
          <w:p w14:paraId="4CE24FD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Mean</w:t>
            </w:r>
          </w:p>
        </w:tc>
        <w:tc>
          <w:tcPr>
            <w:tcW w:w="1095" w:type="dxa"/>
            <w:tcBorders>
              <w:top w:val="single" w:sz="4" w:space="0" w:color="auto"/>
              <w:bottom w:val="single" w:sz="4" w:space="0" w:color="auto"/>
            </w:tcBorders>
            <w:shd w:val="clear" w:color="auto" w:fill="auto"/>
            <w:noWrap/>
            <w:vAlign w:val="center"/>
            <w:hideMark/>
          </w:tcPr>
          <w:p w14:paraId="211E5DA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Max.</w:t>
            </w:r>
          </w:p>
        </w:tc>
        <w:tc>
          <w:tcPr>
            <w:tcW w:w="1116" w:type="dxa"/>
            <w:tcBorders>
              <w:top w:val="single" w:sz="4" w:space="0" w:color="auto"/>
              <w:bottom w:val="single" w:sz="4" w:space="0" w:color="auto"/>
            </w:tcBorders>
            <w:shd w:val="clear" w:color="auto" w:fill="auto"/>
            <w:noWrap/>
            <w:vAlign w:val="center"/>
            <w:hideMark/>
          </w:tcPr>
          <w:p w14:paraId="24FB8206"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Min.</w:t>
            </w:r>
          </w:p>
        </w:tc>
        <w:tc>
          <w:tcPr>
            <w:tcW w:w="996" w:type="dxa"/>
            <w:tcBorders>
              <w:top w:val="single" w:sz="4" w:space="0" w:color="auto"/>
              <w:bottom w:val="single" w:sz="4" w:space="0" w:color="auto"/>
            </w:tcBorders>
            <w:shd w:val="clear" w:color="auto" w:fill="auto"/>
            <w:noWrap/>
            <w:vAlign w:val="center"/>
            <w:hideMark/>
          </w:tcPr>
          <w:p w14:paraId="5FB7D60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Mean</w:t>
            </w:r>
          </w:p>
        </w:tc>
        <w:tc>
          <w:tcPr>
            <w:tcW w:w="996" w:type="dxa"/>
            <w:tcBorders>
              <w:top w:val="single" w:sz="4" w:space="0" w:color="auto"/>
              <w:bottom w:val="single" w:sz="4" w:space="0" w:color="auto"/>
            </w:tcBorders>
            <w:shd w:val="clear" w:color="auto" w:fill="auto"/>
            <w:noWrap/>
            <w:vAlign w:val="center"/>
            <w:hideMark/>
          </w:tcPr>
          <w:p w14:paraId="2A9BA19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Max.</w:t>
            </w:r>
          </w:p>
        </w:tc>
      </w:tr>
      <w:tr w:rsidR="00D21393" w:rsidRPr="003C6DBD" w14:paraId="471CB2F0" w14:textId="77777777" w:rsidTr="007A05B7">
        <w:trPr>
          <w:gridAfter w:val="1"/>
          <w:wAfter w:w="4199" w:type="dxa"/>
          <w:trHeight w:val="340"/>
        </w:trPr>
        <w:tc>
          <w:tcPr>
            <w:tcW w:w="2433" w:type="dxa"/>
            <w:shd w:val="clear" w:color="auto" w:fill="auto"/>
            <w:vAlign w:val="center"/>
            <w:hideMark/>
          </w:tcPr>
          <w:p w14:paraId="0F21A46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Biofuel regulation</w:t>
            </w:r>
          </w:p>
        </w:tc>
        <w:tc>
          <w:tcPr>
            <w:tcW w:w="1012" w:type="dxa"/>
            <w:tcBorders>
              <w:top w:val="single" w:sz="4" w:space="0" w:color="auto"/>
            </w:tcBorders>
            <w:shd w:val="clear" w:color="auto" w:fill="auto"/>
            <w:noWrap/>
            <w:vAlign w:val="center"/>
            <w:hideMark/>
          </w:tcPr>
          <w:p w14:paraId="18AB9EA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c>
          <w:tcPr>
            <w:tcW w:w="1189" w:type="dxa"/>
            <w:tcBorders>
              <w:top w:val="single" w:sz="4" w:space="0" w:color="auto"/>
            </w:tcBorders>
            <w:shd w:val="clear" w:color="auto" w:fill="auto"/>
            <w:noWrap/>
            <w:vAlign w:val="center"/>
            <w:hideMark/>
          </w:tcPr>
          <w:p w14:paraId="0AF2A48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17.00</w:t>
            </w:r>
          </w:p>
        </w:tc>
        <w:tc>
          <w:tcPr>
            <w:tcW w:w="1095" w:type="dxa"/>
            <w:tcBorders>
              <w:top w:val="single" w:sz="4" w:space="0" w:color="auto"/>
            </w:tcBorders>
            <w:shd w:val="clear" w:color="auto" w:fill="auto"/>
            <w:noWrap/>
            <w:vAlign w:val="center"/>
            <w:hideMark/>
          </w:tcPr>
          <w:p w14:paraId="199F389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19</w:t>
            </w:r>
          </w:p>
        </w:tc>
        <w:tc>
          <w:tcPr>
            <w:tcW w:w="1116" w:type="dxa"/>
            <w:tcBorders>
              <w:top w:val="single" w:sz="4" w:space="0" w:color="auto"/>
            </w:tcBorders>
            <w:shd w:val="clear" w:color="auto" w:fill="auto"/>
            <w:noWrap/>
            <w:vAlign w:val="center"/>
            <w:hideMark/>
          </w:tcPr>
          <w:p w14:paraId="0C4AFFB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0.074952</w:t>
            </w:r>
          </w:p>
        </w:tc>
        <w:tc>
          <w:tcPr>
            <w:tcW w:w="996" w:type="dxa"/>
            <w:tcBorders>
              <w:top w:val="single" w:sz="4" w:space="0" w:color="auto"/>
            </w:tcBorders>
            <w:shd w:val="clear" w:color="auto" w:fill="auto"/>
            <w:noWrap/>
            <w:vAlign w:val="center"/>
            <w:hideMark/>
          </w:tcPr>
          <w:p w14:paraId="34415A9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0.07769</w:t>
            </w:r>
          </w:p>
        </w:tc>
        <w:tc>
          <w:tcPr>
            <w:tcW w:w="996" w:type="dxa"/>
            <w:tcBorders>
              <w:top w:val="single" w:sz="4" w:space="0" w:color="auto"/>
            </w:tcBorders>
            <w:shd w:val="clear" w:color="auto" w:fill="auto"/>
            <w:noWrap/>
            <w:vAlign w:val="center"/>
            <w:hideMark/>
          </w:tcPr>
          <w:p w14:paraId="4A3DFCE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0.07926</w:t>
            </w:r>
          </w:p>
        </w:tc>
      </w:tr>
      <w:tr w:rsidR="00D21393" w:rsidRPr="003C6DBD" w14:paraId="19FDD509" w14:textId="77777777" w:rsidTr="007A05B7">
        <w:trPr>
          <w:gridAfter w:val="1"/>
          <w:wAfter w:w="4199" w:type="dxa"/>
          <w:trHeight w:val="670"/>
        </w:trPr>
        <w:tc>
          <w:tcPr>
            <w:tcW w:w="2433" w:type="dxa"/>
            <w:shd w:val="clear" w:color="auto" w:fill="auto"/>
            <w:vAlign w:val="center"/>
            <w:hideMark/>
          </w:tcPr>
          <w:p w14:paraId="33098CC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Environment, health, and safety</w:t>
            </w:r>
          </w:p>
        </w:tc>
        <w:tc>
          <w:tcPr>
            <w:tcW w:w="1012" w:type="dxa"/>
            <w:shd w:val="clear" w:color="auto" w:fill="auto"/>
            <w:noWrap/>
            <w:vAlign w:val="center"/>
            <w:hideMark/>
          </w:tcPr>
          <w:p w14:paraId="106ACE9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15</w:t>
            </w:r>
          </w:p>
        </w:tc>
        <w:tc>
          <w:tcPr>
            <w:tcW w:w="1189" w:type="dxa"/>
            <w:shd w:val="clear" w:color="auto" w:fill="auto"/>
            <w:noWrap/>
            <w:vAlign w:val="center"/>
            <w:hideMark/>
          </w:tcPr>
          <w:p w14:paraId="6C835874"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16.00</w:t>
            </w:r>
          </w:p>
        </w:tc>
        <w:tc>
          <w:tcPr>
            <w:tcW w:w="1095" w:type="dxa"/>
            <w:shd w:val="clear" w:color="auto" w:fill="auto"/>
            <w:noWrap/>
            <w:vAlign w:val="center"/>
            <w:hideMark/>
          </w:tcPr>
          <w:p w14:paraId="05E55AC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17</w:t>
            </w:r>
          </w:p>
        </w:tc>
        <w:tc>
          <w:tcPr>
            <w:tcW w:w="1116" w:type="dxa"/>
            <w:shd w:val="clear" w:color="auto" w:fill="auto"/>
            <w:noWrap/>
            <w:vAlign w:val="center"/>
            <w:hideMark/>
          </w:tcPr>
          <w:p w14:paraId="4AD8F2F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0.043591</w:t>
            </w:r>
          </w:p>
        </w:tc>
        <w:tc>
          <w:tcPr>
            <w:tcW w:w="996" w:type="dxa"/>
            <w:shd w:val="clear" w:color="auto" w:fill="auto"/>
            <w:noWrap/>
            <w:vAlign w:val="center"/>
            <w:hideMark/>
          </w:tcPr>
          <w:p w14:paraId="7FECCF2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0.04836</w:t>
            </w:r>
          </w:p>
        </w:tc>
        <w:tc>
          <w:tcPr>
            <w:tcW w:w="996" w:type="dxa"/>
            <w:shd w:val="clear" w:color="auto" w:fill="auto"/>
            <w:noWrap/>
            <w:vAlign w:val="center"/>
            <w:hideMark/>
          </w:tcPr>
          <w:p w14:paraId="3AD50A6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0.05215</w:t>
            </w:r>
          </w:p>
        </w:tc>
      </w:tr>
      <w:tr w:rsidR="00D21393" w:rsidRPr="003C6DBD" w14:paraId="60BD1228" w14:textId="77777777" w:rsidTr="007A05B7">
        <w:trPr>
          <w:gridAfter w:val="1"/>
          <w:wAfter w:w="4199" w:type="dxa"/>
          <w:trHeight w:val="340"/>
        </w:trPr>
        <w:tc>
          <w:tcPr>
            <w:tcW w:w="2433" w:type="dxa"/>
            <w:shd w:val="clear" w:color="auto" w:fill="auto"/>
            <w:vAlign w:val="center"/>
            <w:hideMark/>
          </w:tcPr>
          <w:p w14:paraId="39E2812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Infrastructure</w:t>
            </w:r>
          </w:p>
        </w:tc>
        <w:tc>
          <w:tcPr>
            <w:tcW w:w="1012" w:type="dxa"/>
            <w:shd w:val="clear" w:color="auto" w:fill="auto"/>
            <w:noWrap/>
            <w:vAlign w:val="center"/>
            <w:hideMark/>
          </w:tcPr>
          <w:p w14:paraId="4181889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8</w:t>
            </w:r>
          </w:p>
        </w:tc>
        <w:tc>
          <w:tcPr>
            <w:tcW w:w="1189" w:type="dxa"/>
            <w:shd w:val="clear" w:color="auto" w:fill="auto"/>
            <w:noWrap/>
            <w:vAlign w:val="center"/>
            <w:hideMark/>
          </w:tcPr>
          <w:p w14:paraId="2160DC86"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10.25</w:t>
            </w:r>
          </w:p>
        </w:tc>
        <w:tc>
          <w:tcPr>
            <w:tcW w:w="1095" w:type="dxa"/>
            <w:shd w:val="clear" w:color="auto" w:fill="auto"/>
            <w:noWrap/>
            <w:vAlign w:val="center"/>
            <w:hideMark/>
          </w:tcPr>
          <w:p w14:paraId="1BF8BCD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12</w:t>
            </w:r>
          </w:p>
        </w:tc>
        <w:tc>
          <w:tcPr>
            <w:tcW w:w="1116" w:type="dxa"/>
            <w:shd w:val="clear" w:color="auto" w:fill="auto"/>
            <w:noWrap/>
            <w:vAlign w:val="center"/>
            <w:hideMark/>
          </w:tcPr>
          <w:p w14:paraId="3071A534"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0.036030</w:t>
            </w:r>
          </w:p>
        </w:tc>
        <w:tc>
          <w:tcPr>
            <w:tcW w:w="996" w:type="dxa"/>
            <w:shd w:val="clear" w:color="auto" w:fill="auto"/>
            <w:noWrap/>
            <w:vAlign w:val="center"/>
            <w:hideMark/>
          </w:tcPr>
          <w:p w14:paraId="12DB839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0.03754</w:t>
            </w:r>
          </w:p>
        </w:tc>
        <w:tc>
          <w:tcPr>
            <w:tcW w:w="996" w:type="dxa"/>
            <w:shd w:val="clear" w:color="auto" w:fill="auto"/>
            <w:noWrap/>
            <w:vAlign w:val="center"/>
            <w:hideMark/>
          </w:tcPr>
          <w:p w14:paraId="0A5457E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0.03893</w:t>
            </w:r>
          </w:p>
        </w:tc>
      </w:tr>
      <w:tr w:rsidR="00D21393" w:rsidRPr="003C6DBD" w14:paraId="0D52120E" w14:textId="77777777" w:rsidTr="007A05B7">
        <w:trPr>
          <w:gridAfter w:val="1"/>
          <w:wAfter w:w="4199" w:type="dxa"/>
          <w:trHeight w:val="340"/>
        </w:trPr>
        <w:tc>
          <w:tcPr>
            <w:tcW w:w="2433" w:type="dxa"/>
            <w:shd w:val="clear" w:color="auto" w:fill="auto"/>
            <w:vAlign w:val="center"/>
            <w:hideMark/>
          </w:tcPr>
          <w:p w14:paraId="506E6F2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International</w:t>
            </w:r>
          </w:p>
        </w:tc>
        <w:tc>
          <w:tcPr>
            <w:tcW w:w="1012" w:type="dxa"/>
            <w:shd w:val="clear" w:color="auto" w:fill="auto"/>
            <w:noWrap/>
            <w:vAlign w:val="center"/>
            <w:hideMark/>
          </w:tcPr>
          <w:p w14:paraId="37AC321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13</w:t>
            </w:r>
          </w:p>
        </w:tc>
        <w:tc>
          <w:tcPr>
            <w:tcW w:w="1189" w:type="dxa"/>
            <w:shd w:val="clear" w:color="auto" w:fill="auto"/>
            <w:noWrap/>
            <w:vAlign w:val="center"/>
            <w:hideMark/>
          </w:tcPr>
          <w:p w14:paraId="6409A7C4"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13.25</w:t>
            </w:r>
          </w:p>
        </w:tc>
        <w:tc>
          <w:tcPr>
            <w:tcW w:w="1095" w:type="dxa"/>
            <w:shd w:val="clear" w:color="auto" w:fill="auto"/>
            <w:noWrap/>
            <w:vAlign w:val="center"/>
            <w:hideMark/>
          </w:tcPr>
          <w:p w14:paraId="6175F22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14</w:t>
            </w:r>
          </w:p>
        </w:tc>
        <w:tc>
          <w:tcPr>
            <w:tcW w:w="1116" w:type="dxa"/>
            <w:shd w:val="clear" w:color="auto" w:fill="auto"/>
            <w:noWrap/>
            <w:vAlign w:val="center"/>
            <w:hideMark/>
          </w:tcPr>
          <w:p w14:paraId="04D6B35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0.044144</w:t>
            </w:r>
          </w:p>
        </w:tc>
        <w:tc>
          <w:tcPr>
            <w:tcW w:w="996" w:type="dxa"/>
            <w:shd w:val="clear" w:color="auto" w:fill="auto"/>
            <w:noWrap/>
            <w:vAlign w:val="center"/>
            <w:hideMark/>
          </w:tcPr>
          <w:p w14:paraId="3BAB7BF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0.05314</w:t>
            </w:r>
          </w:p>
        </w:tc>
        <w:tc>
          <w:tcPr>
            <w:tcW w:w="996" w:type="dxa"/>
            <w:shd w:val="clear" w:color="auto" w:fill="auto"/>
            <w:noWrap/>
            <w:vAlign w:val="center"/>
            <w:hideMark/>
          </w:tcPr>
          <w:p w14:paraId="3CBF2DF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0.06330</w:t>
            </w:r>
          </w:p>
        </w:tc>
      </w:tr>
      <w:tr w:rsidR="00D21393" w:rsidRPr="003C6DBD" w14:paraId="237CDB86" w14:textId="77777777" w:rsidTr="007A05B7">
        <w:trPr>
          <w:gridAfter w:val="1"/>
          <w:wAfter w:w="4199" w:type="dxa"/>
          <w:trHeight w:val="340"/>
        </w:trPr>
        <w:tc>
          <w:tcPr>
            <w:tcW w:w="2433" w:type="dxa"/>
            <w:shd w:val="clear" w:color="auto" w:fill="auto"/>
            <w:vAlign w:val="center"/>
            <w:hideMark/>
          </w:tcPr>
          <w:p w14:paraId="208B499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General regulation</w:t>
            </w:r>
          </w:p>
        </w:tc>
        <w:tc>
          <w:tcPr>
            <w:tcW w:w="1012" w:type="dxa"/>
            <w:shd w:val="clear" w:color="auto" w:fill="auto"/>
            <w:noWrap/>
            <w:vAlign w:val="center"/>
            <w:hideMark/>
          </w:tcPr>
          <w:p w14:paraId="1A935A5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17</w:t>
            </w:r>
          </w:p>
        </w:tc>
        <w:tc>
          <w:tcPr>
            <w:tcW w:w="1189" w:type="dxa"/>
            <w:shd w:val="clear" w:color="auto" w:fill="auto"/>
            <w:noWrap/>
            <w:vAlign w:val="center"/>
            <w:hideMark/>
          </w:tcPr>
          <w:p w14:paraId="21FE44D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18.5</w:t>
            </w:r>
          </w:p>
        </w:tc>
        <w:tc>
          <w:tcPr>
            <w:tcW w:w="1095" w:type="dxa"/>
            <w:shd w:val="clear" w:color="auto" w:fill="auto"/>
            <w:noWrap/>
            <w:vAlign w:val="center"/>
            <w:hideMark/>
          </w:tcPr>
          <w:p w14:paraId="32A43956"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20</w:t>
            </w:r>
          </w:p>
        </w:tc>
        <w:tc>
          <w:tcPr>
            <w:tcW w:w="1116" w:type="dxa"/>
            <w:shd w:val="clear" w:color="auto" w:fill="auto"/>
            <w:noWrap/>
            <w:vAlign w:val="center"/>
            <w:hideMark/>
          </w:tcPr>
          <w:p w14:paraId="61385F6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0.050377</w:t>
            </w:r>
          </w:p>
        </w:tc>
        <w:tc>
          <w:tcPr>
            <w:tcW w:w="996" w:type="dxa"/>
            <w:shd w:val="clear" w:color="auto" w:fill="auto"/>
            <w:noWrap/>
            <w:vAlign w:val="center"/>
            <w:hideMark/>
          </w:tcPr>
          <w:p w14:paraId="4AB1A18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0.05952</w:t>
            </w:r>
          </w:p>
        </w:tc>
        <w:tc>
          <w:tcPr>
            <w:tcW w:w="996" w:type="dxa"/>
            <w:shd w:val="clear" w:color="auto" w:fill="auto"/>
            <w:noWrap/>
            <w:vAlign w:val="center"/>
            <w:hideMark/>
          </w:tcPr>
          <w:p w14:paraId="1B8DA19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0.06716</w:t>
            </w:r>
          </w:p>
        </w:tc>
      </w:tr>
      <w:tr w:rsidR="00D21393" w:rsidRPr="003C6DBD" w14:paraId="13113764" w14:textId="77777777" w:rsidTr="007A05B7">
        <w:trPr>
          <w:gridAfter w:val="1"/>
          <w:wAfter w:w="4199" w:type="dxa"/>
          <w:trHeight w:val="340"/>
        </w:trPr>
        <w:tc>
          <w:tcPr>
            <w:tcW w:w="2433" w:type="dxa"/>
            <w:shd w:val="clear" w:color="auto" w:fill="auto"/>
            <w:vAlign w:val="center"/>
            <w:hideMark/>
          </w:tcPr>
          <w:p w14:paraId="07FE69F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Markets-feedstock</w:t>
            </w:r>
          </w:p>
        </w:tc>
        <w:tc>
          <w:tcPr>
            <w:tcW w:w="1012" w:type="dxa"/>
            <w:shd w:val="clear" w:color="auto" w:fill="auto"/>
            <w:noWrap/>
            <w:vAlign w:val="center"/>
            <w:hideMark/>
          </w:tcPr>
          <w:p w14:paraId="4633EAB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13</w:t>
            </w:r>
          </w:p>
        </w:tc>
        <w:tc>
          <w:tcPr>
            <w:tcW w:w="1189" w:type="dxa"/>
            <w:shd w:val="clear" w:color="auto" w:fill="auto"/>
            <w:noWrap/>
            <w:vAlign w:val="center"/>
            <w:hideMark/>
          </w:tcPr>
          <w:p w14:paraId="50C155D6"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14.5</w:t>
            </w:r>
          </w:p>
        </w:tc>
        <w:tc>
          <w:tcPr>
            <w:tcW w:w="1095" w:type="dxa"/>
            <w:shd w:val="clear" w:color="auto" w:fill="auto"/>
            <w:noWrap/>
            <w:vAlign w:val="center"/>
            <w:hideMark/>
          </w:tcPr>
          <w:p w14:paraId="2406D24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c>
          <w:tcPr>
            <w:tcW w:w="1116" w:type="dxa"/>
            <w:shd w:val="clear" w:color="auto" w:fill="auto"/>
            <w:noWrap/>
            <w:vAlign w:val="center"/>
            <w:hideMark/>
          </w:tcPr>
          <w:p w14:paraId="34BDB7F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0.064403</w:t>
            </w:r>
          </w:p>
        </w:tc>
        <w:tc>
          <w:tcPr>
            <w:tcW w:w="996" w:type="dxa"/>
            <w:shd w:val="clear" w:color="auto" w:fill="auto"/>
            <w:noWrap/>
            <w:vAlign w:val="center"/>
            <w:hideMark/>
          </w:tcPr>
          <w:p w14:paraId="6D479E8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0.0685</w:t>
            </w:r>
          </w:p>
        </w:tc>
        <w:tc>
          <w:tcPr>
            <w:tcW w:w="996" w:type="dxa"/>
            <w:shd w:val="clear" w:color="auto" w:fill="auto"/>
            <w:noWrap/>
            <w:vAlign w:val="center"/>
            <w:hideMark/>
          </w:tcPr>
          <w:p w14:paraId="6F9A71E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0.07132</w:t>
            </w:r>
          </w:p>
        </w:tc>
      </w:tr>
      <w:tr w:rsidR="00D21393" w:rsidRPr="003C6DBD" w14:paraId="2D0F9D75" w14:textId="77777777" w:rsidTr="007A05B7">
        <w:trPr>
          <w:gridAfter w:val="1"/>
          <w:wAfter w:w="4199" w:type="dxa"/>
          <w:trHeight w:val="340"/>
        </w:trPr>
        <w:tc>
          <w:tcPr>
            <w:tcW w:w="2433" w:type="dxa"/>
            <w:shd w:val="clear" w:color="auto" w:fill="auto"/>
            <w:vAlign w:val="center"/>
            <w:hideMark/>
          </w:tcPr>
          <w:p w14:paraId="1686A3E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Markets-biofuels</w:t>
            </w:r>
          </w:p>
        </w:tc>
        <w:tc>
          <w:tcPr>
            <w:tcW w:w="1012" w:type="dxa"/>
            <w:shd w:val="clear" w:color="auto" w:fill="auto"/>
            <w:noWrap/>
            <w:vAlign w:val="center"/>
            <w:hideMark/>
          </w:tcPr>
          <w:p w14:paraId="464AFE6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11</w:t>
            </w:r>
          </w:p>
        </w:tc>
        <w:tc>
          <w:tcPr>
            <w:tcW w:w="1189" w:type="dxa"/>
            <w:shd w:val="clear" w:color="auto" w:fill="auto"/>
            <w:noWrap/>
            <w:vAlign w:val="center"/>
            <w:hideMark/>
          </w:tcPr>
          <w:p w14:paraId="460EB0A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12.25</w:t>
            </w:r>
          </w:p>
        </w:tc>
        <w:tc>
          <w:tcPr>
            <w:tcW w:w="1095" w:type="dxa"/>
            <w:shd w:val="clear" w:color="auto" w:fill="auto"/>
            <w:noWrap/>
            <w:vAlign w:val="center"/>
            <w:hideMark/>
          </w:tcPr>
          <w:p w14:paraId="3C9CAEF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14</w:t>
            </w:r>
          </w:p>
        </w:tc>
        <w:tc>
          <w:tcPr>
            <w:tcW w:w="1116" w:type="dxa"/>
            <w:shd w:val="clear" w:color="auto" w:fill="auto"/>
            <w:noWrap/>
            <w:vAlign w:val="center"/>
            <w:hideMark/>
          </w:tcPr>
          <w:p w14:paraId="61F13CE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0.079755</w:t>
            </w:r>
          </w:p>
        </w:tc>
        <w:tc>
          <w:tcPr>
            <w:tcW w:w="996" w:type="dxa"/>
            <w:shd w:val="clear" w:color="auto" w:fill="auto"/>
            <w:noWrap/>
            <w:vAlign w:val="center"/>
            <w:hideMark/>
          </w:tcPr>
          <w:p w14:paraId="7EBB525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0.09631</w:t>
            </w:r>
          </w:p>
        </w:tc>
        <w:tc>
          <w:tcPr>
            <w:tcW w:w="996" w:type="dxa"/>
            <w:shd w:val="clear" w:color="auto" w:fill="auto"/>
            <w:noWrap/>
            <w:vAlign w:val="center"/>
            <w:hideMark/>
          </w:tcPr>
          <w:p w14:paraId="73520826"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0.11236</w:t>
            </w:r>
          </w:p>
        </w:tc>
      </w:tr>
      <w:tr w:rsidR="00D21393" w:rsidRPr="003C6DBD" w14:paraId="6D2C6EE0" w14:textId="77777777" w:rsidTr="007A05B7">
        <w:trPr>
          <w:gridAfter w:val="1"/>
          <w:wAfter w:w="4199" w:type="dxa"/>
          <w:trHeight w:val="340"/>
        </w:trPr>
        <w:tc>
          <w:tcPr>
            <w:tcW w:w="2433" w:type="dxa"/>
            <w:shd w:val="clear" w:color="auto" w:fill="auto"/>
            <w:vAlign w:val="center"/>
            <w:hideMark/>
          </w:tcPr>
          <w:p w14:paraId="4B184A86"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Markets-competing fuels</w:t>
            </w:r>
          </w:p>
        </w:tc>
        <w:tc>
          <w:tcPr>
            <w:tcW w:w="1012" w:type="dxa"/>
            <w:shd w:val="clear" w:color="auto" w:fill="auto"/>
            <w:noWrap/>
            <w:vAlign w:val="center"/>
            <w:hideMark/>
          </w:tcPr>
          <w:p w14:paraId="7DEFD94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11</w:t>
            </w:r>
          </w:p>
        </w:tc>
        <w:tc>
          <w:tcPr>
            <w:tcW w:w="1189" w:type="dxa"/>
            <w:shd w:val="clear" w:color="auto" w:fill="auto"/>
            <w:noWrap/>
            <w:vAlign w:val="center"/>
            <w:hideMark/>
          </w:tcPr>
          <w:p w14:paraId="756FA0D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12.75</w:t>
            </w:r>
          </w:p>
        </w:tc>
        <w:tc>
          <w:tcPr>
            <w:tcW w:w="1095" w:type="dxa"/>
            <w:shd w:val="clear" w:color="auto" w:fill="auto"/>
            <w:noWrap/>
            <w:vAlign w:val="center"/>
            <w:hideMark/>
          </w:tcPr>
          <w:p w14:paraId="567ADB9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14</w:t>
            </w:r>
          </w:p>
        </w:tc>
        <w:tc>
          <w:tcPr>
            <w:tcW w:w="1116" w:type="dxa"/>
            <w:shd w:val="clear" w:color="auto" w:fill="auto"/>
            <w:noWrap/>
            <w:vAlign w:val="center"/>
            <w:hideMark/>
          </w:tcPr>
          <w:p w14:paraId="4246BDD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0.038348</w:t>
            </w:r>
          </w:p>
        </w:tc>
        <w:tc>
          <w:tcPr>
            <w:tcW w:w="996" w:type="dxa"/>
            <w:shd w:val="clear" w:color="auto" w:fill="auto"/>
            <w:noWrap/>
            <w:vAlign w:val="center"/>
            <w:hideMark/>
          </w:tcPr>
          <w:p w14:paraId="2EEEC63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0.04685</w:t>
            </w:r>
          </w:p>
        </w:tc>
        <w:tc>
          <w:tcPr>
            <w:tcW w:w="996" w:type="dxa"/>
            <w:shd w:val="clear" w:color="auto" w:fill="auto"/>
            <w:noWrap/>
            <w:vAlign w:val="center"/>
            <w:hideMark/>
          </w:tcPr>
          <w:p w14:paraId="1936FA4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0.05239</w:t>
            </w:r>
          </w:p>
        </w:tc>
      </w:tr>
      <w:tr w:rsidR="00D21393" w:rsidRPr="003C6DBD" w14:paraId="7F1449E4" w14:textId="77777777" w:rsidTr="007A05B7">
        <w:trPr>
          <w:gridAfter w:val="1"/>
          <w:wAfter w:w="4199" w:type="dxa"/>
          <w:trHeight w:val="340"/>
        </w:trPr>
        <w:tc>
          <w:tcPr>
            <w:tcW w:w="2433" w:type="dxa"/>
            <w:shd w:val="clear" w:color="auto" w:fill="auto"/>
            <w:vAlign w:val="center"/>
            <w:hideMark/>
          </w:tcPr>
          <w:p w14:paraId="5CA6759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Markets-energy</w:t>
            </w:r>
          </w:p>
        </w:tc>
        <w:tc>
          <w:tcPr>
            <w:tcW w:w="1012" w:type="dxa"/>
            <w:shd w:val="clear" w:color="auto" w:fill="auto"/>
            <w:noWrap/>
            <w:vAlign w:val="center"/>
            <w:hideMark/>
          </w:tcPr>
          <w:p w14:paraId="78FA298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6</w:t>
            </w:r>
          </w:p>
        </w:tc>
        <w:tc>
          <w:tcPr>
            <w:tcW w:w="1189" w:type="dxa"/>
            <w:shd w:val="clear" w:color="auto" w:fill="auto"/>
            <w:noWrap/>
            <w:vAlign w:val="center"/>
            <w:hideMark/>
          </w:tcPr>
          <w:p w14:paraId="3018DE3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6.00</w:t>
            </w:r>
          </w:p>
        </w:tc>
        <w:tc>
          <w:tcPr>
            <w:tcW w:w="1095" w:type="dxa"/>
            <w:shd w:val="clear" w:color="auto" w:fill="auto"/>
            <w:noWrap/>
            <w:vAlign w:val="center"/>
            <w:hideMark/>
          </w:tcPr>
          <w:p w14:paraId="4510BAD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6</w:t>
            </w:r>
          </w:p>
        </w:tc>
        <w:tc>
          <w:tcPr>
            <w:tcW w:w="1116" w:type="dxa"/>
            <w:shd w:val="clear" w:color="auto" w:fill="auto"/>
            <w:noWrap/>
            <w:vAlign w:val="center"/>
            <w:hideMark/>
          </w:tcPr>
          <w:p w14:paraId="2DDDB1E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0.034756</w:t>
            </w:r>
          </w:p>
        </w:tc>
        <w:tc>
          <w:tcPr>
            <w:tcW w:w="996" w:type="dxa"/>
            <w:shd w:val="clear" w:color="auto" w:fill="auto"/>
            <w:noWrap/>
            <w:vAlign w:val="center"/>
            <w:hideMark/>
          </w:tcPr>
          <w:p w14:paraId="2CFF1AA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0.04634</w:t>
            </w:r>
          </w:p>
        </w:tc>
        <w:tc>
          <w:tcPr>
            <w:tcW w:w="996" w:type="dxa"/>
            <w:shd w:val="clear" w:color="auto" w:fill="auto"/>
            <w:noWrap/>
            <w:vAlign w:val="center"/>
            <w:hideMark/>
          </w:tcPr>
          <w:p w14:paraId="51AD43F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0.05174</w:t>
            </w:r>
          </w:p>
        </w:tc>
      </w:tr>
      <w:tr w:rsidR="00D21393" w:rsidRPr="003C6DBD" w14:paraId="191C15C2" w14:textId="77777777" w:rsidTr="007A05B7">
        <w:trPr>
          <w:gridAfter w:val="1"/>
          <w:wAfter w:w="4199" w:type="dxa"/>
          <w:trHeight w:val="340"/>
        </w:trPr>
        <w:tc>
          <w:tcPr>
            <w:tcW w:w="2433" w:type="dxa"/>
            <w:shd w:val="clear" w:color="auto" w:fill="auto"/>
            <w:vAlign w:val="center"/>
            <w:hideMark/>
          </w:tcPr>
          <w:p w14:paraId="4863ABC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Competition</w:t>
            </w:r>
          </w:p>
        </w:tc>
        <w:tc>
          <w:tcPr>
            <w:tcW w:w="1012" w:type="dxa"/>
            <w:shd w:val="clear" w:color="auto" w:fill="auto"/>
            <w:noWrap/>
            <w:vAlign w:val="center"/>
            <w:hideMark/>
          </w:tcPr>
          <w:p w14:paraId="32C11C1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17</w:t>
            </w:r>
          </w:p>
        </w:tc>
        <w:tc>
          <w:tcPr>
            <w:tcW w:w="1189" w:type="dxa"/>
            <w:shd w:val="clear" w:color="auto" w:fill="auto"/>
            <w:noWrap/>
            <w:vAlign w:val="center"/>
            <w:hideMark/>
          </w:tcPr>
          <w:p w14:paraId="355FD72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17.75</w:t>
            </w:r>
          </w:p>
        </w:tc>
        <w:tc>
          <w:tcPr>
            <w:tcW w:w="1095" w:type="dxa"/>
            <w:shd w:val="clear" w:color="auto" w:fill="auto"/>
            <w:noWrap/>
            <w:vAlign w:val="center"/>
            <w:hideMark/>
          </w:tcPr>
          <w:p w14:paraId="38CCE3F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19</w:t>
            </w:r>
          </w:p>
        </w:tc>
        <w:tc>
          <w:tcPr>
            <w:tcW w:w="1116" w:type="dxa"/>
            <w:shd w:val="clear" w:color="auto" w:fill="auto"/>
            <w:noWrap/>
            <w:vAlign w:val="center"/>
            <w:hideMark/>
          </w:tcPr>
          <w:p w14:paraId="2752E99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0.045555</w:t>
            </w:r>
          </w:p>
        </w:tc>
        <w:tc>
          <w:tcPr>
            <w:tcW w:w="996" w:type="dxa"/>
            <w:shd w:val="clear" w:color="auto" w:fill="auto"/>
            <w:noWrap/>
            <w:vAlign w:val="center"/>
            <w:hideMark/>
          </w:tcPr>
          <w:p w14:paraId="32D8957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0.04904</w:t>
            </w:r>
          </w:p>
        </w:tc>
        <w:tc>
          <w:tcPr>
            <w:tcW w:w="996" w:type="dxa"/>
            <w:shd w:val="clear" w:color="auto" w:fill="auto"/>
            <w:noWrap/>
            <w:vAlign w:val="center"/>
            <w:hideMark/>
          </w:tcPr>
          <w:p w14:paraId="39EB760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0.05608</w:t>
            </w:r>
          </w:p>
        </w:tc>
      </w:tr>
      <w:tr w:rsidR="00D21393" w:rsidRPr="003C6DBD" w14:paraId="27A91EC7" w14:textId="77777777" w:rsidTr="007A05B7">
        <w:trPr>
          <w:gridAfter w:val="1"/>
          <w:wAfter w:w="4199" w:type="dxa"/>
          <w:trHeight w:val="340"/>
        </w:trPr>
        <w:tc>
          <w:tcPr>
            <w:tcW w:w="2433" w:type="dxa"/>
            <w:shd w:val="clear" w:color="auto" w:fill="auto"/>
            <w:vAlign w:val="center"/>
            <w:hideMark/>
          </w:tcPr>
          <w:p w14:paraId="657B68D3"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General economic conditions</w:t>
            </w:r>
          </w:p>
        </w:tc>
        <w:tc>
          <w:tcPr>
            <w:tcW w:w="1012" w:type="dxa"/>
            <w:shd w:val="clear" w:color="auto" w:fill="auto"/>
            <w:noWrap/>
            <w:vAlign w:val="center"/>
            <w:hideMark/>
          </w:tcPr>
          <w:p w14:paraId="4A714D14"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c>
          <w:tcPr>
            <w:tcW w:w="1189" w:type="dxa"/>
            <w:shd w:val="clear" w:color="auto" w:fill="auto"/>
            <w:noWrap/>
            <w:vAlign w:val="center"/>
            <w:hideMark/>
          </w:tcPr>
          <w:p w14:paraId="77A6DDB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17.75</w:t>
            </w:r>
          </w:p>
        </w:tc>
        <w:tc>
          <w:tcPr>
            <w:tcW w:w="1095" w:type="dxa"/>
            <w:shd w:val="clear" w:color="auto" w:fill="auto"/>
            <w:noWrap/>
            <w:vAlign w:val="center"/>
            <w:hideMark/>
          </w:tcPr>
          <w:p w14:paraId="5794B36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20</w:t>
            </w:r>
          </w:p>
        </w:tc>
        <w:tc>
          <w:tcPr>
            <w:tcW w:w="1116" w:type="dxa"/>
            <w:shd w:val="clear" w:color="auto" w:fill="auto"/>
            <w:noWrap/>
            <w:vAlign w:val="center"/>
            <w:hideMark/>
          </w:tcPr>
          <w:p w14:paraId="7EB4903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0.073345</w:t>
            </w:r>
          </w:p>
        </w:tc>
        <w:tc>
          <w:tcPr>
            <w:tcW w:w="996" w:type="dxa"/>
            <w:shd w:val="clear" w:color="auto" w:fill="auto"/>
            <w:noWrap/>
            <w:vAlign w:val="center"/>
            <w:hideMark/>
          </w:tcPr>
          <w:p w14:paraId="700CDD6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0.07513</w:t>
            </w:r>
          </w:p>
        </w:tc>
        <w:tc>
          <w:tcPr>
            <w:tcW w:w="996" w:type="dxa"/>
            <w:shd w:val="clear" w:color="auto" w:fill="auto"/>
            <w:noWrap/>
            <w:vAlign w:val="center"/>
            <w:hideMark/>
          </w:tcPr>
          <w:p w14:paraId="389783D4"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0.07746</w:t>
            </w:r>
          </w:p>
        </w:tc>
      </w:tr>
      <w:tr w:rsidR="00D21393" w:rsidRPr="003C6DBD" w14:paraId="16970172" w14:textId="77777777" w:rsidTr="007A05B7">
        <w:trPr>
          <w:gridAfter w:val="1"/>
          <w:wAfter w:w="4199" w:type="dxa"/>
          <w:trHeight w:val="340"/>
        </w:trPr>
        <w:tc>
          <w:tcPr>
            <w:tcW w:w="2433" w:type="dxa"/>
            <w:shd w:val="clear" w:color="auto" w:fill="auto"/>
            <w:vAlign w:val="center"/>
            <w:hideMark/>
          </w:tcPr>
          <w:p w14:paraId="1E0E8C1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Stock risk</w:t>
            </w:r>
          </w:p>
        </w:tc>
        <w:tc>
          <w:tcPr>
            <w:tcW w:w="1012" w:type="dxa"/>
            <w:shd w:val="clear" w:color="auto" w:fill="auto"/>
            <w:noWrap/>
            <w:vAlign w:val="center"/>
            <w:hideMark/>
          </w:tcPr>
          <w:p w14:paraId="2F201E8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13</w:t>
            </w:r>
          </w:p>
        </w:tc>
        <w:tc>
          <w:tcPr>
            <w:tcW w:w="1189" w:type="dxa"/>
            <w:shd w:val="clear" w:color="auto" w:fill="auto"/>
            <w:noWrap/>
            <w:vAlign w:val="center"/>
            <w:hideMark/>
          </w:tcPr>
          <w:p w14:paraId="7E3EE26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13.75</w:t>
            </w:r>
          </w:p>
        </w:tc>
        <w:tc>
          <w:tcPr>
            <w:tcW w:w="1095" w:type="dxa"/>
            <w:shd w:val="clear" w:color="auto" w:fill="auto"/>
            <w:noWrap/>
            <w:vAlign w:val="center"/>
            <w:hideMark/>
          </w:tcPr>
          <w:p w14:paraId="4D8145D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14</w:t>
            </w:r>
          </w:p>
        </w:tc>
        <w:tc>
          <w:tcPr>
            <w:tcW w:w="1116" w:type="dxa"/>
            <w:shd w:val="clear" w:color="auto" w:fill="auto"/>
            <w:noWrap/>
            <w:vAlign w:val="center"/>
            <w:hideMark/>
          </w:tcPr>
          <w:p w14:paraId="736125A4"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0.021238</w:t>
            </w:r>
          </w:p>
        </w:tc>
        <w:tc>
          <w:tcPr>
            <w:tcW w:w="996" w:type="dxa"/>
            <w:shd w:val="clear" w:color="auto" w:fill="auto"/>
            <w:noWrap/>
            <w:vAlign w:val="center"/>
            <w:hideMark/>
          </w:tcPr>
          <w:p w14:paraId="70EDEAE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0.02997</w:t>
            </w:r>
          </w:p>
        </w:tc>
        <w:tc>
          <w:tcPr>
            <w:tcW w:w="996" w:type="dxa"/>
            <w:shd w:val="clear" w:color="auto" w:fill="auto"/>
            <w:noWrap/>
            <w:vAlign w:val="center"/>
            <w:hideMark/>
          </w:tcPr>
          <w:p w14:paraId="725A8B1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0.03589</w:t>
            </w:r>
          </w:p>
        </w:tc>
      </w:tr>
      <w:tr w:rsidR="00D21393" w:rsidRPr="003C6DBD" w14:paraId="427E516C" w14:textId="77777777" w:rsidTr="007A05B7">
        <w:trPr>
          <w:gridAfter w:val="1"/>
          <w:wAfter w:w="4199" w:type="dxa"/>
          <w:trHeight w:val="340"/>
        </w:trPr>
        <w:tc>
          <w:tcPr>
            <w:tcW w:w="2433" w:type="dxa"/>
            <w:shd w:val="clear" w:color="auto" w:fill="auto"/>
            <w:vAlign w:val="center"/>
            <w:hideMark/>
          </w:tcPr>
          <w:p w14:paraId="3A1F314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Public opposition</w:t>
            </w:r>
          </w:p>
        </w:tc>
        <w:tc>
          <w:tcPr>
            <w:tcW w:w="1012" w:type="dxa"/>
            <w:shd w:val="clear" w:color="auto" w:fill="auto"/>
            <w:noWrap/>
            <w:vAlign w:val="center"/>
            <w:hideMark/>
          </w:tcPr>
          <w:p w14:paraId="59B259D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5</w:t>
            </w:r>
          </w:p>
        </w:tc>
        <w:tc>
          <w:tcPr>
            <w:tcW w:w="1189" w:type="dxa"/>
            <w:shd w:val="clear" w:color="auto" w:fill="auto"/>
            <w:noWrap/>
            <w:vAlign w:val="center"/>
            <w:hideMark/>
          </w:tcPr>
          <w:p w14:paraId="2A2D8046"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6.00</w:t>
            </w:r>
          </w:p>
        </w:tc>
        <w:tc>
          <w:tcPr>
            <w:tcW w:w="1095" w:type="dxa"/>
            <w:shd w:val="clear" w:color="auto" w:fill="auto"/>
            <w:noWrap/>
            <w:vAlign w:val="center"/>
            <w:hideMark/>
          </w:tcPr>
          <w:p w14:paraId="2E9EB7E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7</w:t>
            </w:r>
          </w:p>
        </w:tc>
        <w:tc>
          <w:tcPr>
            <w:tcW w:w="1116" w:type="dxa"/>
            <w:shd w:val="clear" w:color="auto" w:fill="auto"/>
            <w:noWrap/>
            <w:vAlign w:val="center"/>
            <w:hideMark/>
          </w:tcPr>
          <w:p w14:paraId="1A00D9E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0.022896</w:t>
            </w:r>
          </w:p>
        </w:tc>
        <w:tc>
          <w:tcPr>
            <w:tcW w:w="996" w:type="dxa"/>
            <w:shd w:val="clear" w:color="auto" w:fill="auto"/>
            <w:noWrap/>
            <w:vAlign w:val="center"/>
            <w:hideMark/>
          </w:tcPr>
          <w:p w14:paraId="2DB532D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0.02441</w:t>
            </w:r>
          </w:p>
        </w:tc>
        <w:tc>
          <w:tcPr>
            <w:tcW w:w="996" w:type="dxa"/>
            <w:shd w:val="clear" w:color="auto" w:fill="auto"/>
            <w:noWrap/>
            <w:vAlign w:val="center"/>
            <w:hideMark/>
          </w:tcPr>
          <w:p w14:paraId="1B6D12F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0.0251</w:t>
            </w:r>
          </w:p>
        </w:tc>
      </w:tr>
      <w:tr w:rsidR="00D21393" w:rsidRPr="003C6DBD" w14:paraId="357DEC8D" w14:textId="77777777" w:rsidTr="007A05B7">
        <w:trPr>
          <w:gridAfter w:val="1"/>
          <w:wAfter w:w="4199" w:type="dxa"/>
          <w:trHeight w:val="340"/>
        </w:trPr>
        <w:tc>
          <w:tcPr>
            <w:tcW w:w="2433" w:type="dxa"/>
            <w:shd w:val="clear" w:color="auto" w:fill="auto"/>
            <w:vAlign w:val="center"/>
            <w:hideMark/>
          </w:tcPr>
          <w:p w14:paraId="03066A1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Public perception</w:t>
            </w:r>
          </w:p>
        </w:tc>
        <w:tc>
          <w:tcPr>
            <w:tcW w:w="1012" w:type="dxa"/>
            <w:shd w:val="clear" w:color="auto" w:fill="auto"/>
            <w:noWrap/>
            <w:vAlign w:val="center"/>
            <w:hideMark/>
          </w:tcPr>
          <w:p w14:paraId="28209D4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10</w:t>
            </w:r>
          </w:p>
        </w:tc>
        <w:tc>
          <w:tcPr>
            <w:tcW w:w="1189" w:type="dxa"/>
            <w:shd w:val="clear" w:color="auto" w:fill="auto"/>
            <w:noWrap/>
            <w:vAlign w:val="center"/>
            <w:hideMark/>
          </w:tcPr>
          <w:p w14:paraId="063E1A4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10.75</w:t>
            </w:r>
          </w:p>
        </w:tc>
        <w:tc>
          <w:tcPr>
            <w:tcW w:w="1095" w:type="dxa"/>
            <w:shd w:val="clear" w:color="auto" w:fill="auto"/>
            <w:noWrap/>
            <w:vAlign w:val="center"/>
            <w:hideMark/>
          </w:tcPr>
          <w:p w14:paraId="1783588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12</w:t>
            </w:r>
          </w:p>
        </w:tc>
        <w:tc>
          <w:tcPr>
            <w:tcW w:w="1116" w:type="dxa"/>
            <w:shd w:val="clear" w:color="auto" w:fill="auto"/>
            <w:noWrap/>
            <w:vAlign w:val="center"/>
            <w:hideMark/>
          </w:tcPr>
          <w:p w14:paraId="24E8367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0.035397</w:t>
            </w:r>
          </w:p>
        </w:tc>
        <w:tc>
          <w:tcPr>
            <w:tcW w:w="996" w:type="dxa"/>
            <w:shd w:val="clear" w:color="auto" w:fill="auto"/>
            <w:noWrap/>
            <w:vAlign w:val="center"/>
            <w:hideMark/>
          </w:tcPr>
          <w:p w14:paraId="7B7E63F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0.03742</w:t>
            </w:r>
          </w:p>
        </w:tc>
        <w:tc>
          <w:tcPr>
            <w:tcW w:w="996" w:type="dxa"/>
            <w:shd w:val="clear" w:color="auto" w:fill="auto"/>
            <w:noWrap/>
            <w:vAlign w:val="center"/>
            <w:hideMark/>
          </w:tcPr>
          <w:p w14:paraId="3ACF15A3"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0.04116</w:t>
            </w:r>
          </w:p>
        </w:tc>
      </w:tr>
      <w:tr w:rsidR="00D21393" w:rsidRPr="003C6DBD" w14:paraId="65F5B14D" w14:textId="77777777" w:rsidTr="007A05B7">
        <w:trPr>
          <w:gridAfter w:val="1"/>
          <w:wAfter w:w="4199" w:type="dxa"/>
          <w:trHeight w:val="340"/>
        </w:trPr>
        <w:tc>
          <w:tcPr>
            <w:tcW w:w="2433" w:type="dxa"/>
            <w:shd w:val="clear" w:color="auto" w:fill="auto"/>
            <w:vAlign w:val="center"/>
            <w:hideMark/>
          </w:tcPr>
          <w:p w14:paraId="3AE8AB0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Conversion technologies</w:t>
            </w:r>
          </w:p>
        </w:tc>
        <w:tc>
          <w:tcPr>
            <w:tcW w:w="1012" w:type="dxa"/>
            <w:shd w:val="clear" w:color="auto" w:fill="auto"/>
            <w:noWrap/>
            <w:vAlign w:val="center"/>
            <w:hideMark/>
          </w:tcPr>
          <w:p w14:paraId="0AF4E74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11</w:t>
            </w:r>
          </w:p>
        </w:tc>
        <w:tc>
          <w:tcPr>
            <w:tcW w:w="1189" w:type="dxa"/>
            <w:shd w:val="clear" w:color="auto" w:fill="auto"/>
            <w:noWrap/>
            <w:vAlign w:val="center"/>
            <w:hideMark/>
          </w:tcPr>
          <w:p w14:paraId="705A800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11.50</w:t>
            </w:r>
          </w:p>
        </w:tc>
        <w:tc>
          <w:tcPr>
            <w:tcW w:w="1095" w:type="dxa"/>
            <w:shd w:val="clear" w:color="auto" w:fill="auto"/>
            <w:noWrap/>
            <w:vAlign w:val="center"/>
            <w:hideMark/>
          </w:tcPr>
          <w:p w14:paraId="5AEEDE44"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12</w:t>
            </w:r>
          </w:p>
        </w:tc>
        <w:tc>
          <w:tcPr>
            <w:tcW w:w="1116" w:type="dxa"/>
            <w:shd w:val="clear" w:color="auto" w:fill="auto"/>
            <w:noWrap/>
            <w:vAlign w:val="center"/>
            <w:hideMark/>
          </w:tcPr>
          <w:p w14:paraId="18D1C06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0.040084</w:t>
            </w:r>
          </w:p>
        </w:tc>
        <w:tc>
          <w:tcPr>
            <w:tcW w:w="996" w:type="dxa"/>
            <w:shd w:val="clear" w:color="auto" w:fill="auto"/>
            <w:noWrap/>
            <w:vAlign w:val="center"/>
            <w:hideMark/>
          </w:tcPr>
          <w:p w14:paraId="41CFFAC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0.04246</w:t>
            </w:r>
          </w:p>
        </w:tc>
        <w:tc>
          <w:tcPr>
            <w:tcW w:w="996" w:type="dxa"/>
            <w:shd w:val="clear" w:color="auto" w:fill="auto"/>
            <w:noWrap/>
            <w:vAlign w:val="center"/>
            <w:hideMark/>
          </w:tcPr>
          <w:p w14:paraId="62D379D4"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0.04521</w:t>
            </w:r>
          </w:p>
        </w:tc>
      </w:tr>
      <w:tr w:rsidR="00D21393" w:rsidRPr="003C6DBD" w14:paraId="14FD4FC8" w14:textId="77777777" w:rsidTr="007A05B7">
        <w:trPr>
          <w:gridAfter w:val="1"/>
          <w:wAfter w:w="4199" w:type="dxa"/>
          <w:trHeight w:val="340"/>
        </w:trPr>
        <w:tc>
          <w:tcPr>
            <w:tcW w:w="2433" w:type="dxa"/>
            <w:shd w:val="clear" w:color="auto" w:fill="auto"/>
            <w:vAlign w:val="center"/>
            <w:hideMark/>
          </w:tcPr>
          <w:p w14:paraId="1D9FB76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Fuel compatibility</w:t>
            </w:r>
          </w:p>
        </w:tc>
        <w:tc>
          <w:tcPr>
            <w:tcW w:w="1012" w:type="dxa"/>
            <w:shd w:val="clear" w:color="auto" w:fill="auto"/>
            <w:noWrap/>
            <w:vAlign w:val="center"/>
            <w:hideMark/>
          </w:tcPr>
          <w:p w14:paraId="134BE1D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w:t>
            </w:r>
          </w:p>
        </w:tc>
        <w:tc>
          <w:tcPr>
            <w:tcW w:w="1189" w:type="dxa"/>
            <w:shd w:val="clear" w:color="auto" w:fill="auto"/>
            <w:noWrap/>
            <w:vAlign w:val="center"/>
            <w:hideMark/>
          </w:tcPr>
          <w:p w14:paraId="6124569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1.25</w:t>
            </w:r>
          </w:p>
        </w:tc>
        <w:tc>
          <w:tcPr>
            <w:tcW w:w="1095" w:type="dxa"/>
            <w:shd w:val="clear" w:color="auto" w:fill="auto"/>
            <w:noWrap/>
            <w:vAlign w:val="center"/>
            <w:hideMark/>
          </w:tcPr>
          <w:p w14:paraId="4A19C18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w:t>
            </w:r>
          </w:p>
        </w:tc>
        <w:tc>
          <w:tcPr>
            <w:tcW w:w="1116" w:type="dxa"/>
            <w:shd w:val="clear" w:color="auto" w:fill="auto"/>
            <w:noWrap/>
            <w:vAlign w:val="center"/>
            <w:hideMark/>
          </w:tcPr>
          <w:p w14:paraId="592160F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0.000000</w:t>
            </w:r>
          </w:p>
        </w:tc>
        <w:tc>
          <w:tcPr>
            <w:tcW w:w="996" w:type="dxa"/>
            <w:shd w:val="clear" w:color="auto" w:fill="auto"/>
            <w:noWrap/>
            <w:vAlign w:val="center"/>
            <w:hideMark/>
          </w:tcPr>
          <w:p w14:paraId="7092655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0.02035</w:t>
            </w:r>
          </w:p>
        </w:tc>
        <w:tc>
          <w:tcPr>
            <w:tcW w:w="996" w:type="dxa"/>
            <w:shd w:val="clear" w:color="auto" w:fill="auto"/>
            <w:noWrap/>
            <w:vAlign w:val="center"/>
            <w:hideMark/>
          </w:tcPr>
          <w:p w14:paraId="3B465A2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0.03323</w:t>
            </w:r>
          </w:p>
        </w:tc>
      </w:tr>
      <w:tr w:rsidR="007A05B7" w:rsidRPr="003C6DBD" w14:paraId="1D2A98F7" w14:textId="77777777" w:rsidTr="007A05B7">
        <w:trPr>
          <w:trHeight w:val="286"/>
        </w:trPr>
        <w:tc>
          <w:tcPr>
            <w:tcW w:w="13036" w:type="dxa"/>
            <w:gridSpan w:val="8"/>
            <w:tcBorders>
              <w:top w:val="nil"/>
              <w:bottom w:val="nil"/>
            </w:tcBorders>
            <w:shd w:val="clear" w:color="auto" w:fill="auto"/>
            <w:noWrap/>
          </w:tcPr>
          <w:p w14:paraId="06198C5E" w14:textId="77777777" w:rsidR="007A05B7" w:rsidRPr="003C6DBD" w:rsidRDefault="007A05B7" w:rsidP="00F16FF6">
            <w:pPr>
              <w:spacing w:after="0" w:line="480" w:lineRule="auto"/>
              <w:rPr>
                <w:rFonts w:ascii="Times New Roman" w:eastAsia="Times New Roman" w:hAnsi="Times New Roman" w:cs="Times New Roman"/>
                <w:i/>
                <w:iCs/>
                <w:color w:val="0D0D0D" w:themeColor="text1" w:themeTint="F2"/>
                <w:sz w:val="24"/>
                <w:szCs w:val="24"/>
              </w:rPr>
            </w:pPr>
            <w:r>
              <w:rPr>
                <w:rFonts w:ascii="Times New Roman" w:eastAsia="Times New Roman" w:hAnsi="Times New Roman" w:cs="Times New Roman"/>
                <w:color w:val="0D0D0D" w:themeColor="text1" w:themeTint="F2"/>
                <w:sz w:val="24"/>
                <w:szCs w:val="24"/>
              </w:rPr>
              <w:lastRenderedPageBreak/>
              <w:t>Table 6 continued</w:t>
            </w:r>
          </w:p>
        </w:tc>
      </w:tr>
      <w:tr w:rsidR="00D21393" w:rsidRPr="003C6DBD" w14:paraId="3E8007BC" w14:textId="77777777" w:rsidTr="007A05B7">
        <w:trPr>
          <w:gridAfter w:val="1"/>
          <w:wAfter w:w="4199" w:type="dxa"/>
          <w:trHeight w:val="340"/>
        </w:trPr>
        <w:tc>
          <w:tcPr>
            <w:tcW w:w="2433" w:type="dxa"/>
            <w:tcBorders>
              <w:top w:val="single" w:sz="4" w:space="0" w:color="auto"/>
              <w:bottom w:val="nil"/>
            </w:tcBorders>
            <w:shd w:val="clear" w:color="auto" w:fill="auto"/>
            <w:vAlign w:val="center"/>
            <w:hideMark/>
          </w:tcPr>
          <w:p w14:paraId="54EA555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Intellectual property</w:t>
            </w:r>
          </w:p>
        </w:tc>
        <w:tc>
          <w:tcPr>
            <w:tcW w:w="1012" w:type="dxa"/>
            <w:tcBorders>
              <w:top w:val="single" w:sz="4" w:space="0" w:color="auto"/>
              <w:bottom w:val="nil"/>
            </w:tcBorders>
            <w:shd w:val="clear" w:color="auto" w:fill="auto"/>
            <w:noWrap/>
            <w:vAlign w:val="center"/>
            <w:hideMark/>
          </w:tcPr>
          <w:p w14:paraId="3CD7DDF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6</w:t>
            </w:r>
          </w:p>
        </w:tc>
        <w:tc>
          <w:tcPr>
            <w:tcW w:w="1189" w:type="dxa"/>
            <w:tcBorders>
              <w:top w:val="single" w:sz="4" w:space="0" w:color="auto"/>
              <w:bottom w:val="nil"/>
            </w:tcBorders>
            <w:shd w:val="clear" w:color="auto" w:fill="auto"/>
            <w:noWrap/>
            <w:vAlign w:val="center"/>
            <w:hideMark/>
          </w:tcPr>
          <w:p w14:paraId="406B28E4"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6.25</w:t>
            </w:r>
          </w:p>
        </w:tc>
        <w:tc>
          <w:tcPr>
            <w:tcW w:w="1095" w:type="dxa"/>
            <w:tcBorders>
              <w:top w:val="single" w:sz="4" w:space="0" w:color="auto"/>
              <w:bottom w:val="nil"/>
            </w:tcBorders>
            <w:shd w:val="clear" w:color="auto" w:fill="auto"/>
            <w:noWrap/>
            <w:vAlign w:val="center"/>
            <w:hideMark/>
          </w:tcPr>
          <w:p w14:paraId="6A0C9CB3"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7</w:t>
            </w:r>
          </w:p>
        </w:tc>
        <w:tc>
          <w:tcPr>
            <w:tcW w:w="1116" w:type="dxa"/>
            <w:tcBorders>
              <w:top w:val="single" w:sz="4" w:space="0" w:color="auto"/>
              <w:bottom w:val="nil"/>
            </w:tcBorders>
            <w:shd w:val="clear" w:color="auto" w:fill="auto"/>
            <w:noWrap/>
            <w:vAlign w:val="center"/>
            <w:hideMark/>
          </w:tcPr>
          <w:p w14:paraId="00E4721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0.022001</w:t>
            </w:r>
          </w:p>
        </w:tc>
        <w:tc>
          <w:tcPr>
            <w:tcW w:w="996" w:type="dxa"/>
            <w:tcBorders>
              <w:top w:val="single" w:sz="4" w:space="0" w:color="auto"/>
              <w:bottom w:val="nil"/>
            </w:tcBorders>
            <w:shd w:val="clear" w:color="auto" w:fill="auto"/>
            <w:noWrap/>
            <w:vAlign w:val="center"/>
            <w:hideMark/>
          </w:tcPr>
          <w:p w14:paraId="56FAC2B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0.026</w:t>
            </w:r>
          </w:p>
        </w:tc>
        <w:tc>
          <w:tcPr>
            <w:tcW w:w="996" w:type="dxa"/>
            <w:tcBorders>
              <w:top w:val="single" w:sz="4" w:space="0" w:color="auto"/>
              <w:bottom w:val="nil"/>
            </w:tcBorders>
            <w:shd w:val="clear" w:color="auto" w:fill="auto"/>
            <w:noWrap/>
            <w:vAlign w:val="center"/>
            <w:hideMark/>
          </w:tcPr>
          <w:p w14:paraId="6D0D9E5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0.03125</w:t>
            </w:r>
          </w:p>
        </w:tc>
      </w:tr>
      <w:tr w:rsidR="00D21393" w:rsidRPr="003C6DBD" w14:paraId="71334258" w14:textId="77777777" w:rsidTr="007A05B7">
        <w:trPr>
          <w:gridAfter w:val="1"/>
          <w:wAfter w:w="4199" w:type="dxa"/>
          <w:trHeight w:val="340"/>
        </w:trPr>
        <w:tc>
          <w:tcPr>
            <w:tcW w:w="2433" w:type="dxa"/>
            <w:tcBorders>
              <w:top w:val="nil"/>
            </w:tcBorders>
            <w:shd w:val="clear" w:color="auto" w:fill="auto"/>
            <w:vAlign w:val="center"/>
            <w:hideMark/>
          </w:tcPr>
          <w:p w14:paraId="50B57DA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Cybersecurity</w:t>
            </w:r>
          </w:p>
        </w:tc>
        <w:tc>
          <w:tcPr>
            <w:tcW w:w="1012" w:type="dxa"/>
            <w:tcBorders>
              <w:top w:val="nil"/>
            </w:tcBorders>
            <w:shd w:val="clear" w:color="auto" w:fill="auto"/>
            <w:noWrap/>
            <w:vAlign w:val="center"/>
            <w:hideMark/>
          </w:tcPr>
          <w:p w14:paraId="5DA25F03"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18</w:t>
            </w:r>
          </w:p>
        </w:tc>
        <w:tc>
          <w:tcPr>
            <w:tcW w:w="1189" w:type="dxa"/>
            <w:tcBorders>
              <w:top w:val="nil"/>
            </w:tcBorders>
            <w:shd w:val="clear" w:color="auto" w:fill="auto"/>
            <w:noWrap/>
            <w:vAlign w:val="center"/>
            <w:hideMark/>
          </w:tcPr>
          <w:p w14:paraId="3923CCC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19.75</w:t>
            </w:r>
          </w:p>
        </w:tc>
        <w:tc>
          <w:tcPr>
            <w:tcW w:w="1095" w:type="dxa"/>
            <w:tcBorders>
              <w:top w:val="nil"/>
            </w:tcBorders>
            <w:shd w:val="clear" w:color="auto" w:fill="auto"/>
            <w:noWrap/>
            <w:vAlign w:val="center"/>
            <w:hideMark/>
          </w:tcPr>
          <w:p w14:paraId="2D73F49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21</w:t>
            </w:r>
          </w:p>
        </w:tc>
        <w:tc>
          <w:tcPr>
            <w:tcW w:w="1116" w:type="dxa"/>
            <w:tcBorders>
              <w:top w:val="nil"/>
            </w:tcBorders>
            <w:shd w:val="clear" w:color="auto" w:fill="auto"/>
            <w:noWrap/>
            <w:vAlign w:val="center"/>
            <w:hideMark/>
          </w:tcPr>
          <w:p w14:paraId="547A255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0.031850</w:t>
            </w:r>
          </w:p>
        </w:tc>
        <w:tc>
          <w:tcPr>
            <w:tcW w:w="996" w:type="dxa"/>
            <w:tcBorders>
              <w:top w:val="nil"/>
            </w:tcBorders>
            <w:shd w:val="clear" w:color="auto" w:fill="auto"/>
            <w:noWrap/>
            <w:vAlign w:val="center"/>
            <w:hideMark/>
          </w:tcPr>
          <w:p w14:paraId="6CF712B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0.03644</w:t>
            </w:r>
          </w:p>
        </w:tc>
        <w:tc>
          <w:tcPr>
            <w:tcW w:w="996" w:type="dxa"/>
            <w:tcBorders>
              <w:top w:val="nil"/>
            </w:tcBorders>
            <w:shd w:val="clear" w:color="auto" w:fill="auto"/>
            <w:noWrap/>
            <w:vAlign w:val="center"/>
            <w:hideMark/>
          </w:tcPr>
          <w:p w14:paraId="5D967C8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0.03930</w:t>
            </w:r>
          </w:p>
        </w:tc>
      </w:tr>
      <w:tr w:rsidR="00D21393" w:rsidRPr="003C6DBD" w14:paraId="42621F02" w14:textId="77777777" w:rsidTr="007A05B7">
        <w:trPr>
          <w:gridAfter w:val="1"/>
          <w:wAfter w:w="4199" w:type="dxa"/>
          <w:trHeight w:val="340"/>
        </w:trPr>
        <w:tc>
          <w:tcPr>
            <w:tcW w:w="2433" w:type="dxa"/>
            <w:shd w:val="clear" w:color="auto" w:fill="auto"/>
            <w:vAlign w:val="center"/>
            <w:hideMark/>
          </w:tcPr>
          <w:p w14:paraId="56850FD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Facilities development</w:t>
            </w:r>
          </w:p>
        </w:tc>
        <w:tc>
          <w:tcPr>
            <w:tcW w:w="1012" w:type="dxa"/>
            <w:shd w:val="clear" w:color="auto" w:fill="auto"/>
            <w:noWrap/>
            <w:vAlign w:val="center"/>
            <w:hideMark/>
          </w:tcPr>
          <w:p w14:paraId="49BEB90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9</w:t>
            </w:r>
          </w:p>
        </w:tc>
        <w:tc>
          <w:tcPr>
            <w:tcW w:w="1189" w:type="dxa"/>
            <w:shd w:val="clear" w:color="auto" w:fill="auto"/>
            <w:noWrap/>
            <w:vAlign w:val="center"/>
            <w:hideMark/>
          </w:tcPr>
          <w:p w14:paraId="34CDF5C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9.75</w:t>
            </w:r>
          </w:p>
        </w:tc>
        <w:tc>
          <w:tcPr>
            <w:tcW w:w="1095" w:type="dxa"/>
            <w:shd w:val="clear" w:color="auto" w:fill="auto"/>
            <w:noWrap/>
            <w:vAlign w:val="center"/>
            <w:hideMark/>
          </w:tcPr>
          <w:p w14:paraId="5C5B774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11</w:t>
            </w:r>
          </w:p>
        </w:tc>
        <w:tc>
          <w:tcPr>
            <w:tcW w:w="1116" w:type="dxa"/>
            <w:shd w:val="clear" w:color="auto" w:fill="auto"/>
            <w:noWrap/>
            <w:vAlign w:val="center"/>
            <w:hideMark/>
          </w:tcPr>
          <w:p w14:paraId="3BFC261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0.040451</w:t>
            </w:r>
          </w:p>
        </w:tc>
        <w:tc>
          <w:tcPr>
            <w:tcW w:w="996" w:type="dxa"/>
            <w:shd w:val="clear" w:color="auto" w:fill="auto"/>
            <w:noWrap/>
            <w:vAlign w:val="center"/>
            <w:hideMark/>
          </w:tcPr>
          <w:p w14:paraId="534E9394"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0.05352</w:t>
            </w:r>
          </w:p>
        </w:tc>
        <w:tc>
          <w:tcPr>
            <w:tcW w:w="996" w:type="dxa"/>
            <w:shd w:val="clear" w:color="auto" w:fill="auto"/>
            <w:noWrap/>
            <w:vAlign w:val="center"/>
            <w:hideMark/>
          </w:tcPr>
          <w:p w14:paraId="0880705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0.06460</w:t>
            </w:r>
          </w:p>
        </w:tc>
      </w:tr>
      <w:tr w:rsidR="00D21393" w:rsidRPr="003C6DBD" w14:paraId="0A750D80" w14:textId="77777777" w:rsidTr="007A05B7">
        <w:trPr>
          <w:gridAfter w:val="1"/>
          <w:wAfter w:w="4199" w:type="dxa"/>
          <w:trHeight w:val="340"/>
        </w:trPr>
        <w:tc>
          <w:tcPr>
            <w:tcW w:w="2433" w:type="dxa"/>
            <w:shd w:val="clear" w:color="auto" w:fill="auto"/>
            <w:vAlign w:val="center"/>
            <w:hideMark/>
          </w:tcPr>
          <w:p w14:paraId="494C570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Profitable operations</w:t>
            </w:r>
          </w:p>
        </w:tc>
        <w:tc>
          <w:tcPr>
            <w:tcW w:w="1012" w:type="dxa"/>
            <w:shd w:val="clear" w:color="auto" w:fill="auto"/>
            <w:noWrap/>
            <w:vAlign w:val="center"/>
            <w:hideMark/>
          </w:tcPr>
          <w:p w14:paraId="10B4B14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18</w:t>
            </w:r>
          </w:p>
        </w:tc>
        <w:tc>
          <w:tcPr>
            <w:tcW w:w="1189" w:type="dxa"/>
            <w:shd w:val="clear" w:color="auto" w:fill="auto"/>
            <w:noWrap/>
            <w:vAlign w:val="center"/>
            <w:hideMark/>
          </w:tcPr>
          <w:p w14:paraId="7F0251B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20.25</w:t>
            </w:r>
          </w:p>
        </w:tc>
        <w:tc>
          <w:tcPr>
            <w:tcW w:w="1095" w:type="dxa"/>
            <w:shd w:val="clear" w:color="auto" w:fill="auto"/>
            <w:noWrap/>
            <w:vAlign w:val="center"/>
            <w:hideMark/>
          </w:tcPr>
          <w:p w14:paraId="1706315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22</w:t>
            </w:r>
          </w:p>
        </w:tc>
        <w:tc>
          <w:tcPr>
            <w:tcW w:w="1116" w:type="dxa"/>
            <w:shd w:val="clear" w:color="auto" w:fill="auto"/>
            <w:noWrap/>
            <w:vAlign w:val="center"/>
            <w:hideMark/>
          </w:tcPr>
          <w:p w14:paraId="63A0090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0.086888</w:t>
            </w:r>
          </w:p>
        </w:tc>
        <w:tc>
          <w:tcPr>
            <w:tcW w:w="996" w:type="dxa"/>
            <w:shd w:val="clear" w:color="auto" w:fill="auto"/>
            <w:noWrap/>
            <w:vAlign w:val="center"/>
            <w:hideMark/>
          </w:tcPr>
          <w:p w14:paraId="0D867E3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0.09889</w:t>
            </w:r>
          </w:p>
        </w:tc>
        <w:tc>
          <w:tcPr>
            <w:tcW w:w="996" w:type="dxa"/>
            <w:shd w:val="clear" w:color="auto" w:fill="auto"/>
            <w:noWrap/>
            <w:vAlign w:val="center"/>
            <w:hideMark/>
          </w:tcPr>
          <w:p w14:paraId="7BA52B24"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0.11234</w:t>
            </w:r>
          </w:p>
        </w:tc>
      </w:tr>
      <w:tr w:rsidR="00D21393" w:rsidRPr="003C6DBD" w14:paraId="3D090FB0" w14:textId="77777777" w:rsidTr="007A05B7">
        <w:trPr>
          <w:gridAfter w:val="1"/>
          <w:wAfter w:w="4199" w:type="dxa"/>
          <w:trHeight w:val="340"/>
        </w:trPr>
        <w:tc>
          <w:tcPr>
            <w:tcW w:w="2433" w:type="dxa"/>
            <w:shd w:val="clear" w:color="auto" w:fill="auto"/>
            <w:vAlign w:val="center"/>
            <w:hideMark/>
          </w:tcPr>
          <w:p w14:paraId="4793A01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General management</w:t>
            </w:r>
          </w:p>
        </w:tc>
        <w:tc>
          <w:tcPr>
            <w:tcW w:w="1012" w:type="dxa"/>
            <w:shd w:val="clear" w:color="auto" w:fill="auto"/>
            <w:noWrap/>
            <w:vAlign w:val="center"/>
            <w:hideMark/>
          </w:tcPr>
          <w:p w14:paraId="0570B1B4"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w:t>
            </w:r>
          </w:p>
        </w:tc>
        <w:tc>
          <w:tcPr>
            <w:tcW w:w="1189" w:type="dxa"/>
            <w:shd w:val="clear" w:color="auto" w:fill="auto"/>
            <w:noWrap/>
            <w:vAlign w:val="center"/>
            <w:hideMark/>
          </w:tcPr>
          <w:p w14:paraId="4F5DEDB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16.75</w:t>
            </w:r>
          </w:p>
        </w:tc>
        <w:tc>
          <w:tcPr>
            <w:tcW w:w="1095" w:type="dxa"/>
            <w:shd w:val="clear" w:color="auto" w:fill="auto"/>
            <w:noWrap/>
            <w:vAlign w:val="center"/>
            <w:hideMark/>
          </w:tcPr>
          <w:p w14:paraId="6175E04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17</w:t>
            </w:r>
          </w:p>
        </w:tc>
        <w:tc>
          <w:tcPr>
            <w:tcW w:w="1116" w:type="dxa"/>
            <w:shd w:val="clear" w:color="auto" w:fill="auto"/>
            <w:noWrap/>
            <w:vAlign w:val="center"/>
            <w:hideMark/>
          </w:tcPr>
          <w:p w14:paraId="02299FE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0.041130</w:t>
            </w:r>
          </w:p>
        </w:tc>
        <w:tc>
          <w:tcPr>
            <w:tcW w:w="996" w:type="dxa"/>
            <w:shd w:val="clear" w:color="auto" w:fill="auto"/>
            <w:noWrap/>
            <w:vAlign w:val="center"/>
            <w:hideMark/>
          </w:tcPr>
          <w:p w14:paraId="11E7CC1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0.04218</w:t>
            </w:r>
          </w:p>
        </w:tc>
        <w:tc>
          <w:tcPr>
            <w:tcW w:w="996" w:type="dxa"/>
            <w:shd w:val="clear" w:color="auto" w:fill="auto"/>
            <w:noWrap/>
            <w:vAlign w:val="center"/>
            <w:hideMark/>
          </w:tcPr>
          <w:p w14:paraId="048D552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0.04388</w:t>
            </w:r>
          </w:p>
        </w:tc>
      </w:tr>
      <w:tr w:rsidR="00D21393" w:rsidRPr="003C6DBD" w14:paraId="454CE879" w14:textId="77777777" w:rsidTr="007A05B7">
        <w:trPr>
          <w:gridAfter w:val="1"/>
          <w:wAfter w:w="4199" w:type="dxa"/>
          <w:trHeight w:val="340"/>
        </w:trPr>
        <w:tc>
          <w:tcPr>
            <w:tcW w:w="2433" w:type="dxa"/>
            <w:shd w:val="clear" w:color="auto" w:fill="auto"/>
            <w:vAlign w:val="center"/>
            <w:hideMark/>
          </w:tcPr>
          <w:p w14:paraId="1FABAE34"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Risk management</w:t>
            </w:r>
          </w:p>
        </w:tc>
        <w:tc>
          <w:tcPr>
            <w:tcW w:w="1012" w:type="dxa"/>
            <w:shd w:val="clear" w:color="auto" w:fill="auto"/>
            <w:noWrap/>
            <w:vAlign w:val="center"/>
            <w:hideMark/>
          </w:tcPr>
          <w:p w14:paraId="1846BD83"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20</w:t>
            </w:r>
          </w:p>
        </w:tc>
        <w:tc>
          <w:tcPr>
            <w:tcW w:w="1189" w:type="dxa"/>
            <w:shd w:val="clear" w:color="auto" w:fill="auto"/>
            <w:noWrap/>
            <w:vAlign w:val="center"/>
            <w:hideMark/>
          </w:tcPr>
          <w:p w14:paraId="6CE0FC0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21.00</w:t>
            </w:r>
          </w:p>
        </w:tc>
        <w:tc>
          <w:tcPr>
            <w:tcW w:w="1095" w:type="dxa"/>
            <w:shd w:val="clear" w:color="auto" w:fill="auto"/>
            <w:noWrap/>
            <w:vAlign w:val="center"/>
            <w:hideMark/>
          </w:tcPr>
          <w:p w14:paraId="0E32075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22</w:t>
            </w:r>
          </w:p>
        </w:tc>
        <w:tc>
          <w:tcPr>
            <w:tcW w:w="1116" w:type="dxa"/>
            <w:shd w:val="clear" w:color="auto" w:fill="auto"/>
            <w:noWrap/>
            <w:vAlign w:val="center"/>
            <w:hideMark/>
          </w:tcPr>
          <w:p w14:paraId="30506A4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0.135918</w:t>
            </w:r>
          </w:p>
        </w:tc>
        <w:tc>
          <w:tcPr>
            <w:tcW w:w="996" w:type="dxa"/>
            <w:shd w:val="clear" w:color="auto" w:fill="auto"/>
            <w:noWrap/>
            <w:vAlign w:val="center"/>
            <w:hideMark/>
          </w:tcPr>
          <w:p w14:paraId="1808E45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0.14677</w:t>
            </w:r>
          </w:p>
        </w:tc>
        <w:tc>
          <w:tcPr>
            <w:tcW w:w="996" w:type="dxa"/>
            <w:shd w:val="clear" w:color="auto" w:fill="auto"/>
            <w:noWrap/>
            <w:vAlign w:val="center"/>
            <w:hideMark/>
          </w:tcPr>
          <w:p w14:paraId="282C448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0.15395</w:t>
            </w:r>
          </w:p>
        </w:tc>
      </w:tr>
      <w:tr w:rsidR="00D21393" w:rsidRPr="003C6DBD" w14:paraId="5332560F" w14:textId="77777777" w:rsidTr="007A05B7">
        <w:trPr>
          <w:gridAfter w:val="1"/>
          <w:wAfter w:w="4199" w:type="dxa"/>
          <w:trHeight w:val="340"/>
        </w:trPr>
        <w:tc>
          <w:tcPr>
            <w:tcW w:w="2433" w:type="dxa"/>
            <w:shd w:val="clear" w:color="auto" w:fill="auto"/>
            <w:vAlign w:val="center"/>
            <w:hideMark/>
          </w:tcPr>
          <w:p w14:paraId="327F3B1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Financing</w:t>
            </w:r>
          </w:p>
        </w:tc>
        <w:tc>
          <w:tcPr>
            <w:tcW w:w="1012" w:type="dxa"/>
            <w:shd w:val="clear" w:color="auto" w:fill="auto"/>
            <w:noWrap/>
            <w:vAlign w:val="center"/>
            <w:hideMark/>
          </w:tcPr>
          <w:p w14:paraId="560B49C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19</w:t>
            </w:r>
          </w:p>
        </w:tc>
        <w:tc>
          <w:tcPr>
            <w:tcW w:w="1189" w:type="dxa"/>
            <w:shd w:val="clear" w:color="auto" w:fill="auto"/>
            <w:noWrap/>
            <w:vAlign w:val="center"/>
            <w:hideMark/>
          </w:tcPr>
          <w:p w14:paraId="0A1A68B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20.00</w:t>
            </w:r>
          </w:p>
        </w:tc>
        <w:tc>
          <w:tcPr>
            <w:tcW w:w="1095" w:type="dxa"/>
            <w:shd w:val="clear" w:color="auto" w:fill="auto"/>
            <w:noWrap/>
            <w:vAlign w:val="center"/>
            <w:hideMark/>
          </w:tcPr>
          <w:p w14:paraId="3230971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21</w:t>
            </w:r>
          </w:p>
        </w:tc>
        <w:tc>
          <w:tcPr>
            <w:tcW w:w="1116" w:type="dxa"/>
            <w:shd w:val="clear" w:color="auto" w:fill="auto"/>
            <w:noWrap/>
            <w:vAlign w:val="center"/>
            <w:hideMark/>
          </w:tcPr>
          <w:p w14:paraId="0D20257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0.067879</w:t>
            </w:r>
          </w:p>
        </w:tc>
        <w:tc>
          <w:tcPr>
            <w:tcW w:w="996" w:type="dxa"/>
            <w:shd w:val="clear" w:color="auto" w:fill="auto"/>
            <w:noWrap/>
            <w:vAlign w:val="center"/>
            <w:hideMark/>
          </w:tcPr>
          <w:p w14:paraId="254937B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0.08235</w:t>
            </w:r>
          </w:p>
        </w:tc>
        <w:tc>
          <w:tcPr>
            <w:tcW w:w="996" w:type="dxa"/>
            <w:shd w:val="clear" w:color="auto" w:fill="auto"/>
            <w:noWrap/>
            <w:vAlign w:val="center"/>
            <w:hideMark/>
          </w:tcPr>
          <w:p w14:paraId="04EB554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0.09702</w:t>
            </w:r>
          </w:p>
        </w:tc>
      </w:tr>
      <w:tr w:rsidR="00D21393" w:rsidRPr="003C6DBD" w14:paraId="14341FEB" w14:textId="77777777" w:rsidTr="007A05B7">
        <w:trPr>
          <w:gridAfter w:val="1"/>
          <w:wAfter w:w="4199" w:type="dxa"/>
          <w:trHeight w:val="340"/>
        </w:trPr>
        <w:tc>
          <w:tcPr>
            <w:tcW w:w="2433" w:type="dxa"/>
            <w:shd w:val="clear" w:color="auto" w:fill="auto"/>
            <w:vAlign w:val="center"/>
            <w:hideMark/>
          </w:tcPr>
          <w:p w14:paraId="4D1C672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Contracting</w:t>
            </w:r>
          </w:p>
        </w:tc>
        <w:tc>
          <w:tcPr>
            <w:tcW w:w="1012" w:type="dxa"/>
            <w:shd w:val="clear" w:color="auto" w:fill="auto"/>
            <w:noWrap/>
            <w:vAlign w:val="center"/>
            <w:hideMark/>
          </w:tcPr>
          <w:p w14:paraId="55AEE823"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17</w:t>
            </w:r>
          </w:p>
        </w:tc>
        <w:tc>
          <w:tcPr>
            <w:tcW w:w="1189" w:type="dxa"/>
            <w:shd w:val="clear" w:color="auto" w:fill="auto"/>
            <w:noWrap/>
            <w:vAlign w:val="center"/>
            <w:hideMark/>
          </w:tcPr>
          <w:p w14:paraId="320C68C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18.75</w:t>
            </w:r>
          </w:p>
        </w:tc>
        <w:tc>
          <w:tcPr>
            <w:tcW w:w="1095" w:type="dxa"/>
            <w:shd w:val="clear" w:color="auto" w:fill="auto"/>
            <w:noWrap/>
            <w:vAlign w:val="center"/>
            <w:hideMark/>
          </w:tcPr>
          <w:p w14:paraId="211D2B0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20</w:t>
            </w:r>
          </w:p>
        </w:tc>
        <w:tc>
          <w:tcPr>
            <w:tcW w:w="1116" w:type="dxa"/>
            <w:shd w:val="clear" w:color="auto" w:fill="auto"/>
            <w:noWrap/>
            <w:vAlign w:val="center"/>
            <w:hideMark/>
          </w:tcPr>
          <w:p w14:paraId="7708B256"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0.067872</w:t>
            </w:r>
          </w:p>
        </w:tc>
        <w:tc>
          <w:tcPr>
            <w:tcW w:w="996" w:type="dxa"/>
            <w:shd w:val="clear" w:color="auto" w:fill="auto"/>
            <w:noWrap/>
            <w:vAlign w:val="center"/>
            <w:hideMark/>
          </w:tcPr>
          <w:p w14:paraId="23AE84A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0.07956</w:t>
            </w:r>
          </w:p>
        </w:tc>
        <w:tc>
          <w:tcPr>
            <w:tcW w:w="996" w:type="dxa"/>
            <w:shd w:val="clear" w:color="auto" w:fill="auto"/>
            <w:noWrap/>
            <w:vAlign w:val="center"/>
            <w:hideMark/>
          </w:tcPr>
          <w:p w14:paraId="7924CF5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0.09096</w:t>
            </w:r>
          </w:p>
        </w:tc>
      </w:tr>
      <w:tr w:rsidR="007A05B7" w:rsidRPr="003C6DBD" w14:paraId="1C8DC9AD" w14:textId="77777777" w:rsidTr="007A05B7">
        <w:trPr>
          <w:gridAfter w:val="1"/>
          <w:wAfter w:w="4199" w:type="dxa"/>
          <w:trHeight w:val="328"/>
        </w:trPr>
        <w:tc>
          <w:tcPr>
            <w:tcW w:w="2433" w:type="dxa"/>
            <w:shd w:val="clear" w:color="auto" w:fill="auto"/>
            <w:vAlign w:val="center"/>
            <w:hideMark/>
          </w:tcPr>
          <w:p w14:paraId="2EB93B0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Mergers and acquisitions</w:t>
            </w:r>
          </w:p>
        </w:tc>
        <w:tc>
          <w:tcPr>
            <w:tcW w:w="1012" w:type="dxa"/>
            <w:shd w:val="clear" w:color="auto" w:fill="auto"/>
            <w:noWrap/>
            <w:vAlign w:val="center"/>
            <w:hideMark/>
          </w:tcPr>
          <w:p w14:paraId="131A98B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12</w:t>
            </w:r>
          </w:p>
        </w:tc>
        <w:tc>
          <w:tcPr>
            <w:tcW w:w="1189" w:type="dxa"/>
            <w:shd w:val="clear" w:color="auto" w:fill="auto"/>
            <w:noWrap/>
            <w:vAlign w:val="center"/>
            <w:hideMark/>
          </w:tcPr>
          <w:p w14:paraId="7E628E0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12.75</w:t>
            </w:r>
          </w:p>
        </w:tc>
        <w:tc>
          <w:tcPr>
            <w:tcW w:w="1095" w:type="dxa"/>
            <w:shd w:val="clear" w:color="auto" w:fill="auto"/>
            <w:noWrap/>
            <w:vAlign w:val="center"/>
            <w:hideMark/>
          </w:tcPr>
          <w:p w14:paraId="25EECC8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13</w:t>
            </w:r>
          </w:p>
        </w:tc>
        <w:tc>
          <w:tcPr>
            <w:tcW w:w="1116" w:type="dxa"/>
            <w:shd w:val="clear" w:color="auto" w:fill="auto"/>
            <w:noWrap/>
            <w:vAlign w:val="center"/>
            <w:hideMark/>
          </w:tcPr>
          <w:p w14:paraId="55291CC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0.029682</w:t>
            </w:r>
          </w:p>
        </w:tc>
        <w:tc>
          <w:tcPr>
            <w:tcW w:w="996" w:type="dxa"/>
            <w:shd w:val="clear" w:color="auto" w:fill="auto"/>
            <w:noWrap/>
            <w:vAlign w:val="center"/>
            <w:hideMark/>
          </w:tcPr>
          <w:p w14:paraId="2542C26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0.03309</w:t>
            </w:r>
          </w:p>
        </w:tc>
        <w:tc>
          <w:tcPr>
            <w:tcW w:w="996" w:type="dxa"/>
            <w:shd w:val="clear" w:color="auto" w:fill="auto"/>
            <w:noWrap/>
            <w:vAlign w:val="center"/>
            <w:hideMark/>
          </w:tcPr>
          <w:p w14:paraId="0D29EDA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0.03560</w:t>
            </w:r>
          </w:p>
        </w:tc>
      </w:tr>
    </w:tbl>
    <w:p w14:paraId="067EAE52" w14:textId="77777777" w:rsidR="00C3000E" w:rsidRPr="003C6DBD" w:rsidRDefault="00C3000E" w:rsidP="00C3000E">
      <w:pPr>
        <w:rPr>
          <w:rFonts w:ascii="Times New Roman" w:hAnsi="Times New Roman" w:cs="Times New Roman"/>
          <w:color w:val="0D0D0D" w:themeColor="text1" w:themeTint="F2"/>
          <w:sz w:val="24"/>
          <w:szCs w:val="24"/>
        </w:rPr>
      </w:pPr>
    </w:p>
    <w:p w14:paraId="26A43821" w14:textId="77777777" w:rsidR="00E45DE9" w:rsidRPr="003C6DBD" w:rsidRDefault="00E45DE9" w:rsidP="00C3000E">
      <w:pPr>
        <w:rPr>
          <w:rFonts w:ascii="Times New Roman" w:hAnsi="Times New Roman" w:cs="Times New Roman"/>
          <w:color w:val="0D0D0D" w:themeColor="text1" w:themeTint="F2"/>
          <w:sz w:val="24"/>
          <w:szCs w:val="24"/>
        </w:rPr>
      </w:pPr>
    </w:p>
    <w:p w14:paraId="24F398B1" w14:textId="77777777" w:rsidR="00154E66" w:rsidRPr="003C6DBD" w:rsidRDefault="00154E66" w:rsidP="00C3000E">
      <w:pPr>
        <w:rPr>
          <w:rFonts w:ascii="Times New Roman" w:hAnsi="Times New Roman" w:cs="Times New Roman"/>
          <w:color w:val="0D0D0D" w:themeColor="text1" w:themeTint="F2"/>
          <w:sz w:val="24"/>
          <w:szCs w:val="24"/>
        </w:rPr>
      </w:pPr>
    </w:p>
    <w:p w14:paraId="1985C276" w14:textId="77777777" w:rsidR="00154E66" w:rsidRPr="003C6DBD" w:rsidRDefault="00154E66" w:rsidP="00C3000E">
      <w:pPr>
        <w:rPr>
          <w:rFonts w:ascii="Times New Roman" w:hAnsi="Times New Roman" w:cs="Times New Roman"/>
          <w:color w:val="0D0D0D" w:themeColor="text1" w:themeTint="F2"/>
          <w:sz w:val="24"/>
          <w:szCs w:val="24"/>
        </w:rPr>
      </w:pPr>
    </w:p>
    <w:p w14:paraId="60E55320" w14:textId="77777777" w:rsidR="00154E66" w:rsidRPr="003C6DBD" w:rsidRDefault="00154E66" w:rsidP="00C3000E">
      <w:pPr>
        <w:rPr>
          <w:rFonts w:ascii="Times New Roman" w:hAnsi="Times New Roman" w:cs="Times New Roman"/>
          <w:color w:val="0D0D0D" w:themeColor="text1" w:themeTint="F2"/>
          <w:sz w:val="24"/>
          <w:szCs w:val="24"/>
        </w:rPr>
      </w:pPr>
    </w:p>
    <w:p w14:paraId="4CE048A2" w14:textId="77777777" w:rsidR="00154E66" w:rsidRPr="003C6DBD" w:rsidRDefault="00154E66" w:rsidP="00C3000E">
      <w:pPr>
        <w:rPr>
          <w:rFonts w:ascii="Times New Roman" w:hAnsi="Times New Roman" w:cs="Times New Roman"/>
          <w:color w:val="0D0D0D" w:themeColor="text1" w:themeTint="F2"/>
          <w:sz w:val="24"/>
          <w:szCs w:val="24"/>
        </w:rPr>
      </w:pPr>
    </w:p>
    <w:p w14:paraId="6F0F538D" w14:textId="77777777" w:rsidR="00154E66" w:rsidRPr="003C6DBD" w:rsidRDefault="00154E66" w:rsidP="00C3000E">
      <w:pPr>
        <w:rPr>
          <w:rFonts w:ascii="Times New Roman" w:hAnsi="Times New Roman" w:cs="Times New Roman"/>
          <w:color w:val="0D0D0D" w:themeColor="text1" w:themeTint="F2"/>
          <w:sz w:val="24"/>
          <w:szCs w:val="24"/>
        </w:rPr>
      </w:pPr>
    </w:p>
    <w:p w14:paraId="5DD65584" w14:textId="77777777" w:rsidR="00154E66" w:rsidRPr="003C6DBD" w:rsidRDefault="00154E66" w:rsidP="00C3000E">
      <w:pPr>
        <w:rPr>
          <w:rFonts w:ascii="Times New Roman" w:hAnsi="Times New Roman" w:cs="Times New Roman"/>
          <w:color w:val="0D0D0D" w:themeColor="text1" w:themeTint="F2"/>
          <w:sz w:val="24"/>
          <w:szCs w:val="24"/>
        </w:rPr>
      </w:pPr>
    </w:p>
    <w:p w14:paraId="4B55C8A5" w14:textId="77777777" w:rsidR="005733AE" w:rsidRDefault="005733AE" w:rsidP="00E45DE9">
      <w:pPr>
        <w:pStyle w:val="Caption"/>
        <w:keepNext/>
        <w:rPr>
          <w:rFonts w:ascii="Times New Roman" w:hAnsi="Times New Roman" w:cs="Times New Roman"/>
          <w:color w:val="0D0D0D" w:themeColor="text1" w:themeTint="F2"/>
          <w:sz w:val="24"/>
          <w:szCs w:val="24"/>
        </w:rPr>
      </w:pPr>
    </w:p>
    <w:p w14:paraId="3EADD8F1" w14:textId="77777777" w:rsidR="00570C52" w:rsidRDefault="00570C52" w:rsidP="00570C52"/>
    <w:p w14:paraId="759A971D" w14:textId="77777777" w:rsidR="00570C52" w:rsidRDefault="00570C52" w:rsidP="00570C52"/>
    <w:p w14:paraId="197E5EFC" w14:textId="77777777" w:rsidR="00570C52" w:rsidRDefault="00570C52" w:rsidP="00570C52"/>
    <w:p w14:paraId="6D376F01" w14:textId="77777777" w:rsidR="00570C52" w:rsidRDefault="00570C52" w:rsidP="00570C52"/>
    <w:p w14:paraId="02AA5980" w14:textId="77777777" w:rsidR="00570C52" w:rsidRPr="003C6DBD" w:rsidRDefault="00570C52" w:rsidP="00570C52">
      <w:pPr>
        <w:pStyle w:val="comp"/>
        <w:spacing w:before="0" w:beforeAutospacing="0" w:after="160" w:afterAutospacing="0" w:line="480" w:lineRule="auto"/>
        <w:rPr>
          <w:rFonts w:eastAsiaTheme="minorHAnsi"/>
          <w:color w:val="0D0D0D" w:themeColor="text1" w:themeTint="F2"/>
        </w:rPr>
      </w:pPr>
      <w:r w:rsidRPr="003C6DBD">
        <w:rPr>
          <w:rFonts w:eastAsiaTheme="minorHAnsi"/>
          <w:color w:val="0D0D0D" w:themeColor="text1" w:themeTint="F2"/>
        </w:rPr>
        <w:lastRenderedPageBreak/>
        <w:t xml:space="preserve">Note: Specific risk factors under the political risk category: Biofuel regulation (BFR), environmental, health, and safety (EHS), international (INT), infrastructure (INF), and general regulations (GNR).  </w:t>
      </w:r>
    </w:p>
    <w:p w14:paraId="4D6A7086" w14:textId="200EA75D" w:rsidR="00570C52" w:rsidRPr="00570C52" w:rsidRDefault="00570C52" w:rsidP="00570C52">
      <w:pPr>
        <w:sectPr w:rsidR="00570C52" w:rsidRPr="00570C52" w:rsidSect="003F384F">
          <w:type w:val="nextColumn"/>
          <w:pgSz w:w="12240" w:h="15840"/>
          <w:pgMar w:top="1440" w:right="1440" w:bottom="1440" w:left="1440" w:header="720" w:footer="720" w:gutter="0"/>
          <w:cols w:space="720"/>
          <w:docGrid w:linePitch="360"/>
        </w:sectPr>
      </w:pPr>
    </w:p>
    <w:p w14:paraId="561AC24F" w14:textId="4D143CB1" w:rsidR="00E45DE9" w:rsidRPr="003C6DBD" w:rsidRDefault="00E45DE9" w:rsidP="00E45DE9">
      <w:pPr>
        <w:pStyle w:val="Caption"/>
        <w:keepNext/>
        <w:rPr>
          <w:rFonts w:ascii="Times New Roman" w:hAnsi="Times New Roman" w:cs="Times New Roman"/>
          <w:color w:val="0D0D0D" w:themeColor="text1" w:themeTint="F2"/>
          <w:sz w:val="24"/>
          <w:szCs w:val="24"/>
        </w:rPr>
      </w:pPr>
    </w:p>
    <w:tbl>
      <w:tblPr>
        <w:tblStyle w:val="TableGrid"/>
        <w:tblW w:w="105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6"/>
        <w:gridCol w:w="5256"/>
      </w:tblGrid>
      <w:tr w:rsidR="00D21393" w:rsidRPr="003C6DBD" w14:paraId="414D816B" w14:textId="77777777" w:rsidTr="003117FC">
        <w:trPr>
          <w:trHeight w:val="3788"/>
        </w:trPr>
        <w:tc>
          <w:tcPr>
            <w:tcW w:w="5256" w:type="dxa"/>
          </w:tcPr>
          <w:p w14:paraId="5B9D32A1"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0A8F7488" wp14:editId="3C7630CA">
                  <wp:extent cx="3200400" cy="2286000"/>
                  <wp:effectExtent l="0" t="0" r="0" b="0"/>
                  <wp:docPr id="137" name="Chart 137">
                    <a:extLst xmlns:a="http://schemas.openxmlformats.org/drawingml/2006/main">
                      <a:ext uri="{FF2B5EF4-FFF2-40B4-BE49-F238E27FC236}">
                        <a16:creationId xmlns:a16="http://schemas.microsoft.com/office/drawing/2014/main" id="{BBD21EDC-0B80-51D0-6BD0-0504EF0C8C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c>
          <w:tcPr>
            <w:tcW w:w="5256" w:type="dxa"/>
          </w:tcPr>
          <w:p w14:paraId="38AC33D7"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1D3A95BE" wp14:editId="6B8F6420">
                  <wp:extent cx="3200400" cy="2286000"/>
                  <wp:effectExtent l="0" t="0" r="0" b="0"/>
                  <wp:docPr id="135" name="Chart 135">
                    <a:extLst xmlns:a="http://schemas.openxmlformats.org/drawingml/2006/main">
                      <a:ext uri="{FF2B5EF4-FFF2-40B4-BE49-F238E27FC236}">
                        <a16:creationId xmlns:a16="http://schemas.microsoft.com/office/drawing/2014/main" id="{08178020-841C-E545-D7AE-0F46752FF0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r>
      <w:tr w:rsidR="00D21393" w:rsidRPr="003C6DBD" w14:paraId="1809E8A9" w14:textId="77777777" w:rsidTr="003117FC">
        <w:trPr>
          <w:trHeight w:val="562"/>
        </w:trPr>
        <w:tc>
          <w:tcPr>
            <w:tcW w:w="5256" w:type="dxa"/>
          </w:tcPr>
          <w:p w14:paraId="556AB631"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7701121D" wp14:editId="7F20D15A">
                  <wp:extent cx="3200400" cy="2286000"/>
                  <wp:effectExtent l="0" t="0" r="0" b="0"/>
                  <wp:docPr id="139" name="Chart 139">
                    <a:extLst xmlns:a="http://schemas.openxmlformats.org/drawingml/2006/main">
                      <a:ext uri="{FF2B5EF4-FFF2-40B4-BE49-F238E27FC236}">
                        <a16:creationId xmlns:a16="http://schemas.microsoft.com/office/drawing/2014/main" id="{74C38F70-463B-9222-6EC6-BC9B9A7757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c>
        <w:tc>
          <w:tcPr>
            <w:tcW w:w="5256" w:type="dxa"/>
          </w:tcPr>
          <w:p w14:paraId="79DC6B36" w14:textId="77777777" w:rsidR="00E45DE9" w:rsidRPr="003C6DBD" w:rsidRDefault="00E45DE9" w:rsidP="00154E66">
            <w:pPr>
              <w:keepNext/>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290C5C6A" wp14:editId="5A420594">
                  <wp:extent cx="3200400" cy="2286000"/>
                  <wp:effectExtent l="0" t="0" r="0" b="0"/>
                  <wp:docPr id="140" name="Chart 140">
                    <a:extLst xmlns:a="http://schemas.openxmlformats.org/drawingml/2006/main">
                      <a:ext uri="{FF2B5EF4-FFF2-40B4-BE49-F238E27FC236}">
                        <a16:creationId xmlns:a16="http://schemas.microsoft.com/office/drawing/2014/main" id="{267D3AA2-76AE-54C5-111B-51B40341DF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r>
    </w:tbl>
    <w:p w14:paraId="22AB3E48" w14:textId="45BA8922" w:rsidR="00154E66" w:rsidRPr="003C6DBD" w:rsidRDefault="00154E66">
      <w:pPr>
        <w:pStyle w:val="Caption"/>
        <w:rPr>
          <w:rFonts w:ascii="Times New Roman" w:hAnsi="Times New Roman" w:cs="Times New Roman"/>
          <w:color w:val="0D0D0D" w:themeColor="text1" w:themeTint="F2"/>
          <w:sz w:val="24"/>
          <w:szCs w:val="24"/>
        </w:rPr>
      </w:pPr>
      <w:bookmarkStart w:id="66" w:name="_Toc132974480"/>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00E94FA5" w:rsidRPr="003C6DBD">
        <w:rPr>
          <w:rFonts w:ascii="Times New Roman" w:hAnsi="Times New Roman" w:cs="Times New Roman"/>
          <w:noProof/>
          <w:color w:val="0D0D0D" w:themeColor="text1" w:themeTint="F2"/>
          <w:sz w:val="24"/>
          <w:szCs w:val="24"/>
        </w:rPr>
        <w:t>1</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Prevalence and significance of political risks for all companies.</w:t>
      </w:r>
      <w:bookmarkEnd w:id="66"/>
    </w:p>
    <w:p w14:paraId="461D6C74" w14:textId="77777777" w:rsidR="005733AE" w:rsidRPr="003C6DBD" w:rsidRDefault="005733AE" w:rsidP="00E45DE9">
      <w:pPr>
        <w:pStyle w:val="comp"/>
        <w:spacing w:before="0" w:beforeAutospacing="0" w:after="160" w:afterAutospacing="0" w:line="480" w:lineRule="auto"/>
        <w:rPr>
          <w:rFonts w:eastAsiaTheme="minorHAnsi"/>
          <w:color w:val="0D0D0D" w:themeColor="text1" w:themeTint="F2"/>
        </w:rPr>
      </w:pPr>
    </w:p>
    <w:p w14:paraId="73E6E363" w14:textId="77777777" w:rsidR="00570C52" w:rsidRPr="003C6DBD" w:rsidRDefault="00570C52" w:rsidP="00570C52">
      <w:pPr>
        <w:pStyle w:val="comp"/>
        <w:spacing w:before="0" w:beforeAutospacing="0" w:after="160" w:afterAutospacing="0" w:line="480" w:lineRule="auto"/>
        <w:rPr>
          <w:rFonts w:eastAsiaTheme="minorHAnsi"/>
          <w:color w:val="0D0D0D" w:themeColor="text1" w:themeTint="F2"/>
        </w:rPr>
      </w:pPr>
      <w:r w:rsidRPr="003C6DBD">
        <w:rPr>
          <w:rFonts w:eastAsiaTheme="minorHAnsi"/>
          <w:color w:val="0D0D0D" w:themeColor="text1" w:themeTint="F2"/>
        </w:rPr>
        <w:lastRenderedPageBreak/>
        <w:t>Note: Specific risk factors under the economic risk category: Markets: feedstock (MRF), markets-biofuels (MRB), markets-competing fuels (MRC), markets-energy (MRE), competition (COM), general economic conditions (GEC), and stock risk (STR).</w:t>
      </w:r>
    </w:p>
    <w:p w14:paraId="4DD6920F" w14:textId="77777777" w:rsidR="005733AE" w:rsidRDefault="005733AE" w:rsidP="00E45DE9">
      <w:pPr>
        <w:pStyle w:val="comp"/>
        <w:spacing w:before="0" w:beforeAutospacing="0" w:after="160" w:afterAutospacing="0" w:line="480" w:lineRule="auto"/>
        <w:rPr>
          <w:rFonts w:eastAsiaTheme="minorHAnsi"/>
          <w:color w:val="0D0D0D" w:themeColor="text1" w:themeTint="F2"/>
        </w:rPr>
      </w:pPr>
    </w:p>
    <w:p w14:paraId="68E19BA5" w14:textId="77777777" w:rsidR="00570C52" w:rsidRPr="003C6DBD" w:rsidRDefault="00570C52" w:rsidP="00E45DE9">
      <w:pPr>
        <w:pStyle w:val="comp"/>
        <w:spacing w:before="0" w:beforeAutospacing="0" w:after="160" w:afterAutospacing="0" w:line="480" w:lineRule="auto"/>
        <w:rPr>
          <w:rFonts w:eastAsiaTheme="minorHAnsi"/>
          <w:color w:val="0D0D0D" w:themeColor="text1" w:themeTint="F2"/>
        </w:rPr>
      </w:pPr>
    </w:p>
    <w:p w14:paraId="23DA108E" w14:textId="77777777" w:rsidR="005733AE" w:rsidRPr="003C6DBD" w:rsidRDefault="005733AE" w:rsidP="00E45DE9">
      <w:pPr>
        <w:pStyle w:val="comp"/>
        <w:spacing w:before="0" w:beforeAutospacing="0" w:after="160" w:afterAutospacing="0" w:line="480" w:lineRule="auto"/>
        <w:rPr>
          <w:rFonts w:eastAsiaTheme="minorHAnsi"/>
          <w:color w:val="0D0D0D" w:themeColor="text1" w:themeTint="F2"/>
        </w:rPr>
      </w:pPr>
    </w:p>
    <w:p w14:paraId="18B81392" w14:textId="77777777" w:rsidR="005733AE" w:rsidRPr="003C6DBD" w:rsidRDefault="005733AE" w:rsidP="00E45DE9">
      <w:pPr>
        <w:pStyle w:val="comp"/>
        <w:spacing w:before="0" w:beforeAutospacing="0" w:after="160" w:afterAutospacing="0" w:line="480" w:lineRule="auto"/>
        <w:rPr>
          <w:rFonts w:eastAsiaTheme="minorHAnsi"/>
          <w:color w:val="0D0D0D" w:themeColor="text1" w:themeTint="F2"/>
        </w:rPr>
      </w:pPr>
    </w:p>
    <w:p w14:paraId="141F49AA" w14:textId="77777777" w:rsidR="005733AE" w:rsidRPr="003C6DBD" w:rsidRDefault="005733AE" w:rsidP="00E45DE9">
      <w:pPr>
        <w:pStyle w:val="comp"/>
        <w:spacing w:before="0" w:beforeAutospacing="0" w:after="160" w:afterAutospacing="0" w:line="480" w:lineRule="auto"/>
        <w:rPr>
          <w:rFonts w:eastAsiaTheme="minorHAnsi"/>
          <w:color w:val="0D0D0D" w:themeColor="text1" w:themeTint="F2"/>
        </w:rPr>
      </w:pPr>
    </w:p>
    <w:p w14:paraId="7E37438D" w14:textId="77777777" w:rsidR="005733AE" w:rsidRPr="003C6DBD" w:rsidRDefault="005733AE" w:rsidP="00E45DE9">
      <w:pPr>
        <w:pStyle w:val="comp"/>
        <w:spacing w:before="0" w:beforeAutospacing="0" w:after="160" w:afterAutospacing="0" w:line="480" w:lineRule="auto"/>
        <w:rPr>
          <w:rFonts w:eastAsiaTheme="minorHAnsi"/>
          <w:color w:val="0D0D0D" w:themeColor="text1" w:themeTint="F2"/>
        </w:rPr>
      </w:pPr>
    </w:p>
    <w:p w14:paraId="6797F429" w14:textId="3E52CA9F" w:rsidR="00E45DE9" w:rsidRPr="003C6DBD" w:rsidRDefault="00E45DE9" w:rsidP="00E45DE9">
      <w:pPr>
        <w:pStyle w:val="Caption"/>
        <w:keepNext/>
        <w:rPr>
          <w:rFonts w:ascii="Times New Roman" w:hAnsi="Times New Roman" w:cs="Times New Roman"/>
          <w:color w:val="0D0D0D" w:themeColor="text1" w:themeTint="F2"/>
          <w:sz w:val="24"/>
          <w:szCs w:val="24"/>
        </w:rPr>
      </w:pPr>
    </w:p>
    <w:tbl>
      <w:tblPr>
        <w:tblStyle w:val="TableGrid"/>
        <w:tblW w:w="105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6"/>
        <w:gridCol w:w="5256"/>
      </w:tblGrid>
      <w:tr w:rsidR="00D21393" w:rsidRPr="003C6DBD" w14:paraId="1E55F6D7" w14:textId="77777777" w:rsidTr="003117FC">
        <w:trPr>
          <w:trHeight w:val="3788"/>
        </w:trPr>
        <w:tc>
          <w:tcPr>
            <w:tcW w:w="5256" w:type="dxa"/>
          </w:tcPr>
          <w:p w14:paraId="4B7EBB29"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31DCEC03" wp14:editId="0357027D">
                  <wp:extent cx="3200400" cy="2286000"/>
                  <wp:effectExtent l="0" t="0" r="0" b="0"/>
                  <wp:docPr id="1055959287" name="Chart 1055959287">
                    <a:extLst xmlns:a="http://schemas.openxmlformats.org/drawingml/2006/main">
                      <a:ext uri="{FF2B5EF4-FFF2-40B4-BE49-F238E27FC236}">
                        <a16:creationId xmlns:a16="http://schemas.microsoft.com/office/drawing/2014/main" id="{AA123120-AD4F-47AC-AE8F-2C92720A49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c>
          <w:tcPr>
            <w:tcW w:w="5256" w:type="dxa"/>
          </w:tcPr>
          <w:p w14:paraId="57DEEDCF"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3C072F41" wp14:editId="7AACB324">
                  <wp:extent cx="3200400" cy="2286000"/>
                  <wp:effectExtent l="0" t="0" r="0" b="0"/>
                  <wp:docPr id="1372773201" name="Chart 1372773201">
                    <a:extLst xmlns:a="http://schemas.openxmlformats.org/drawingml/2006/main">
                      <a:ext uri="{FF2B5EF4-FFF2-40B4-BE49-F238E27FC236}">
                        <a16:creationId xmlns:a16="http://schemas.microsoft.com/office/drawing/2014/main" id="{33715783-E82F-4F03-9B4D-32D80ED4D9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c>
      </w:tr>
      <w:tr w:rsidR="00D21393" w:rsidRPr="003C6DBD" w14:paraId="4B1BE08D" w14:textId="77777777" w:rsidTr="003117FC">
        <w:trPr>
          <w:trHeight w:val="562"/>
        </w:trPr>
        <w:tc>
          <w:tcPr>
            <w:tcW w:w="5256" w:type="dxa"/>
          </w:tcPr>
          <w:p w14:paraId="62EB6B5F"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4E6166CF" wp14:editId="09B2016C">
                  <wp:extent cx="3200400" cy="2286000"/>
                  <wp:effectExtent l="0" t="0" r="0" b="0"/>
                  <wp:docPr id="1563083545" name="Chart 1563083545">
                    <a:extLst xmlns:a="http://schemas.openxmlformats.org/drawingml/2006/main">
                      <a:ext uri="{FF2B5EF4-FFF2-40B4-BE49-F238E27FC236}">
                        <a16:creationId xmlns:a16="http://schemas.microsoft.com/office/drawing/2014/main" id="{42E3D886-67FF-47A5-A01D-C107FD7D02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c>
        <w:tc>
          <w:tcPr>
            <w:tcW w:w="5256" w:type="dxa"/>
          </w:tcPr>
          <w:p w14:paraId="7C831079"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0CED4722" wp14:editId="05CE8DFD">
                  <wp:extent cx="3200400" cy="2286000"/>
                  <wp:effectExtent l="0" t="0" r="0" b="0"/>
                  <wp:docPr id="150798615" name="Chart 150798615">
                    <a:extLst xmlns:a="http://schemas.openxmlformats.org/drawingml/2006/main">
                      <a:ext uri="{FF2B5EF4-FFF2-40B4-BE49-F238E27FC236}">
                        <a16:creationId xmlns:a16="http://schemas.microsoft.com/office/drawing/2014/main" id="{CE79D237-CCA3-42C4-9DBD-4956EAD441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c>
      </w:tr>
    </w:tbl>
    <w:p w14:paraId="2DBA5D63" w14:textId="290A5C5F" w:rsidR="00154E66" w:rsidRPr="003C6DBD" w:rsidRDefault="00154E66">
      <w:pPr>
        <w:pStyle w:val="Caption"/>
        <w:rPr>
          <w:rFonts w:ascii="Times New Roman" w:hAnsi="Times New Roman" w:cs="Times New Roman"/>
          <w:color w:val="0D0D0D" w:themeColor="text1" w:themeTint="F2"/>
          <w:sz w:val="24"/>
          <w:szCs w:val="24"/>
        </w:rPr>
      </w:pPr>
      <w:bookmarkStart w:id="67" w:name="_Toc132974481"/>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00E94FA5" w:rsidRPr="003C6DBD">
        <w:rPr>
          <w:rFonts w:ascii="Times New Roman" w:hAnsi="Times New Roman" w:cs="Times New Roman"/>
          <w:noProof/>
          <w:color w:val="0D0D0D" w:themeColor="text1" w:themeTint="F2"/>
          <w:sz w:val="24"/>
          <w:szCs w:val="24"/>
        </w:rPr>
        <w:t>2</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Prevalence and significance of economic risks for all companies.</w:t>
      </w:r>
      <w:bookmarkEnd w:id="67"/>
    </w:p>
    <w:p w14:paraId="656CA142" w14:textId="77777777" w:rsidR="005733AE" w:rsidRPr="003C6DBD" w:rsidRDefault="005733AE" w:rsidP="00154E66">
      <w:pPr>
        <w:pStyle w:val="comp"/>
        <w:spacing w:before="0" w:beforeAutospacing="0" w:after="160" w:afterAutospacing="0" w:line="480" w:lineRule="auto"/>
        <w:rPr>
          <w:rFonts w:eastAsiaTheme="minorHAnsi"/>
          <w:color w:val="0D0D0D" w:themeColor="text1" w:themeTint="F2"/>
        </w:rPr>
      </w:pPr>
    </w:p>
    <w:tbl>
      <w:tblPr>
        <w:tblStyle w:val="TableGrid"/>
        <w:tblW w:w="10512" w:type="dxa"/>
        <w:tblLook w:val="04A0" w:firstRow="1" w:lastRow="0" w:firstColumn="1" w:lastColumn="0" w:noHBand="0" w:noVBand="1"/>
      </w:tblPr>
      <w:tblGrid>
        <w:gridCol w:w="5256"/>
        <w:gridCol w:w="5256"/>
      </w:tblGrid>
      <w:tr w:rsidR="00D21393" w:rsidRPr="003C6DBD" w14:paraId="32BA9775" w14:textId="77777777" w:rsidTr="003117FC">
        <w:trPr>
          <w:trHeight w:val="562"/>
        </w:trPr>
        <w:tc>
          <w:tcPr>
            <w:tcW w:w="5256" w:type="dxa"/>
            <w:tcBorders>
              <w:top w:val="nil"/>
              <w:left w:val="nil"/>
              <w:bottom w:val="nil"/>
              <w:right w:val="nil"/>
            </w:tcBorders>
          </w:tcPr>
          <w:p w14:paraId="0BD70AC2"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lastRenderedPageBreak/>
              <w:drawing>
                <wp:inline distT="0" distB="0" distL="0" distR="0" wp14:anchorId="6029E3F2" wp14:editId="421AAE3B">
                  <wp:extent cx="3200400" cy="2286000"/>
                  <wp:effectExtent l="0" t="0" r="0" b="0"/>
                  <wp:docPr id="154" name="Chart 154">
                    <a:extLst xmlns:a="http://schemas.openxmlformats.org/drawingml/2006/main">
                      <a:ext uri="{FF2B5EF4-FFF2-40B4-BE49-F238E27FC236}">
                        <a16:creationId xmlns:a16="http://schemas.microsoft.com/office/drawing/2014/main" id="{C6F8C6DD-7649-4804-B6E7-31A7AF1BA0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c>
        <w:tc>
          <w:tcPr>
            <w:tcW w:w="5256" w:type="dxa"/>
            <w:tcBorders>
              <w:top w:val="nil"/>
              <w:left w:val="nil"/>
              <w:bottom w:val="nil"/>
              <w:right w:val="nil"/>
            </w:tcBorders>
          </w:tcPr>
          <w:p w14:paraId="53C4749D"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149AD5D1" wp14:editId="1309783D">
                  <wp:extent cx="3200400" cy="2286000"/>
                  <wp:effectExtent l="0" t="0" r="0" b="0"/>
                  <wp:docPr id="155" name="Chart 155">
                    <a:extLst xmlns:a="http://schemas.openxmlformats.org/drawingml/2006/main">
                      <a:ext uri="{FF2B5EF4-FFF2-40B4-BE49-F238E27FC236}">
                        <a16:creationId xmlns:a16="http://schemas.microsoft.com/office/drawing/2014/main" id="{7D877E59-3787-4E87-A832-016546FD0C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tc>
      </w:tr>
      <w:tr w:rsidR="00D21393" w:rsidRPr="003C6DBD" w14:paraId="422E8643" w14:textId="77777777" w:rsidTr="003117FC">
        <w:trPr>
          <w:trHeight w:val="562"/>
        </w:trPr>
        <w:tc>
          <w:tcPr>
            <w:tcW w:w="5256" w:type="dxa"/>
            <w:tcBorders>
              <w:top w:val="nil"/>
              <w:left w:val="nil"/>
              <w:bottom w:val="nil"/>
              <w:right w:val="nil"/>
            </w:tcBorders>
          </w:tcPr>
          <w:p w14:paraId="3B5136FA"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6D56704F" wp14:editId="281F70B9">
                  <wp:extent cx="3200400" cy="2286000"/>
                  <wp:effectExtent l="0" t="0" r="0" b="0"/>
                  <wp:docPr id="156" name="Chart 156">
                    <a:extLst xmlns:a="http://schemas.openxmlformats.org/drawingml/2006/main">
                      <a:ext uri="{FF2B5EF4-FFF2-40B4-BE49-F238E27FC236}">
                        <a16:creationId xmlns:a16="http://schemas.microsoft.com/office/drawing/2014/main" id="{FCD9F68C-403C-4A5D-9056-8D89120A8B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tc>
        <w:tc>
          <w:tcPr>
            <w:tcW w:w="5256" w:type="dxa"/>
            <w:tcBorders>
              <w:top w:val="nil"/>
              <w:left w:val="nil"/>
              <w:bottom w:val="nil"/>
              <w:right w:val="nil"/>
            </w:tcBorders>
          </w:tcPr>
          <w:p w14:paraId="35B6D5A2" w14:textId="77777777" w:rsidR="00E45DE9" w:rsidRPr="003C6DBD" w:rsidRDefault="00E45DE9" w:rsidP="00154E66">
            <w:pPr>
              <w:keepNext/>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593443F2" wp14:editId="451F737B">
                  <wp:extent cx="3200400" cy="2286000"/>
                  <wp:effectExtent l="0" t="0" r="0" b="0"/>
                  <wp:docPr id="157" name="Chart 157">
                    <a:extLst xmlns:a="http://schemas.openxmlformats.org/drawingml/2006/main">
                      <a:ext uri="{FF2B5EF4-FFF2-40B4-BE49-F238E27FC236}">
                        <a16:creationId xmlns:a16="http://schemas.microsoft.com/office/drawing/2014/main" id="{022A8F2C-EFF6-4071-A8DF-741A2D9286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tc>
      </w:tr>
    </w:tbl>
    <w:p w14:paraId="52E4DB87" w14:textId="788372CD" w:rsidR="00154E66" w:rsidRPr="003C6DBD" w:rsidRDefault="00154E66">
      <w:pPr>
        <w:pStyle w:val="Caption"/>
        <w:rPr>
          <w:rFonts w:ascii="Times New Roman" w:hAnsi="Times New Roman" w:cs="Times New Roman"/>
          <w:color w:val="0D0D0D" w:themeColor="text1" w:themeTint="F2"/>
          <w:sz w:val="24"/>
          <w:szCs w:val="24"/>
        </w:rPr>
      </w:pPr>
      <w:bookmarkStart w:id="68" w:name="_Toc132974482"/>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00E94FA5" w:rsidRPr="003C6DBD">
        <w:rPr>
          <w:rFonts w:ascii="Times New Roman" w:hAnsi="Times New Roman" w:cs="Times New Roman"/>
          <w:noProof/>
          <w:color w:val="0D0D0D" w:themeColor="text1" w:themeTint="F2"/>
          <w:sz w:val="24"/>
          <w:szCs w:val="24"/>
        </w:rPr>
        <w:t>3</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Prevalence and significance of social risks for all companies.</w:t>
      </w:r>
      <w:bookmarkEnd w:id="68"/>
    </w:p>
    <w:p w14:paraId="20EE492E" w14:textId="1EDC0F5B" w:rsidR="00E45DE9" w:rsidRPr="003C6DBD" w:rsidRDefault="00E45DE9" w:rsidP="00154E66">
      <w:pPr>
        <w:pStyle w:val="comp"/>
        <w:spacing w:before="0" w:beforeAutospacing="0" w:after="160" w:afterAutospacing="0" w:line="480" w:lineRule="auto"/>
        <w:rPr>
          <w:rFonts w:eastAsiaTheme="minorHAnsi"/>
          <w:color w:val="0D0D0D" w:themeColor="text1" w:themeTint="F2"/>
        </w:rPr>
      </w:pPr>
      <w:r w:rsidRPr="003C6DBD">
        <w:rPr>
          <w:rFonts w:eastAsiaTheme="minorHAnsi"/>
          <w:color w:val="0D0D0D" w:themeColor="text1" w:themeTint="F2"/>
        </w:rPr>
        <w:t>Note: Specific risk factors under the social risk category: Public opposition (PUO) and public perception (PUP).</w:t>
      </w:r>
      <w:r w:rsidRPr="003C6DBD">
        <w:rPr>
          <w:color w:val="0D0D0D" w:themeColor="text1" w:themeTint="F2"/>
        </w:rPr>
        <w:t xml:space="preserve"> </w:t>
      </w:r>
    </w:p>
    <w:tbl>
      <w:tblPr>
        <w:tblStyle w:val="TableGrid"/>
        <w:tblW w:w="10512" w:type="dxa"/>
        <w:tblLook w:val="04A0" w:firstRow="1" w:lastRow="0" w:firstColumn="1" w:lastColumn="0" w:noHBand="0" w:noVBand="1"/>
      </w:tblPr>
      <w:tblGrid>
        <w:gridCol w:w="5256"/>
        <w:gridCol w:w="5256"/>
      </w:tblGrid>
      <w:tr w:rsidR="00D21393" w:rsidRPr="003C6DBD" w14:paraId="2153F32A" w14:textId="77777777" w:rsidTr="003117FC">
        <w:trPr>
          <w:trHeight w:val="562"/>
        </w:trPr>
        <w:tc>
          <w:tcPr>
            <w:tcW w:w="5256" w:type="dxa"/>
            <w:tcBorders>
              <w:top w:val="nil"/>
              <w:left w:val="nil"/>
              <w:bottom w:val="nil"/>
              <w:right w:val="nil"/>
            </w:tcBorders>
          </w:tcPr>
          <w:p w14:paraId="707A286C"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lastRenderedPageBreak/>
              <w:drawing>
                <wp:inline distT="0" distB="0" distL="0" distR="0" wp14:anchorId="629E03FB" wp14:editId="630BAD44">
                  <wp:extent cx="3200400" cy="2286000"/>
                  <wp:effectExtent l="0" t="0" r="0" b="0"/>
                  <wp:docPr id="551349718" name="Chart 551349718">
                    <a:extLst xmlns:a="http://schemas.openxmlformats.org/drawingml/2006/main">
                      <a:ext uri="{FF2B5EF4-FFF2-40B4-BE49-F238E27FC236}">
                        <a16:creationId xmlns:a16="http://schemas.microsoft.com/office/drawing/2014/main" id="{A2DD4DB5-7430-40EF-B4FC-74D939FF64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tc>
        <w:tc>
          <w:tcPr>
            <w:tcW w:w="5256" w:type="dxa"/>
            <w:tcBorders>
              <w:top w:val="nil"/>
              <w:left w:val="nil"/>
              <w:bottom w:val="nil"/>
              <w:right w:val="nil"/>
            </w:tcBorders>
          </w:tcPr>
          <w:p w14:paraId="196DB8B7"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5202F7EC" wp14:editId="56EDF9FD">
                  <wp:extent cx="3200400" cy="2286000"/>
                  <wp:effectExtent l="0" t="0" r="0" b="0"/>
                  <wp:docPr id="1881875547" name="Chart 1881875547">
                    <a:extLst xmlns:a="http://schemas.openxmlformats.org/drawingml/2006/main">
                      <a:ext uri="{FF2B5EF4-FFF2-40B4-BE49-F238E27FC236}">
                        <a16:creationId xmlns:a16="http://schemas.microsoft.com/office/drawing/2014/main" id="{A4551682-8B2B-44ED-95AD-76D4129EA2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tc>
      </w:tr>
      <w:tr w:rsidR="00D21393" w:rsidRPr="003C6DBD" w14:paraId="1E636E69" w14:textId="77777777" w:rsidTr="003117FC">
        <w:trPr>
          <w:trHeight w:val="562"/>
        </w:trPr>
        <w:tc>
          <w:tcPr>
            <w:tcW w:w="5256" w:type="dxa"/>
            <w:tcBorders>
              <w:top w:val="nil"/>
              <w:left w:val="nil"/>
              <w:bottom w:val="nil"/>
              <w:right w:val="nil"/>
            </w:tcBorders>
          </w:tcPr>
          <w:p w14:paraId="2CA44BF4"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029C5646" wp14:editId="42A67C78">
                  <wp:extent cx="3200400" cy="2286000"/>
                  <wp:effectExtent l="0" t="0" r="0" b="0"/>
                  <wp:docPr id="345829346" name="Chart 345829346">
                    <a:extLst xmlns:a="http://schemas.openxmlformats.org/drawingml/2006/main">
                      <a:ext uri="{FF2B5EF4-FFF2-40B4-BE49-F238E27FC236}">
                        <a16:creationId xmlns:a16="http://schemas.microsoft.com/office/drawing/2014/main" id="{FCD9F68C-403C-4A5D-9056-8D89120A8B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tc>
        <w:tc>
          <w:tcPr>
            <w:tcW w:w="5256" w:type="dxa"/>
            <w:tcBorders>
              <w:top w:val="nil"/>
              <w:left w:val="nil"/>
              <w:bottom w:val="nil"/>
              <w:right w:val="nil"/>
            </w:tcBorders>
          </w:tcPr>
          <w:p w14:paraId="3602A43C" w14:textId="77777777" w:rsidR="00E45DE9" w:rsidRPr="003C6DBD" w:rsidRDefault="00E45DE9" w:rsidP="00154E66">
            <w:pPr>
              <w:keepNext/>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0801D48D" wp14:editId="4943DE3E">
                  <wp:extent cx="3200400" cy="2286000"/>
                  <wp:effectExtent l="0" t="0" r="0" b="0"/>
                  <wp:docPr id="483391679" name="Chart 483391679">
                    <a:extLst xmlns:a="http://schemas.openxmlformats.org/drawingml/2006/main">
                      <a:ext uri="{FF2B5EF4-FFF2-40B4-BE49-F238E27FC236}">
                        <a16:creationId xmlns:a16="http://schemas.microsoft.com/office/drawing/2014/main" id="{022A8F2C-EFF6-4071-A8DF-741A2D9286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tc>
      </w:tr>
    </w:tbl>
    <w:p w14:paraId="6EAF0C40" w14:textId="2736CBA3" w:rsidR="00154E66" w:rsidRPr="003C6DBD" w:rsidRDefault="00154E66">
      <w:pPr>
        <w:pStyle w:val="Caption"/>
        <w:rPr>
          <w:rFonts w:ascii="Times New Roman" w:hAnsi="Times New Roman" w:cs="Times New Roman"/>
          <w:color w:val="0D0D0D" w:themeColor="text1" w:themeTint="F2"/>
          <w:sz w:val="24"/>
          <w:szCs w:val="24"/>
        </w:rPr>
      </w:pPr>
      <w:bookmarkStart w:id="69" w:name="_Toc132974483"/>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00E94FA5" w:rsidRPr="003C6DBD">
        <w:rPr>
          <w:rFonts w:ascii="Times New Roman" w:hAnsi="Times New Roman" w:cs="Times New Roman"/>
          <w:noProof/>
          <w:color w:val="0D0D0D" w:themeColor="text1" w:themeTint="F2"/>
          <w:sz w:val="24"/>
          <w:szCs w:val="24"/>
        </w:rPr>
        <w:t>4</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Prevalence and significance of technological risks for all companies.</w:t>
      </w:r>
      <w:bookmarkEnd w:id="69"/>
    </w:p>
    <w:p w14:paraId="72ECE46C" w14:textId="5F5C81FD" w:rsidR="00E45DE9" w:rsidRPr="003C6DBD" w:rsidRDefault="00E45DE9" w:rsidP="00154E66">
      <w:pPr>
        <w:pStyle w:val="comp"/>
        <w:spacing w:before="0" w:beforeAutospacing="0" w:after="160" w:afterAutospacing="0" w:line="480" w:lineRule="auto"/>
        <w:rPr>
          <w:rFonts w:eastAsiaTheme="minorHAnsi"/>
          <w:color w:val="0D0D0D" w:themeColor="text1" w:themeTint="F2"/>
        </w:rPr>
      </w:pPr>
      <w:r w:rsidRPr="003C6DBD">
        <w:rPr>
          <w:rFonts w:eastAsiaTheme="minorHAnsi"/>
          <w:color w:val="0D0D0D" w:themeColor="text1" w:themeTint="F2"/>
        </w:rPr>
        <w:t>Note: Specific risk factors under technological risk category: Conversion technology (CNT), fuel compatibility (FLC), intellectual property (INP), and cybersecurity (CYS).</w:t>
      </w:r>
    </w:p>
    <w:tbl>
      <w:tblPr>
        <w:tblStyle w:val="TableGrid"/>
        <w:tblW w:w="105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6"/>
        <w:gridCol w:w="5256"/>
      </w:tblGrid>
      <w:tr w:rsidR="00D21393" w:rsidRPr="003C6DBD" w14:paraId="4C162CCD" w14:textId="77777777" w:rsidTr="003117FC">
        <w:trPr>
          <w:trHeight w:val="3788"/>
        </w:trPr>
        <w:tc>
          <w:tcPr>
            <w:tcW w:w="5256" w:type="dxa"/>
          </w:tcPr>
          <w:p w14:paraId="0503FA73"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lastRenderedPageBreak/>
              <w:drawing>
                <wp:inline distT="0" distB="0" distL="0" distR="0" wp14:anchorId="4BB1D321" wp14:editId="7FFD7453">
                  <wp:extent cx="3200400" cy="2286000"/>
                  <wp:effectExtent l="0" t="0" r="0" b="0"/>
                  <wp:docPr id="178" name="Chart 178">
                    <a:extLst xmlns:a="http://schemas.openxmlformats.org/drawingml/2006/main">
                      <a:ext uri="{FF2B5EF4-FFF2-40B4-BE49-F238E27FC236}">
                        <a16:creationId xmlns:a16="http://schemas.microsoft.com/office/drawing/2014/main" id="{AAA3EF5D-E7F5-4FE0-BC20-E640357B4A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tc>
        <w:tc>
          <w:tcPr>
            <w:tcW w:w="5256" w:type="dxa"/>
          </w:tcPr>
          <w:p w14:paraId="04ABC0F5"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39647E1A" wp14:editId="5F467F4A">
                  <wp:extent cx="3200400" cy="2286000"/>
                  <wp:effectExtent l="0" t="0" r="0" b="0"/>
                  <wp:docPr id="179" name="Chart 179">
                    <a:extLst xmlns:a="http://schemas.openxmlformats.org/drawingml/2006/main">
                      <a:ext uri="{FF2B5EF4-FFF2-40B4-BE49-F238E27FC236}">
                        <a16:creationId xmlns:a16="http://schemas.microsoft.com/office/drawing/2014/main" id="{A65752CA-523C-4F1A-8861-CEDD617759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tc>
      </w:tr>
      <w:tr w:rsidR="00D21393" w:rsidRPr="003C6DBD" w14:paraId="516ADE4A" w14:textId="77777777" w:rsidTr="003117FC">
        <w:trPr>
          <w:trHeight w:val="562"/>
        </w:trPr>
        <w:tc>
          <w:tcPr>
            <w:tcW w:w="5256" w:type="dxa"/>
          </w:tcPr>
          <w:p w14:paraId="09C19E5A"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2E8E1D8A" wp14:editId="1D1000F1">
                  <wp:extent cx="3200400" cy="2286000"/>
                  <wp:effectExtent l="0" t="0" r="0" b="0"/>
                  <wp:docPr id="180" name="Chart 180">
                    <a:extLst xmlns:a="http://schemas.openxmlformats.org/drawingml/2006/main">
                      <a:ext uri="{FF2B5EF4-FFF2-40B4-BE49-F238E27FC236}">
                        <a16:creationId xmlns:a16="http://schemas.microsoft.com/office/drawing/2014/main" id="{F632904D-0AB6-4AAE-8CCC-3B4549BD3B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tc>
        <w:tc>
          <w:tcPr>
            <w:tcW w:w="5256" w:type="dxa"/>
          </w:tcPr>
          <w:p w14:paraId="63E4890F" w14:textId="77777777" w:rsidR="00E45DE9" w:rsidRPr="003C6DBD" w:rsidRDefault="00E45DE9" w:rsidP="00154E66">
            <w:pPr>
              <w:keepNext/>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0A00CDCF" wp14:editId="5BE430C6">
                  <wp:extent cx="3200400" cy="2286000"/>
                  <wp:effectExtent l="0" t="0" r="0" b="0"/>
                  <wp:docPr id="181" name="Chart 181">
                    <a:extLst xmlns:a="http://schemas.openxmlformats.org/drawingml/2006/main">
                      <a:ext uri="{FF2B5EF4-FFF2-40B4-BE49-F238E27FC236}">
                        <a16:creationId xmlns:a16="http://schemas.microsoft.com/office/drawing/2014/main" id="{425A68F1-838E-4D09-B922-E91B549F0A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tc>
      </w:tr>
    </w:tbl>
    <w:p w14:paraId="1B0F200A" w14:textId="3749633D" w:rsidR="00154E66" w:rsidRPr="003C6DBD" w:rsidRDefault="00154E66">
      <w:pPr>
        <w:pStyle w:val="Caption"/>
        <w:rPr>
          <w:rFonts w:ascii="Times New Roman" w:hAnsi="Times New Roman" w:cs="Times New Roman"/>
          <w:color w:val="0D0D0D" w:themeColor="text1" w:themeTint="F2"/>
          <w:sz w:val="24"/>
          <w:szCs w:val="24"/>
        </w:rPr>
      </w:pPr>
      <w:bookmarkStart w:id="70" w:name="_Toc132974484"/>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00E94FA5" w:rsidRPr="003C6DBD">
        <w:rPr>
          <w:rFonts w:ascii="Times New Roman" w:hAnsi="Times New Roman" w:cs="Times New Roman"/>
          <w:noProof/>
          <w:color w:val="0D0D0D" w:themeColor="text1" w:themeTint="F2"/>
          <w:sz w:val="24"/>
          <w:szCs w:val="24"/>
        </w:rPr>
        <w:t>5</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Prevalence and significance of risks reported in primary activities category for all companies.</w:t>
      </w:r>
      <w:bookmarkEnd w:id="70"/>
    </w:p>
    <w:p w14:paraId="19EB630C" w14:textId="7E7A8667" w:rsidR="00E45DE9" w:rsidRPr="003C6DBD" w:rsidRDefault="00E45DE9" w:rsidP="00154E66">
      <w:pPr>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Note: Specific risk factors under the primary activities risk category: Facilities development (FTD) and profitable operations (PRO).</w:t>
      </w:r>
    </w:p>
    <w:p w14:paraId="6822E4F4" w14:textId="77777777" w:rsidR="00154E66" w:rsidRPr="003C6DBD" w:rsidRDefault="00154E66" w:rsidP="00154E66">
      <w:pPr>
        <w:rPr>
          <w:rFonts w:ascii="Times New Roman" w:hAnsi="Times New Roman" w:cs="Times New Roman"/>
          <w:color w:val="0D0D0D" w:themeColor="text1" w:themeTint="F2"/>
          <w:sz w:val="24"/>
          <w:szCs w:val="24"/>
        </w:rPr>
      </w:pPr>
    </w:p>
    <w:tbl>
      <w:tblPr>
        <w:tblStyle w:val="TableGrid"/>
        <w:tblW w:w="105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6"/>
        <w:gridCol w:w="5256"/>
      </w:tblGrid>
      <w:tr w:rsidR="00D21393" w:rsidRPr="003C6DBD" w14:paraId="6850DD9F" w14:textId="77777777" w:rsidTr="003117FC">
        <w:trPr>
          <w:trHeight w:val="3788"/>
        </w:trPr>
        <w:tc>
          <w:tcPr>
            <w:tcW w:w="5256" w:type="dxa"/>
          </w:tcPr>
          <w:p w14:paraId="76438F1C"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bookmarkStart w:id="71" w:name="_Toc102229903"/>
            <w:r w:rsidRPr="003C6DBD">
              <w:rPr>
                <w:rFonts w:ascii="Times New Roman" w:hAnsi="Times New Roman" w:cs="Times New Roman"/>
                <w:noProof/>
                <w:color w:val="0D0D0D" w:themeColor="text1" w:themeTint="F2"/>
                <w:sz w:val="24"/>
                <w:szCs w:val="24"/>
              </w:rPr>
              <w:lastRenderedPageBreak/>
              <w:drawing>
                <wp:inline distT="0" distB="0" distL="0" distR="0" wp14:anchorId="5C300D12" wp14:editId="3A725005">
                  <wp:extent cx="3200400" cy="2286000"/>
                  <wp:effectExtent l="0" t="0" r="0" b="0"/>
                  <wp:docPr id="1938274933" name="Chart 1938274933">
                    <a:extLst xmlns:a="http://schemas.openxmlformats.org/drawingml/2006/main">
                      <a:ext uri="{FF2B5EF4-FFF2-40B4-BE49-F238E27FC236}">
                        <a16:creationId xmlns:a16="http://schemas.microsoft.com/office/drawing/2014/main" id="{02AC893A-D23D-44A6-8285-8705DB3828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tc>
        <w:tc>
          <w:tcPr>
            <w:tcW w:w="5256" w:type="dxa"/>
          </w:tcPr>
          <w:p w14:paraId="18D61784"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4E74998C" wp14:editId="6A335F82">
                  <wp:extent cx="3200400" cy="2286000"/>
                  <wp:effectExtent l="0" t="0" r="0" b="0"/>
                  <wp:docPr id="708556900" name="Chart 708556900">
                    <a:extLst xmlns:a="http://schemas.openxmlformats.org/drawingml/2006/main">
                      <a:ext uri="{FF2B5EF4-FFF2-40B4-BE49-F238E27FC236}">
                        <a16:creationId xmlns:a16="http://schemas.microsoft.com/office/drawing/2014/main" id="{7FAA22A5-E2AE-4789-AE56-36517222B0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tc>
      </w:tr>
      <w:tr w:rsidR="00D21393" w:rsidRPr="003C6DBD" w14:paraId="288F6F38" w14:textId="77777777" w:rsidTr="003117FC">
        <w:trPr>
          <w:trHeight w:val="562"/>
        </w:trPr>
        <w:tc>
          <w:tcPr>
            <w:tcW w:w="5256" w:type="dxa"/>
          </w:tcPr>
          <w:p w14:paraId="0152FF39"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4FE3DB49" wp14:editId="73607049">
                  <wp:extent cx="3200400" cy="2286000"/>
                  <wp:effectExtent l="0" t="0" r="0" b="0"/>
                  <wp:docPr id="514075249" name="Chart 514075249">
                    <a:extLst xmlns:a="http://schemas.openxmlformats.org/drawingml/2006/main">
                      <a:ext uri="{FF2B5EF4-FFF2-40B4-BE49-F238E27FC236}">
                        <a16:creationId xmlns:a16="http://schemas.microsoft.com/office/drawing/2014/main" id="{BCD2ABC9-E783-487D-9972-31CBF61770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tc>
        <w:tc>
          <w:tcPr>
            <w:tcW w:w="5256" w:type="dxa"/>
          </w:tcPr>
          <w:p w14:paraId="6815D4BE" w14:textId="77777777" w:rsidR="00E45DE9" w:rsidRPr="003C6DBD" w:rsidRDefault="00E45DE9" w:rsidP="00154E66">
            <w:pPr>
              <w:keepNext/>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55C08885" wp14:editId="564234A6">
                  <wp:extent cx="3200400" cy="2286000"/>
                  <wp:effectExtent l="0" t="0" r="0" b="0"/>
                  <wp:docPr id="1356760446" name="Chart 1356760446">
                    <a:extLst xmlns:a="http://schemas.openxmlformats.org/drawingml/2006/main">
                      <a:ext uri="{FF2B5EF4-FFF2-40B4-BE49-F238E27FC236}">
                        <a16:creationId xmlns:a16="http://schemas.microsoft.com/office/drawing/2014/main" id="{792E7EB1-B3B4-4E7D-AFD0-149C253252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tc>
      </w:tr>
    </w:tbl>
    <w:p w14:paraId="21AA6F64" w14:textId="0E444700" w:rsidR="00E45DE9" w:rsidRPr="003C6DBD" w:rsidRDefault="00154E66" w:rsidP="00154E66">
      <w:pPr>
        <w:pStyle w:val="Caption"/>
        <w:rPr>
          <w:rFonts w:ascii="Times New Roman" w:hAnsi="Times New Roman" w:cs="Times New Roman"/>
          <w:color w:val="0D0D0D" w:themeColor="text1" w:themeTint="F2"/>
          <w:sz w:val="24"/>
          <w:szCs w:val="24"/>
        </w:rPr>
      </w:pPr>
      <w:bookmarkStart w:id="72" w:name="_Toc132974485"/>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00E94FA5" w:rsidRPr="003C6DBD">
        <w:rPr>
          <w:rFonts w:ascii="Times New Roman" w:hAnsi="Times New Roman" w:cs="Times New Roman"/>
          <w:noProof/>
          <w:color w:val="0D0D0D" w:themeColor="text1" w:themeTint="F2"/>
          <w:sz w:val="24"/>
          <w:szCs w:val="24"/>
        </w:rPr>
        <w:t>6</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Prevalence and significance of risks reported in support activities category for all companies.</w:t>
      </w:r>
      <w:bookmarkEnd w:id="72"/>
    </w:p>
    <w:p w14:paraId="13734934" w14:textId="597872FA" w:rsidR="005733AE" w:rsidRPr="003C6DBD" w:rsidRDefault="00E45DE9" w:rsidP="00E45DE9">
      <w:pPr>
        <w:pStyle w:val="comp"/>
        <w:spacing w:before="0" w:beforeAutospacing="0" w:after="160" w:afterAutospacing="0" w:line="480" w:lineRule="auto"/>
        <w:rPr>
          <w:rFonts w:eastAsiaTheme="minorHAnsi"/>
          <w:color w:val="0D0D0D" w:themeColor="text1" w:themeTint="F2"/>
        </w:rPr>
        <w:sectPr w:rsidR="005733AE" w:rsidRPr="003C6DBD" w:rsidSect="005733AE">
          <w:pgSz w:w="15840" w:h="12240" w:orient="landscape"/>
          <w:pgMar w:top="1440" w:right="1440" w:bottom="1440" w:left="1440" w:header="720" w:footer="720" w:gutter="0"/>
          <w:cols w:space="720"/>
          <w:docGrid w:linePitch="360"/>
        </w:sectPr>
      </w:pPr>
      <w:r w:rsidRPr="003C6DBD">
        <w:rPr>
          <w:rFonts w:eastAsiaTheme="minorHAnsi"/>
          <w:color w:val="0D0D0D" w:themeColor="text1" w:themeTint="F2"/>
        </w:rPr>
        <w:t>Note: Specific risk factors under the support activities risk category: General management (GNM), risk management (RKM), financing (FIN), contracting (CON), and mergers and acquisitions (MNA).</w:t>
      </w:r>
    </w:p>
    <w:p w14:paraId="6363B097" w14:textId="1C327489" w:rsidR="00154E66" w:rsidRPr="003C6DBD" w:rsidRDefault="00154E66" w:rsidP="00154E66">
      <w:pPr>
        <w:pStyle w:val="Caption"/>
        <w:keepNext/>
        <w:rPr>
          <w:rFonts w:ascii="Times New Roman" w:hAnsi="Times New Roman" w:cs="Times New Roman"/>
          <w:color w:val="0D0D0D" w:themeColor="text1" w:themeTint="F2"/>
          <w:sz w:val="24"/>
          <w:szCs w:val="24"/>
        </w:rPr>
      </w:pPr>
      <w:bookmarkStart w:id="73" w:name="_Toc132671827"/>
      <w:r w:rsidRPr="003C6DBD">
        <w:rPr>
          <w:rFonts w:ascii="Times New Roman" w:hAnsi="Times New Roman" w:cs="Times New Roman"/>
          <w:color w:val="0D0D0D" w:themeColor="text1" w:themeTint="F2"/>
          <w:sz w:val="24"/>
          <w:szCs w:val="24"/>
        </w:rPr>
        <w:lastRenderedPageBreak/>
        <w:t xml:space="preserve">Table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Table \* ARABIC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noProof/>
          <w:color w:val="0D0D0D" w:themeColor="text1" w:themeTint="F2"/>
          <w:sz w:val="24"/>
          <w:szCs w:val="24"/>
        </w:rPr>
        <w:t>13</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Prevalent and significant risks for all companies.</w:t>
      </w:r>
      <w:bookmarkEnd w:id="73"/>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1870"/>
        <w:gridCol w:w="1870"/>
        <w:gridCol w:w="1870"/>
        <w:gridCol w:w="1870"/>
      </w:tblGrid>
      <w:tr w:rsidR="00D21393" w:rsidRPr="003C6DBD" w14:paraId="219DF2F2" w14:textId="77777777" w:rsidTr="003117FC">
        <w:tc>
          <w:tcPr>
            <w:tcW w:w="1870" w:type="dxa"/>
            <w:tcBorders>
              <w:top w:val="single" w:sz="4" w:space="0" w:color="auto"/>
              <w:bottom w:val="single" w:sz="4" w:space="0" w:color="auto"/>
            </w:tcBorders>
          </w:tcPr>
          <w:p w14:paraId="5BAD02B6" w14:textId="77777777" w:rsidR="00E45DE9" w:rsidRPr="003C6DBD" w:rsidRDefault="00E45DE9" w:rsidP="003117FC">
            <w:pPr>
              <w:spacing w:line="480" w:lineRule="auto"/>
              <w:rPr>
                <w:rFonts w:ascii="Times New Roman" w:hAnsi="Times New Roman" w:cs="Times New Roman"/>
                <w:b/>
                <w:bCs/>
                <w:noProof/>
                <w:color w:val="0D0D0D" w:themeColor="text1" w:themeTint="F2"/>
                <w:sz w:val="24"/>
                <w:szCs w:val="24"/>
              </w:rPr>
            </w:pPr>
          </w:p>
        </w:tc>
        <w:tc>
          <w:tcPr>
            <w:tcW w:w="7480" w:type="dxa"/>
            <w:gridSpan w:val="4"/>
            <w:tcBorders>
              <w:top w:val="single" w:sz="4" w:space="0" w:color="auto"/>
              <w:bottom w:val="single" w:sz="4" w:space="0" w:color="auto"/>
            </w:tcBorders>
          </w:tcPr>
          <w:p w14:paraId="174DE02E" w14:textId="77777777" w:rsidR="00E45DE9" w:rsidRPr="003C6DBD" w:rsidRDefault="00E45DE9" w:rsidP="003117FC">
            <w:pPr>
              <w:spacing w:line="480" w:lineRule="auto"/>
              <w:rPr>
                <w:rFonts w:ascii="Times New Roman" w:hAnsi="Times New Roman" w:cs="Times New Roman"/>
                <w:b/>
                <w:bCs/>
                <w:noProof/>
                <w:color w:val="0D0D0D" w:themeColor="text1" w:themeTint="F2"/>
                <w:sz w:val="24"/>
                <w:szCs w:val="24"/>
              </w:rPr>
            </w:pPr>
            <w:r w:rsidRPr="003C6DBD">
              <w:rPr>
                <w:rFonts w:ascii="Times New Roman" w:hAnsi="Times New Roman" w:cs="Times New Roman"/>
                <w:b/>
                <w:bCs/>
                <w:noProof/>
                <w:color w:val="0D0D0D" w:themeColor="text1" w:themeTint="F2"/>
                <w:sz w:val="24"/>
                <w:szCs w:val="24"/>
              </w:rPr>
              <w:t>Prevalent and significant risks for all companies</w:t>
            </w:r>
          </w:p>
        </w:tc>
      </w:tr>
      <w:tr w:rsidR="00D21393" w:rsidRPr="003C6DBD" w14:paraId="572ABA1F" w14:textId="77777777" w:rsidTr="003117FC">
        <w:tc>
          <w:tcPr>
            <w:tcW w:w="1870" w:type="dxa"/>
            <w:tcBorders>
              <w:top w:val="single" w:sz="4" w:space="0" w:color="auto"/>
              <w:bottom w:val="single" w:sz="4" w:space="0" w:color="auto"/>
            </w:tcBorders>
          </w:tcPr>
          <w:p w14:paraId="437DE42A" w14:textId="77777777" w:rsidR="00E45DE9" w:rsidRPr="003C6DBD" w:rsidRDefault="00E45DE9" w:rsidP="003117FC">
            <w:pPr>
              <w:spacing w:line="480" w:lineRule="auto"/>
              <w:rPr>
                <w:rFonts w:ascii="Times New Roman" w:hAnsi="Times New Roman" w:cs="Times New Roman"/>
                <w:b/>
                <w:bCs/>
                <w:noProof/>
                <w:color w:val="0D0D0D" w:themeColor="text1" w:themeTint="F2"/>
                <w:sz w:val="24"/>
                <w:szCs w:val="24"/>
              </w:rPr>
            </w:pPr>
            <w:r w:rsidRPr="003C6DBD">
              <w:rPr>
                <w:rFonts w:ascii="Times New Roman" w:hAnsi="Times New Roman" w:cs="Times New Roman"/>
                <w:b/>
                <w:bCs/>
                <w:noProof/>
                <w:color w:val="0D0D0D" w:themeColor="text1" w:themeTint="F2"/>
                <w:sz w:val="24"/>
                <w:szCs w:val="24"/>
              </w:rPr>
              <w:t>Risk categories</w:t>
            </w:r>
          </w:p>
        </w:tc>
        <w:tc>
          <w:tcPr>
            <w:tcW w:w="1870" w:type="dxa"/>
            <w:tcBorders>
              <w:top w:val="single" w:sz="4" w:space="0" w:color="auto"/>
              <w:bottom w:val="single" w:sz="4" w:space="0" w:color="auto"/>
            </w:tcBorders>
          </w:tcPr>
          <w:p w14:paraId="4FA6E637" w14:textId="77777777" w:rsidR="00E45DE9" w:rsidRPr="003C6DBD" w:rsidRDefault="00E45DE9" w:rsidP="003117FC">
            <w:pPr>
              <w:spacing w:line="480" w:lineRule="auto"/>
              <w:rPr>
                <w:rFonts w:ascii="Times New Roman" w:hAnsi="Times New Roman" w:cs="Times New Roman"/>
                <w:b/>
                <w:bCs/>
                <w:noProof/>
                <w:color w:val="0D0D0D" w:themeColor="text1" w:themeTint="F2"/>
                <w:sz w:val="24"/>
                <w:szCs w:val="24"/>
              </w:rPr>
            </w:pPr>
            <w:r w:rsidRPr="003C6DBD">
              <w:rPr>
                <w:rFonts w:ascii="Times New Roman" w:hAnsi="Times New Roman" w:cs="Times New Roman"/>
                <w:b/>
                <w:bCs/>
                <w:noProof/>
                <w:color w:val="0D0D0D" w:themeColor="text1" w:themeTint="F2"/>
                <w:sz w:val="24"/>
                <w:szCs w:val="24"/>
              </w:rPr>
              <w:t>2018</w:t>
            </w:r>
          </w:p>
        </w:tc>
        <w:tc>
          <w:tcPr>
            <w:tcW w:w="1870" w:type="dxa"/>
            <w:tcBorders>
              <w:top w:val="single" w:sz="4" w:space="0" w:color="auto"/>
              <w:bottom w:val="single" w:sz="4" w:space="0" w:color="auto"/>
            </w:tcBorders>
          </w:tcPr>
          <w:p w14:paraId="50DAA658" w14:textId="77777777" w:rsidR="00E45DE9" w:rsidRPr="003C6DBD" w:rsidRDefault="00E45DE9" w:rsidP="003117FC">
            <w:pPr>
              <w:spacing w:line="480" w:lineRule="auto"/>
              <w:rPr>
                <w:rFonts w:ascii="Times New Roman" w:hAnsi="Times New Roman" w:cs="Times New Roman"/>
                <w:b/>
                <w:bCs/>
                <w:noProof/>
                <w:color w:val="0D0D0D" w:themeColor="text1" w:themeTint="F2"/>
                <w:sz w:val="24"/>
                <w:szCs w:val="24"/>
              </w:rPr>
            </w:pPr>
            <w:r w:rsidRPr="003C6DBD">
              <w:rPr>
                <w:rFonts w:ascii="Times New Roman" w:hAnsi="Times New Roman" w:cs="Times New Roman"/>
                <w:b/>
                <w:bCs/>
                <w:noProof/>
                <w:color w:val="0D0D0D" w:themeColor="text1" w:themeTint="F2"/>
                <w:sz w:val="24"/>
                <w:szCs w:val="24"/>
              </w:rPr>
              <w:t>2019</w:t>
            </w:r>
          </w:p>
        </w:tc>
        <w:tc>
          <w:tcPr>
            <w:tcW w:w="1870" w:type="dxa"/>
            <w:tcBorders>
              <w:top w:val="single" w:sz="4" w:space="0" w:color="auto"/>
              <w:bottom w:val="single" w:sz="4" w:space="0" w:color="auto"/>
            </w:tcBorders>
          </w:tcPr>
          <w:p w14:paraId="6F2C5A0E" w14:textId="77777777" w:rsidR="00E45DE9" w:rsidRPr="003C6DBD" w:rsidRDefault="00E45DE9" w:rsidP="003117FC">
            <w:pPr>
              <w:spacing w:line="480" w:lineRule="auto"/>
              <w:rPr>
                <w:rFonts w:ascii="Times New Roman" w:hAnsi="Times New Roman" w:cs="Times New Roman"/>
                <w:b/>
                <w:bCs/>
                <w:noProof/>
                <w:color w:val="0D0D0D" w:themeColor="text1" w:themeTint="F2"/>
                <w:sz w:val="24"/>
                <w:szCs w:val="24"/>
              </w:rPr>
            </w:pPr>
            <w:r w:rsidRPr="003C6DBD">
              <w:rPr>
                <w:rFonts w:ascii="Times New Roman" w:hAnsi="Times New Roman" w:cs="Times New Roman"/>
                <w:b/>
                <w:bCs/>
                <w:noProof/>
                <w:color w:val="0D0D0D" w:themeColor="text1" w:themeTint="F2"/>
                <w:sz w:val="24"/>
                <w:szCs w:val="24"/>
              </w:rPr>
              <w:t>2020</w:t>
            </w:r>
          </w:p>
        </w:tc>
        <w:tc>
          <w:tcPr>
            <w:tcW w:w="1870" w:type="dxa"/>
            <w:tcBorders>
              <w:top w:val="single" w:sz="4" w:space="0" w:color="auto"/>
              <w:bottom w:val="single" w:sz="4" w:space="0" w:color="auto"/>
            </w:tcBorders>
          </w:tcPr>
          <w:p w14:paraId="1387ADFF" w14:textId="77777777" w:rsidR="00E45DE9" w:rsidRPr="003C6DBD" w:rsidRDefault="00E45DE9" w:rsidP="003117FC">
            <w:pPr>
              <w:spacing w:line="480" w:lineRule="auto"/>
              <w:rPr>
                <w:rFonts w:ascii="Times New Roman" w:hAnsi="Times New Roman" w:cs="Times New Roman"/>
                <w:b/>
                <w:bCs/>
                <w:noProof/>
                <w:color w:val="0D0D0D" w:themeColor="text1" w:themeTint="F2"/>
                <w:sz w:val="24"/>
                <w:szCs w:val="24"/>
              </w:rPr>
            </w:pPr>
            <w:r w:rsidRPr="003C6DBD">
              <w:rPr>
                <w:rFonts w:ascii="Times New Roman" w:hAnsi="Times New Roman" w:cs="Times New Roman"/>
                <w:b/>
                <w:bCs/>
                <w:noProof/>
                <w:color w:val="0D0D0D" w:themeColor="text1" w:themeTint="F2"/>
                <w:sz w:val="24"/>
                <w:szCs w:val="24"/>
              </w:rPr>
              <w:t>2021</w:t>
            </w:r>
          </w:p>
        </w:tc>
      </w:tr>
      <w:tr w:rsidR="00D21393" w:rsidRPr="003C6DBD" w14:paraId="35DE938B" w14:textId="77777777" w:rsidTr="003117FC">
        <w:tc>
          <w:tcPr>
            <w:tcW w:w="1870" w:type="dxa"/>
            <w:tcBorders>
              <w:top w:val="single" w:sz="4" w:space="0" w:color="auto"/>
            </w:tcBorders>
          </w:tcPr>
          <w:p w14:paraId="1D3310BB"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 xml:space="preserve">Political </w:t>
            </w:r>
          </w:p>
        </w:tc>
        <w:tc>
          <w:tcPr>
            <w:tcW w:w="1870" w:type="dxa"/>
            <w:tcBorders>
              <w:top w:val="single" w:sz="4" w:space="0" w:color="auto"/>
            </w:tcBorders>
          </w:tcPr>
          <w:p w14:paraId="4B1584C3"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GNR, BFR</w:t>
            </w:r>
          </w:p>
        </w:tc>
        <w:tc>
          <w:tcPr>
            <w:tcW w:w="1870" w:type="dxa"/>
            <w:tcBorders>
              <w:top w:val="single" w:sz="4" w:space="0" w:color="auto"/>
            </w:tcBorders>
          </w:tcPr>
          <w:p w14:paraId="13931AD6"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GNR, BFR</w:t>
            </w:r>
          </w:p>
        </w:tc>
        <w:tc>
          <w:tcPr>
            <w:tcW w:w="1870" w:type="dxa"/>
            <w:tcBorders>
              <w:top w:val="single" w:sz="4" w:space="0" w:color="auto"/>
            </w:tcBorders>
          </w:tcPr>
          <w:p w14:paraId="0D795019"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BFR</w:t>
            </w:r>
          </w:p>
        </w:tc>
        <w:tc>
          <w:tcPr>
            <w:tcW w:w="1870" w:type="dxa"/>
            <w:tcBorders>
              <w:top w:val="single" w:sz="4" w:space="0" w:color="auto"/>
            </w:tcBorders>
          </w:tcPr>
          <w:p w14:paraId="02028615"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BFR</w:t>
            </w:r>
          </w:p>
        </w:tc>
      </w:tr>
      <w:tr w:rsidR="00D21393" w:rsidRPr="003C6DBD" w14:paraId="33B220CF" w14:textId="77777777" w:rsidTr="003117FC">
        <w:tc>
          <w:tcPr>
            <w:tcW w:w="1870" w:type="dxa"/>
          </w:tcPr>
          <w:p w14:paraId="36CF1304"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Economic</w:t>
            </w:r>
          </w:p>
        </w:tc>
        <w:tc>
          <w:tcPr>
            <w:tcW w:w="1870" w:type="dxa"/>
          </w:tcPr>
          <w:p w14:paraId="411950ED"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GEC, MRF</w:t>
            </w:r>
          </w:p>
        </w:tc>
        <w:tc>
          <w:tcPr>
            <w:tcW w:w="1870" w:type="dxa"/>
          </w:tcPr>
          <w:p w14:paraId="03427116"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GEC, MRF</w:t>
            </w:r>
          </w:p>
        </w:tc>
        <w:tc>
          <w:tcPr>
            <w:tcW w:w="1870" w:type="dxa"/>
          </w:tcPr>
          <w:p w14:paraId="26F91C6E"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GEC</w:t>
            </w:r>
          </w:p>
        </w:tc>
        <w:tc>
          <w:tcPr>
            <w:tcW w:w="1870" w:type="dxa"/>
          </w:tcPr>
          <w:p w14:paraId="3DC46DB9"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GEC</w:t>
            </w:r>
          </w:p>
        </w:tc>
      </w:tr>
      <w:tr w:rsidR="00D21393" w:rsidRPr="003C6DBD" w14:paraId="2CA631E7" w14:textId="77777777" w:rsidTr="003117FC">
        <w:tc>
          <w:tcPr>
            <w:tcW w:w="1870" w:type="dxa"/>
          </w:tcPr>
          <w:p w14:paraId="53A16D6E"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Social</w:t>
            </w:r>
          </w:p>
        </w:tc>
        <w:tc>
          <w:tcPr>
            <w:tcW w:w="1870" w:type="dxa"/>
          </w:tcPr>
          <w:p w14:paraId="72EFF2B2"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p>
        </w:tc>
        <w:tc>
          <w:tcPr>
            <w:tcW w:w="1870" w:type="dxa"/>
          </w:tcPr>
          <w:p w14:paraId="7A3E796B"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p>
        </w:tc>
        <w:tc>
          <w:tcPr>
            <w:tcW w:w="1870" w:type="dxa"/>
          </w:tcPr>
          <w:p w14:paraId="49C4E74C"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p>
        </w:tc>
        <w:tc>
          <w:tcPr>
            <w:tcW w:w="1870" w:type="dxa"/>
          </w:tcPr>
          <w:p w14:paraId="21EA17F7"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p>
        </w:tc>
      </w:tr>
      <w:tr w:rsidR="00D21393" w:rsidRPr="003C6DBD" w14:paraId="07A860C3" w14:textId="77777777" w:rsidTr="003117FC">
        <w:tc>
          <w:tcPr>
            <w:tcW w:w="1870" w:type="dxa"/>
          </w:tcPr>
          <w:p w14:paraId="7ED53638"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 xml:space="preserve">Technological </w:t>
            </w:r>
          </w:p>
        </w:tc>
        <w:tc>
          <w:tcPr>
            <w:tcW w:w="1870" w:type="dxa"/>
          </w:tcPr>
          <w:p w14:paraId="548DF13D"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p>
        </w:tc>
        <w:tc>
          <w:tcPr>
            <w:tcW w:w="1870" w:type="dxa"/>
          </w:tcPr>
          <w:p w14:paraId="646C8467"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p>
        </w:tc>
        <w:tc>
          <w:tcPr>
            <w:tcW w:w="1870" w:type="dxa"/>
          </w:tcPr>
          <w:p w14:paraId="32205C0E"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p>
        </w:tc>
        <w:tc>
          <w:tcPr>
            <w:tcW w:w="1870" w:type="dxa"/>
          </w:tcPr>
          <w:p w14:paraId="1E78497F"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p>
        </w:tc>
      </w:tr>
      <w:tr w:rsidR="00D21393" w:rsidRPr="003C6DBD" w14:paraId="0F17E9D8" w14:textId="77777777" w:rsidTr="003117FC">
        <w:tc>
          <w:tcPr>
            <w:tcW w:w="1870" w:type="dxa"/>
          </w:tcPr>
          <w:p w14:paraId="6194C139"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Primary Activities</w:t>
            </w:r>
          </w:p>
        </w:tc>
        <w:tc>
          <w:tcPr>
            <w:tcW w:w="1870" w:type="dxa"/>
          </w:tcPr>
          <w:p w14:paraId="22C5A43D"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PRO</w:t>
            </w:r>
          </w:p>
        </w:tc>
        <w:tc>
          <w:tcPr>
            <w:tcW w:w="1870" w:type="dxa"/>
          </w:tcPr>
          <w:p w14:paraId="133A8DA8"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PRO</w:t>
            </w:r>
          </w:p>
        </w:tc>
        <w:tc>
          <w:tcPr>
            <w:tcW w:w="1870" w:type="dxa"/>
          </w:tcPr>
          <w:p w14:paraId="4859232C"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PRO</w:t>
            </w:r>
          </w:p>
        </w:tc>
        <w:tc>
          <w:tcPr>
            <w:tcW w:w="1870" w:type="dxa"/>
          </w:tcPr>
          <w:p w14:paraId="1EA73138"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PRO</w:t>
            </w:r>
          </w:p>
        </w:tc>
      </w:tr>
      <w:tr w:rsidR="00E45DE9" w:rsidRPr="003C6DBD" w14:paraId="020DC367" w14:textId="77777777" w:rsidTr="003117FC">
        <w:tc>
          <w:tcPr>
            <w:tcW w:w="1870" w:type="dxa"/>
          </w:tcPr>
          <w:p w14:paraId="2372B54C"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Support Activities</w:t>
            </w:r>
          </w:p>
        </w:tc>
        <w:tc>
          <w:tcPr>
            <w:tcW w:w="1870" w:type="dxa"/>
          </w:tcPr>
          <w:p w14:paraId="02A1F66F"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RKM, FIN, CON</w:t>
            </w:r>
          </w:p>
        </w:tc>
        <w:tc>
          <w:tcPr>
            <w:tcW w:w="1870" w:type="dxa"/>
          </w:tcPr>
          <w:p w14:paraId="1A77C14A"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RKM, FIN, CON</w:t>
            </w:r>
          </w:p>
        </w:tc>
        <w:tc>
          <w:tcPr>
            <w:tcW w:w="1870" w:type="dxa"/>
          </w:tcPr>
          <w:p w14:paraId="7F3EF9DD"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RKM, FIN, CON</w:t>
            </w:r>
          </w:p>
        </w:tc>
        <w:tc>
          <w:tcPr>
            <w:tcW w:w="1870" w:type="dxa"/>
          </w:tcPr>
          <w:p w14:paraId="2E049D28" w14:textId="77777777" w:rsidR="00E45DE9" w:rsidRPr="003C6DBD" w:rsidRDefault="00E45DE9"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RKM, FIN, CON</w:t>
            </w:r>
          </w:p>
        </w:tc>
      </w:tr>
    </w:tbl>
    <w:p w14:paraId="650DFEE9" w14:textId="77777777" w:rsidR="00E45DE9" w:rsidRPr="003C6DBD" w:rsidRDefault="00E45DE9" w:rsidP="00E45DE9">
      <w:pPr>
        <w:pStyle w:val="comp"/>
        <w:spacing w:before="0" w:beforeAutospacing="0" w:after="160" w:afterAutospacing="0" w:line="480" w:lineRule="auto"/>
        <w:rPr>
          <w:rFonts w:eastAsiaTheme="minorHAnsi"/>
          <w:color w:val="0D0D0D" w:themeColor="text1" w:themeTint="F2"/>
        </w:rPr>
      </w:pPr>
    </w:p>
    <w:p w14:paraId="64F92F33" w14:textId="77777777" w:rsidR="00E45DE9" w:rsidRPr="003C6DBD" w:rsidRDefault="00E45DE9" w:rsidP="00E45DE9">
      <w:pPr>
        <w:pStyle w:val="comp"/>
        <w:spacing w:before="0" w:beforeAutospacing="0" w:after="160" w:afterAutospacing="0" w:line="480" w:lineRule="auto"/>
        <w:rPr>
          <w:rFonts w:eastAsiaTheme="minorHAnsi"/>
          <w:color w:val="0D0D0D" w:themeColor="text1" w:themeTint="F2"/>
        </w:rPr>
      </w:pPr>
    </w:p>
    <w:bookmarkEnd w:id="71"/>
    <w:p w14:paraId="5E84103D" w14:textId="6F9E49EF" w:rsidR="00E45DE9" w:rsidRPr="003C6DBD" w:rsidRDefault="00E45DE9" w:rsidP="00E45DE9">
      <w:pPr>
        <w:pStyle w:val="Caption"/>
        <w:keepNext/>
        <w:rPr>
          <w:rFonts w:ascii="Times New Roman" w:hAnsi="Times New Roman" w:cs="Times New Roman"/>
          <w:color w:val="0D0D0D" w:themeColor="text1" w:themeTint="F2"/>
          <w:sz w:val="24"/>
          <w:szCs w:val="24"/>
        </w:rPr>
      </w:pPr>
    </w:p>
    <w:p w14:paraId="46B60F22" w14:textId="77777777" w:rsidR="005733AE" w:rsidRPr="003C6DBD" w:rsidRDefault="005733AE" w:rsidP="005733AE">
      <w:pPr>
        <w:rPr>
          <w:rFonts w:ascii="Times New Roman" w:hAnsi="Times New Roman" w:cs="Times New Roman"/>
          <w:color w:val="0D0D0D" w:themeColor="text1" w:themeTint="F2"/>
          <w:sz w:val="24"/>
          <w:szCs w:val="24"/>
        </w:rPr>
      </w:pPr>
    </w:p>
    <w:p w14:paraId="37BE062B" w14:textId="77777777" w:rsidR="005733AE" w:rsidRPr="003C6DBD" w:rsidRDefault="005733AE" w:rsidP="005733AE">
      <w:pPr>
        <w:rPr>
          <w:rFonts w:ascii="Times New Roman" w:hAnsi="Times New Roman" w:cs="Times New Roman"/>
          <w:color w:val="0D0D0D" w:themeColor="text1" w:themeTint="F2"/>
          <w:sz w:val="24"/>
          <w:szCs w:val="24"/>
        </w:rPr>
      </w:pPr>
    </w:p>
    <w:p w14:paraId="568A598C" w14:textId="77777777" w:rsidR="005733AE" w:rsidRPr="003C6DBD" w:rsidRDefault="005733AE" w:rsidP="005733AE">
      <w:pPr>
        <w:rPr>
          <w:rFonts w:ascii="Times New Roman" w:hAnsi="Times New Roman" w:cs="Times New Roman"/>
          <w:color w:val="0D0D0D" w:themeColor="text1" w:themeTint="F2"/>
          <w:sz w:val="24"/>
          <w:szCs w:val="24"/>
        </w:rPr>
      </w:pPr>
    </w:p>
    <w:p w14:paraId="7CDFD09C" w14:textId="77777777" w:rsidR="005733AE" w:rsidRPr="003C6DBD" w:rsidRDefault="005733AE" w:rsidP="003117FC">
      <w:pPr>
        <w:spacing w:line="480" w:lineRule="auto"/>
        <w:rPr>
          <w:rFonts w:ascii="Times New Roman" w:hAnsi="Times New Roman" w:cs="Times New Roman"/>
          <w:color w:val="0D0D0D" w:themeColor="text1" w:themeTint="F2"/>
          <w:sz w:val="24"/>
          <w:szCs w:val="24"/>
        </w:rPr>
        <w:sectPr w:rsidR="005733AE" w:rsidRPr="003C6DBD" w:rsidSect="005733AE">
          <w:pgSz w:w="12240" w:h="15840"/>
          <w:pgMar w:top="1440" w:right="1440" w:bottom="1440" w:left="1440" w:header="720" w:footer="720" w:gutter="0"/>
          <w:cols w:space="720"/>
          <w:docGrid w:linePitch="360"/>
        </w:sectPr>
      </w:pPr>
    </w:p>
    <w:tbl>
      <w:tblPr>
        <w:tblStyle w:val="TableGrid"/>
        <w:tblW w:w="105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6"/>
        <w:gridCol w:w="5256"/>
      </w:tblGrid>
      <w:tr w:rsidR="00D21393" w:rsidRPr="003C6DBD" w14:paraId="5E3B34BC" w14:textId="77777777" w:rsidTr="003117FC">
        <w:trPr>
          <w:trHeight w:val="3788"/>
        </w:trPr>
        <w:tc>
          <w:tcPr>
            <w:tcW w:w="5256" w:type="dxa"/>
          </w:tcPr>
          <w:p w14:paraId="0B6FD652"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lastRenderedPageBreak/>
              <w:drawing>
                <wp:inline distT="0" distB="0" distL="0" distR="0" wp14:anchorId="44EAB872" wp14:editId="5B189AB6">
                  <wp:extent cx="3200400" cy="2286000"/>
                  <wp:effectExtent l="0" t="0" r="0" b="0"/>
                  <wp:docPr id="242" name="Chart 242">
                    <a:extLst xmlns:a="http://schemas.openxmlformats.org/drawingml/2006/main">
                      <a:ext uri="{FF2B5EF4-FFF2-40B4-BE49-F238E27FC236}">
                        <a16:creationId xmlns:a16="http://schemas.microsoft.com/office/drawing/2014/main" id="{CA55C96A-AB70-486C-BD1E-689F682057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tc>
        <w:tc>
          <w:tcPr>
            <w:tcW w:w="5256" w:type="dxa"/>
          </w:tcPr>
          <w:p w14:paraId="5C7DB951"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11F2388D" wp14:editId="66415571">
                  <wp:extent cx="3200400" cy="2286000"/>
                  <wp:effectExtent l="0" t="0" r="0" b="0"/>
                  <wp:docPr id="246" name="Chart 246">
                    <a:extLst xmlns:a="http://schemas.openxmlformats.org/drawingml/2006/main">
                      <a:ext uri="{FF2B5EF4-FFF2-40B4-BE49-F238E27FC236}">
                        <a16:creationId xmlns:a16="http://schemas.microsoft.com/office/drawing/2014/main" id="{2B727DB1-04C5-41A0-BAD6-F949168646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tc>
      </w:tr>
      <w:tr w:rsidR="00D21393" w:rsidRPr="003C6DBD" w14:paraId="777CAD9E" w14:textId="77777777" w:rsidTr="003117FC">
        <w:trPr>
          <w:trHeight w:val="562"/>
        </w:trPr>
        <w:tc>
          <w:tcPr>
            <w:tcW w:w="5256" w:type="dxa"/>
          </w:tcPr>
          <w:p w14:paraId="2063081C"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2F27986C" wp14:editId="1D0F456C">
                  <wp:extent cx="3200400" cy="2286000"/>
                  <wp:effectExtent l="0" t="0" r="0" b="0"/>
                  <wp:docPr id="243" name="Chart 243">
                    <a:extLst xmlns:a="http://schemas.openxmlformats.org/drawingml/2006/main">
                      <a:ext uri="{FF2B5EF4-FFF2-40B4-BE49-F238E27FC236}">
                        <a16:creationId xmlns:a16="http://schemas.microsoft.com/office/drawing/2014/main" id="{22CA5873-0004-42DE-B11F-38DEE1E436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tc>
        <w:tc>
          <w:tcPr>
            <w:tcW w:w="5256" w:type="dxa"/>
          </w:tcPr>
          <w:p w14:paraId="123ADEA9"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6DE70012" wp14:editId="51FAA973">
                  <wp:extent cx="3200400" cy="2286000"/>
                  <wp:effectExtent l="0" t="0" r="0" b="0"/>
                  <wp:docPr id="247" name="Chart 247">
                    <a:extLst xmlns:a="http://schemas.openxmlformats.org/drawingml/2006/main">
                      <a:ext uri="{FF2B5EF4-FFF2-40B4-BE49-F238E27FC236}">
                        <a16:creationId xmlns:a16="http://schemas.microsoft.com/office/drawing/2014/main" id="{38F22998-6E3C-475A-AAE5-6DA4F42B77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tc>
      </w:tr>
      <w:tr w:rsidR="00B5331C" w:rsidRPr="003C6DBD" w14:paraId="49849B39" w14:textId="77777777" w:rsidTr="00E93331">
        <w:trPr>
          <w:trHeight w:val="562"/>
        </w:trPr>
        <w:tc>
          <w:tcPr>
            <w:tcW w:w="10512" w:type="dxa"/>
            <w:gridSpan w:val="2"/>
          </w:tcPr>
          <w:p w14:paraId="10FEE00F" w14:textId="77777777" w:rsidR="00B5331C" w:rsidRPr="003C6DBD" w:rsidRDefault="00B5331C" w:rsidP="00B5331C">
            <w:pPr>
              <w:pStyle w:val="Caption"/>
              <w:rPr>
                <w:rFonts w:ascii="Times New Roman" w:hAnsi="Times New Roman" w:cs="Times New Roman"/>
                <w:color w:val="0D0D0D" w:themeColor="text1" w:themeTint="F2"/>
                <w:sz w:val="24"/>
                <w:szCs w:val="24"/>
              </w:rPr>
            </w:pPr>
            <w:bookmarkStart w:id="74" w:name="_Toc132974486"/>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noProof/>
                <w:color w:val="0D0D0D" w:themeColor="text1" w:themeTint="F2"/>
                <w:sz w:val="24"/>
                <w:szCs w:val="24"/>
              </w:rPr>
              <w:t>7</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Comparison of political risks between primary biofuel and secondary biofuel companies.</w:t>
            </w:r>
            <w:bookmarkEnd w:id="74"/>
          </w:p>
          <w:p w14:paraId="06997E08" w14:textId="77777777" w:rsidR="00B5331C" w:rsidRPr="003C6DBD" w:rsidRDefault="00B5331C" w:rsidP="003117FC">
            <w:pPr>
              <w:spacing w:line="480" w:lineRule="auto"/>
              <w:rPr>
                <w:rFonts w:ascii="Times New Roman" w:hAnsi="Times New Roman" w:cs="Times New Roman"/>
                <w:noProof/>
                <w:color w:val="0D0D0D" w:themeColor="text1" w:themeTint="F2"/>
                <w:sz w:val="24"/>
                <w:szCs w:val="24"/>
              </w:rPr>
            </w:pPr>
          </w:p>
        </w:tc>
      </w:tr>
      <w:tr w:rsidR="00D21393" w:rsidRPr="003C6DBD" w14:paraId="2372F5FC" w14:textId="77777777" w:rsidTr="003117FC">
        <w:trPr>
          <w:trHeight w:val="562"/>
        </w:trPr>
        <w:tc>
          <w:tcPr>
            <w:tcW w:w="5256" w:type="dxa"/>
          </w:tcPr>
          <w:p w14:paraId="051D7765"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lastRenderedPageBreak/>
              <w:drawing>
                <wp:inline distT="0" distB="0" distL="0" distR="0" wp14:anchorId="184384CF" wp14:editId="714ABF7B">
                  <wp:extent cx="3200400" cy="2286000"/>
                  <wp:effectExtent l="0" t="0" r="0" b="0"/>
                  <wp:docPr id="244" name="Chart 244">
                    <a:extLst xmlns:a="http://schemas.openxmlformats.org/drawingml/2006/main">
                      <a:ext uri="{FF2B5EF4-FFF2-40B4-BE49-F238E27FC236}">
                        <a16:creationId xmlns:a16="http://schemas.microsoft.com/office/drawing/2014/main" id="{2C5BF5D6-22E8-4137-AE16-CA87AC034A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tc>
        <w:tc>
          <w:tcPr>
            <w:tcW w:w="5256" w:type="dxa"/>
          </w:tcPr>
          <w:p w14:paraId="567A0DDF"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5BA0BA0F" wp14:editId="400EAC56">
                  <wp:extent cx="3200400" cy="2286000"/>
                  <wp:effectExtent l="0" t="0" r="0" b="0"/>
                  <wp:docPr id="248" name="Chart 248">
                    <a:extLst xmlns:a="http://schemas.openxmlformats.org/drawingml/2006/main">
                      <a:ext uri="{FF2B5EF4-FFF2-40B4-BE49-F238E27FC236}">
                        <a16:creationId xmlns:a16="http://schemas.microsoft.com/office/drawing/2014/main" id="{E6B26854-F6B0-4D72-A56B-AFD48F451C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tc>
      </w:tr>
      <w:tr w:rsidR="00D21393" w:rsidRPr="003C6DBD" w14:paraId="761F9B91" w14:textId="77777777" w:rsidTr="003117FC">
        <w:trPr>
          <w:trHeight w:val="562"/>
        </w:trPr>
        <w:tc>
          <w:tcPr>
            <w:tcW w:w="5256" w:type="dxa"/>
          </w:tcPr>
          <w:p w14:paraId="0C539373"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0DF645BF" wp14:editId="3BDE7672">
                  <wp:extent cx="3200400" cy="2286000"/>
                  <wp:effectExtent l="0" t="0" r="0" b="0"/>
                  <wp:docPr id="245" name="Chart 245">
                    <a:extLst xmlns:a="http://schemas.openxmlformats.org/drawingml/2006/main">
                      <a:ext uri="{FF2B5EF4-FFF2-40B4-BE49-F238E27FC236}">
                        <a16:creationId xmlns:a16="http://schemas.microsoft.com/office/drawing/2014/main" id="{77224199-144B-4780-A021-250325878D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tc>
        <w:tc>
          <w:tcPr>
            <w:tcW w:w="5256" w:type="dxa"/>
          </w:tcPr>
          <w:p w14:paraId="7D4C6084" w14:textId="77777777" w:rsidR="00E45DE9" w:rsidRPr="003C6DBD" w:rsidRDefault="00E45DE9" w:rsidP="005733AE">
            <w:pPr>
              <w:keepNext/>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6072C6E2" wp14:editId="2E44B347">
                  <wp:extent cx="3200400" cy="2286000"/>
                  <wp:effectExtent l="0" t="0" r="0" b="0"/>
                  <wp:docPr id="249" name="Chart 249">
                    <a:extLst xmlns:a="http://schemas.openxmlformats.org/drawingml/2006/main">
                      <a:ext uri="{FF2B5EF4-FFF2-40B4-BE49-F238E27FC236}">
                        <a16:creationId xmlns:a16="http://schemas.microsoft.com/office/drawing/2014/main" id="{76007650-D861-44EE-B088-A84E602C64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tc>
      </w:tr>
    </w:tbl>
    <w:p w14:paraId="359FEE01" w14:textId="0F72FF98" w:rsidR="00E45DE9" w:rsidRPr="003C6DBD" w:rsidRDefault="005733AE" w:rsidP="005733AE">
      <w:pPr>
        <w:pStyle w:val="Caption"/>
        <w:rPr>
          <w:rFonts w:ascii="Times New Roman" w:hAnsi="Times New Roman" w:cs="Times New Roman"/>
          <w:color w:val="0D0D0D" w:themeColor="text1" w:themeTint="F2"/>
          <w:sz w:val="24"/>
          <w:szCs w:val="24"/>
        </w:rPr>
      </w:pPr>
      <w:bookmarkStart w:id="75" w:name="_Toc132974487"/>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00E94FA5" w:rsidRPr="003C6DBD">
        <w:rPr>
          <w:rFonts w:ascii="Times New Roman" w:hAnsi="Times New Roman" w:cs="Times New Roman"/>
          <w:noProof/>
          <w:color w:val="0D0D0D" w:themeColor="text1" w:themeTint="F2"/>
          <w:sz w:val="24"/>
          <w:szCs w:val="24"/>
        </w:rPr>
        <w:t>7</w:t>
      </w:r>
      <w:r w:rsidRPr="003C6DBD">
        <w:rPr>
          <w:rFonts w:ascii="Times New Roman" w:hAnsi="Times New Roman" w:cs="Times New Roman"/>
          <w:color w:val="0D0D0D" w:themeColor="text1" w:themeTint="F2"/>
          <w:sz w:val="24"/>
          <w:szCs w:val="24"/>
        </w:rPr>
        <w:fldChar w:fldCharType="end"/>
      </w:r>
      <w:r w:rsidR="00B5331C">
        <w:rPr>
          <w:rFonts w:ascii="Times New Roman" w:hAnsi="Times New Roman" w:cs="Times New Roman"/>
          <w:color w:val="0D0D0D" w:themeColor="text1" w:themeTint="F2"/>
          <w:sz w:val="24"/>
          <w:szCs w:val="24"/>
        </w:rPr>
        <w:t xml:space="preserve"> continued</w:t>
      </w:r>
      <w:r w:rsidR="00CA3645">
        <w:rPr>
          <w:rFonts w:ascii="Times New Roman" w:hAnsi="Times New Roman" w:cs="Times New Roman"/>
          <w:color w:val="0D0D0D" w:themeColor="text1" w:themeTint="F2"/>
          <w:sz w:val="24"/>
          <w:szCs w:val="24"/>
        </w:rPr>
        <w:t>.</w:t>
      </w:r>
      <w:bookmarkEnd w:id="75"/>
    </w:p>
    <w:p w14:paraId="537A7E98" w14:textId="09E3F527" w:rsidR="00E45DE9" w:rsidRPr="003C6DBD" w:rsidRDefault="00E45DE9" w:rsidP="00E45DE9">
      <w:pPr>
        <w:pStyle w:val="Caption"/>
        <w:keepNext/>
        <w:rPr>
          <w:rFonts w:ascii="Times New Roman" w:hAnsi="Times New Roman" w:cs="Times New Roman"/>
          <w:color w:val="0D0D0D" w:themeColor="text1" w:themeTint="F2"/>
          <w:sz w:val="24"/>
          <w:szCs w:val="24"/>
        </w:rPr>
      </w:pPr>
    </w:p>
    <w:p w14:paraId="7AD1CB06" w14:textId="77777777" w:rsidR="005733AE" w:rsidRPr="003C6DBD" w:rsidRDefault="005733AE" w:rsidP="005733AE">
      <w:pPr>
        <w:rPr>
          <w:rFonts w:ascii="Times New Roman" w:hAnsi="Times New Roman" w:cs="Times New Roman"/>
          <w:color w:val="0D0D0D" w:themeColor="text1" w:themeTint="F2"/>
          <w:sz w:val="24"/>
          <w:szCs w:val="24"/>
        </w:rPr>
      </w:pPr>
    </w:p>
    <w:p w14:paraId="461FCF8F" w14:textId="77777777" w:rsidR="005733AE" w:rsidRPr="003C6DBD" w:rsidRDefault="005733AE" w:rsidP="005733AE">
      <w:pPr>
        <w:rPr>
          <w:rFonts w:ascii="Times New Roman" w:hAnsi="Times New Roman" w:cs="Times New Roman"/>
          <w:color w:val="0D0D0D" w:themeColor="text1" w:themeTint="F2"/>
          <w:sz w:val="24"/>
          <w:szCs w:val="24"/>
        </w:rPr>
      </w:pPr>
    </w:p>
    <w:tbl>
      <w:tblPr>
        <w:tblStyle w:val="TableGrid"/>
        <w:tblW w:w="105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6"/>
        <w:gridCol w:w="5256"/>
      </w:tblGrid>
      <w:tr w:rsidR="00D21393" w:rsidRPr="003C6DBD" w14:paraId="72294153" w14:textId="77777777" w:rsidTr="003117FC">
        <w:trPr>
          <w:trHeight w:val="3788"/>
        </w:trPr>
        <w:tc>
          <w:tcPr>
            <w:tcW w:w="5256" w:type="dxa"/>
          </w:tcPr>
          <w:p w14:paraId="1D576C15"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1C9E8935" wp14:editId="090264A3">
                  <wp:extent cx="3200400" cy="2286000"/>
                  <wp:effectExtent l="0" t="0" r="0" b="0"/>
                  <wp:docPr id="250" name="Chart 250">
                    <a:extLst xmlns:a="http://schemas.openxmlformats.org/drawingml/2006/main">
                      <a:ext uri="{FF2B5EF4-FFF2-40B4-BE49-F238E27FC236}">
                        <a16:creationId xmlns:a16="http://schemas.microsoft.com/office/drawing/2014/main" id="{6DA807ED-6F26-4F23-B8AF-5834D2A2AF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tc>
        <w:tc>
          <w:tcPr>
            <w:tcW w:w="5256" w:type="dxa"/>
          </w:tcPr>
          <w:p w14:paraId="3DDA1375"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3BDB8566" wp14:editId="6F997F21">
                  <wp:extent cx="3200400" cy="2286000"/>
                  <wp:effectExtent l="0" t="0" r="0" b="0"/>
                  <wp:docPr id="254" name="Chart 254">
                    <a:extLst xmlns:a="http://schemas.openxmlformats.org/drawingml/2006/main">
                      <a:ext uri="{FF2B5EF4-FFF2-40B4-BE49-F238E27FC236}">
                        <a16:creationId xmlns:a16="http://schemas.microsoft.com/office/drawing/2014/main" id="{84ADC7E7-91E0-4A59-A18F-8343B95C37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tc>
      </w:tr>
      <w:tr w:rsidR="00D21393" w:rsidRPr="003C6DBD" w14:paraId="04EDC47F" w14:textId="77777777" w:rsidTr="003117FC">
        <w:trPr>
          <w:trHeight w:val="562"/>
        </w:trPr>
        <w:tc>
          <w:tcPr>
            <w:tcW w:w="5256" w:type="dxa"/>
          </w:tcPr>
          <w:p w14:paraId="33BBF47B"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6EAF1676" wp14:editId="4DFDA846">
                  <wp:extent cx="3200400" cy="2286000"/>
                  <wp:effectExtent l="0" t="0" r="0" b="0"/>
                  <wp:docPr id="251" name="Chart 251">
                    <a:extLst xmlns:a="http://schemas.openxmlformats.org/drawingml/2006/main">
                      <a:ext uri="{FF2B5EF4-FFF2-40B4-BE49-F238E27FC236}">
                        <a16:creationId xmlns:a16="http://schemas.microsoft.com/office/drawing/2014/main" id="{B00A69AB-1AD6-4EFE-8FAE-D2DE16B5A3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tc>
        <w:tc>
          <w:tcPr>
            <w:tcW w:w="5256" w:type="dxa"/>
          </w:tcPr>
          <w:p w14:paraId="4C9ED8BE"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172D6591" wp14:editId="439E20E0">
                  <wp:extent cx="3200400" cy="2286000"/>
                  <wp:effectExtent l="0" t="0" r="0" b="0"/>
                  <wp:docPr id="255" name="Chart 255">
                    <a:extLst xmlns:a="http://schemas.openxmlformats.org/drawingml/2006/main">
                      <a:ext uri="{FF2B5EF4-FFF2-40B4-BE49-F238E27FC236}">
                        <a16:creationId xmlns:a16="http://schemas.microsoft.com/office/drawing/2014/main" id="{BB7F01E5-437D-4389-863C-FFAD45E214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tc>
      </w:tr>
      <w:tr w:rsidR="008E4F95" w:rsidRPr="003C6DBD" w14:paraId="4F847F16" w14:textId="77777777" w:rsidTr="005E5504">
        <w:trPr>
          <w:trHeight w:val="562"/>
        </w:trPr>
        <w:tc>
          <w:tcPr>
            <w:tcW w:w="10512" w:type="dxa"/>
            <w:gridSpan w:val="2"/>
          </w:tcPr>
          <w:p w14:paraId="31CEAD53" w14:textId="77777777" w:rsidR="008E4F95" w:rsidRPr="003C6DBD" w:rsidRDefault="008E4F95" w:rsidP="008E4F95">
            <w:pPr>
              <w:pStyle w:val="Caption"/>
              <w:rPr>
                <w:rFonts w:ascii="Times New Roman" w:hAnsi="Times New Roman" w:cs="Times New Roman"/>
                <w:color w:val="0D0D0D" w:themeColor="text1" w:themeTint="F2"/>
                <w:sz w:val="24"/>
                <w:szCs w:val="24"/>
              </w:rPr>
            </w:pPr>
            <w:bookmarkStart w:id="76" w:name="_Toc132974488"/>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noProof/>
                <w:color w:val="0D0D0D" w:themeColor="text1" w:themeTint="F2"/>
                <w:sz w:val="24"/>
                <w:szCs w:val="24"/>
              </w:rPr>
              <w:t>8</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Comparison of economic risks between primary biofuel and secondary biofuel companies.</w:t>
            </w:r>
            <w:bookmarkEnd w:id="76"/>
          </w:p>
          <w:p w14:paraId="44320F5F" w14:textId="77777777" w:rsidR="008E4F95" w:rsidRPr="003C6DBD" w:rsidRDefault="008E4F95" w:rsidP="003117FC">
            <w:pPr>
              <w:spacing w:line="480" w:lineRule="auto"/>
              <w:rPr>
                <w:rFonts w:ascii="Times New Roman" w:hAnsi="Times New Roman" w:cs="Times New Roman"/>
                <w:noProof/>
                <w:color w:val="0D0D0D" w:themeColor="text1" w:themeTint="F2"/>
                <w:sz w:val="24"/>
                <w:szCs w:val="24"/>
              </w:rPr>
            </w:pPr>
          </w:p>
        </w:tc>
      </w:tr>
      <w:tr w:rsidR="00D21393" w:rsidRPr="003C6DBD" w14:paraId="2D1F38AF" w14:textId="77777777" w:rsidTr="003117FC">
        <w:trPr>
          <w:trHeight w:val="562"/>
        </w:trPr>
        <w:tc>
          <w:tcPr>
            <w:tcW w:w="5256" w:type="dxa"/>
          </w:tcPr>
          <w:p w14:paraId="3097FCF3"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lastRenderedPageBreak/>
              <w:drawing>
                <wp:inline distT="0" distB="0" distL="0" distR="0" wp14:anchorId="246009DE" wp14:editId="136750FC">
                  <wp:extent cx="3200400" cy="2286000"/>
                  <wp:effectExtent l="0" t="0" r="0" b="0"/>
                  <wp:docPr id="252" name="Chart 252">
                    <a:extLst xmlns:a="http://schemas.openxmlformats.org/drawingml/2006/main">
                      <a:ext uri="{FF2B5EF4-FFF2-40B4-BE49-F238E27FC236}">
                        <a16:creationId xmlns:a16="http://schemas.microsoft.com/office/drawing/2014/main" id="{785A1EFF-070F-463E-A7D5-78665F0725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tc>
        <w:tc>
          <w:tcPr>
            <w:tcW w:w="5256" w:type="dxa"/>
          </w:tcPr>
          <w:p w14:paraId="51CFD4B0"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7D9A8406" wp14:editId="2BC7C807">
                  <wp:extent cx="3200400" cy="2286000"/>
                  <wp:effectExtent l="0" t="0" r="0" b="0"/>
                  <wp:docPr id="256" name="Chart 256">
                    <a:extLst xmlns:a="http://schemas.openxmlformats.org/drawingml/2006/main">
                      <a:ext uri="{FF2B5EF4-FFF2-40B4-BE49-F238E27FC236}">
                        <a16:creationId xmlns:a16="http://schemas.microsoft.com/office/drawing/2014/main" id="{4F8E98FB-5758-48E1-8481-AC5AEE8082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tc>
      </w:tr>
      <w:tr w:rsidR="00D21393" w:rsidRPr="003C6DBD" w14:paraId="7ECC9AB2" w14:textId="77777777" w:rsidTr="003117FC">
        <w:trPr>
          <w:trHeight w:val="562"/>
        </w:trPr>
        <w:tc>
          <w:tcPr>
            <w:tcW w:w="5256" w:type="dxa"/>
          </w:tcPr>
          <w:p w14:paraId="21CE55C3"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2A51731C" wp14:editId="11B9C65A">
                  <wp:extent cx="3200400" cy="2286000"/>
                  <wp:effectExtent l="0" t="0" r="0" b="0"/>
                  <wp:docPr id="253" name="Chart 253">
                    <a:extLst xmlns:a="http://schemas.openxmlformats.org/drawingml/2006/main">
                      <a:ext uri="{FF2B5EF4-FFF2-40B4-BE49-F238E27FC236}">
                        <a16:creationId xmlns:a16="http://schemas.microsoft.com/office/drawing/2014/main" id="{CD65FDC6-7165-441A-ABAF-BDC90EE2B6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tc>
        <w:tc>
          <w:tcPr>
            <w:tcW w:w="5256" w:type="dxa"/>
          </w:tcPr>
          <w:p w14:paraId="03BCD88F" w14:textId="77777777" w:rsidR="00E45DE9" w:rsidRPr="003C6DBD" w:rsidRDefault="00E45DE9" w:rsidP="005733AE">
            <w:pPr>
              <w:keepNext/>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1EFB219F" wp14:editId="234589B6">
                  <wp:extent cx="3200400" cy="2286000"/>
                  <wp:effectExtent l="0" t="0" r="0" b="0"/>
                  <wp:docPr id="257" name="Chart 257">
                    <a:extLst xmlns:a="http://schemas.openxmlformats.org/drawingml/2006/main">
                      <a:ext uri="{FF2B5EF4-FFF2-40B4-BE49-F238E27FC236}">
                        <a16:creationId xmlns:a16="http://schemas.microsoft.com/office/drawing/2014/main" id="{175547C6-D583-4657-9EF0-625143C4C8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tc>
      </w:tr>
    </w:tbl>
    <w:p w14:paraId="70F4960B" w14:textId="4F1C659C" w:rsidR="00E45DE9" w:rsidRPr="003C6DBD" w:rsidRDefault="005733AE" w:rsidP="005733AE">
      <w:pPr>
        <w:pStyle w:val="Caption"/>
        <w:rPr>
          <w:rFonts w:ascii="Times New Roman" w:hAnsi="Times New Roman" w:cs="Times New Roman"/>
          <w:color w:val="0D0D0D" w:themeColor="text1" w:themeTint="F2"/>
          <w:sz w:val="24"/>
          <w:szCs w:val="24"/>
        </w:rPr>
      </w:pPr>
      <w:bookmarkStart w:id="77" w:name="_Toc132974489"/>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00E94FA5" w:rsidRPr="003C6DBD">
        <w:rPr>
          <w:rFonts w:ascii="Times New Roman" w:hAnsi="Times New Roman" w:cs="Times New Roman"/>
          <w:noProof/>
          <w:color w:val="0D0D0D" w:themeColor="text1" w:themeTint="F2"/>
          <w:sz w:val="24"/>
          <w:szCs w:val="24"/>
        </w:rPr>
        <w:t>8</w:t>
      </w:r>
      <w:r w:rsidRPr="003C6DBD">
        <w:rPr>
          <w:rFonts w:ascii="Times New Roman" w:hAnsi="Times New Roman" w:cs="Times New Roman"/>
          <w:color w:val="0D0D0D" w:themeColor="text1" w:themeTint="F2"/>
          <w:sz w:val="24"/>
          <w:szCs w:val="24"/>
        </w:rPr>
        <w:fldChar w:fldCharType="end"/>
      </w:r>
      <w:r w:rsidR="008E4F95">
        <w:rPr>
          <w:rFonts w:ascii="Times New Roman" w:hAnsi="Times New Roman" w:cs="Times New Roman"/>
          <w:color w:val="0D0D0D" w:themeColor="text1" w:themeTint="F2"/>
          <w:sz w:val="24"/>
          <w:szCs w:val="24"/>
        </w:rPr>
        <w:t xml:space="preserve"> continued</w:t>
      </w:r>
      <w:r w:rsidR="00CA3645">
        <w:rPr>
          <w:rFonts w:ascii="Times New Roman" w:hAnsi="Times New Roman" w:cs="Times New Roman"/>
          <w:color w:val="0D0D0D" w:themeColor="text1" w:themeTint="F2"/>
          <w:sz w:val="24"/>
          <w:szCs w:val="24"/>
        </w:rPr>
        <w:t>.</w:t>
      </w:r>
      <w:bookmarkEnd w:id="77"/>
    </w:p>
    <w:tbl>
      <w:tblPr>
        <w:tblStyle w:val="TableGrid"/>
        <w:tblW w:w="105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6"/>
        <w:gridCol w:w="5256"/>
      </w:tblGrid>
      <w:tr w:rsidR="00D21393" w:rsidRPr="003C6DBD" w14:paraId="0F1C0DD5" w14:textId="77777777" w:rsidTr="003117FC">
        <w:trPr>
          <w:trHeight w:val="3788"/>
        </w:trPr>
        <w:tc>
          <w:tcPr>
            <w:tcW w:w="5256" w:type="dxa"/>
          </w:tcPr>
          <w:p w14:paraId="722D22D9"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lastRenderedPageBreak/>
              <w:drawing>
                <wp:inline distT="0" distB="0" distL="0" distR="0" wp14:anchorId="3DC0C064" wp14:editId="26A19BCA">
                  <wp:extent cx="3200400" cy="2286000"/>
                  <wp:effectExtent l="0" t="0" r="0" b="0"/>
                  <wp:docPr id="259" name="Chart 259">
                    <a:extLst xmlns:a="http://schemas.openxmlformats.org/drawingml/2006/main">
                      <a:ext uri="{FF2B5EF4-FFF2-40B4-BE49-F238E27FC236}">
                        <a16:creationId xmlns:a16="http://schemas.microsoft.com/office/drawing/2014/main" id="{9068D8C8-1E0A-43CD-96F8-9A4117E881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tc>
        <w:tc>
          <w:tcPr>
            <w:tcW w:w="5256" w:type="dxa"/>
          </w:tcPr>
          <w:p w14:paraId="489ECC9A"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20E25799" wp14:editId="26473970">
                  <wp:extent cx="3200400" cy="2286000"/>
                  <wp:effectExtent l="0" t="0" r="0" b="0"/>
                  <wp:docPr id="263" name="Chart 263">
                    <a:extLst xmlns:a="http://schemas.openxmlformats.org/drawingml/2006/main">
                      <a:ext uri="{FF2B5EF4-FFF2-40B4-BE49-F238E27FC236}">
                        <a16:creationId xmlns:a16="http://schemas.microsoft.com/office/drawing/2014/main" id="{996C3D70-955D-4FA9-98C8-2661EB9E01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tc>
      </w:tr>
      <w:tr w:rsidR="00D21393" w:rsidRPr="003C6DBD" w14:paraId="38225F7A" w14:textId="77777777" w:rsidTr="003117FC">
        <w:trPr>
          <w:trHeight w:val="562"/>
        </w:trPr>
        <w:tc>
          <w:tcPr>
            <w:tcW w:w="5256" w:type="dxa"/>
          </w:tcPr>
          <w:p w14:paraId="424B6EB5"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157341A6" wp14:editId="01AA4D7B">
                  <wp:extent cx="3200400" cy="2286000"/>
                  <wp:effectExtent l="0" t="0" r="0" b="0"/>
                  <wp:docPr id="260" name="Chart 260">
                    <a:extLst xmlns:a="http://schemas.openxmlformats.org/drawingml/2006/main">
                      <a:ext uri="{FF2B5EF4-FFF2-40B4-BE49-F238E27FC236}">
                        <a16:creationId xmlns:a16="http://schemas.microsoft.com/office/drawing/2014/main" id="{47DE24C9-CA98-448D-A9E1-51CEA8AD91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tc>
        <w:tc>
          <w:tcPr>
            <w:tcW w:w="5256" w:type="dxa"/>
          </w:tcPr>
          <w:p w14:paraId="62E2F6C9"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7D6B28CB" wp14:editId="1308EE09">
                  <wp:extent cx="3200400" cy="2286000"/>
                  <wp:effectExtent l="0" t="0" r="0" b="0"/>
                  <wp:docPr id="264" name="Chart 264">
                    <a:extLst xmlns:a="http://schemas.openxmlformats.org/drawingml/2006/main">
                      <a:ext uri="{FF2B5EF4-FFF2-40B4-BE49-F238E27FC236}">
                        <a16:creationId xmlns:a16="http://schemas.microsoft.com/office/drawing/2014/main" id="{9C12A070-898D-43E6-A1BD-F8DF36AAD5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tc>
      </w:tr>
      <w:tr w:rsidR="00CA3645" w:rsidRPr="003C6DBD" w14:paraId="63D50666" w14:textId="77777777" w:rsidTr="00780999">
        <w:trPr>
          <w:trHeight w:val="562"/>
        </w:trPr>
        <w:tc>
          <w:tcPr>
            <w:tcW w:w="10512" w:type="dxa"/>
            <w:gridSpan w:val="2"/>
          </w:tcPr>
          <w:p w14:paraId="53B7289B" w14:textId="77777777" w:rsidR="00CA3645" w:rsidRPr="003C6DBD" w:rsidRDefault="00CA3645" w:rsidP="00CA3645">
            <w:pPr>
              <w:pStyle w:val="Caption"/>
              <w:rPr>
                <w:rFonts w:ascii="Times New Roman" w:hAnsi="Times New Roman" w:cs="Times New Roman"/>
                <w:color w:val="0D0D0D" w:themeColor="text1" w:themeTint="F2"/>
                <w:sz w:val="24"/>
                <w:szCs w:val="24"/>
              </w:rPr>
            </w:pPr>
            <w:bookmarkStart w:id="78" w:name="_Toc132974490"/>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noProof/>
                <w:color w:val="0D0D0D" w:themeColor="text1" w:themeTint="F2"/>
                <w:sz w:val="24"/>
                <w:szCs w:val="24"/>
              </w:rPr>
              <w:t>9</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Comparison of social risks between primary biofuel and secondary biofuel companies.</w:t>
            </w:r>
            <w:bookmarkEnd w:id="78"/>
          </w:p>
          <w:p w14:paraId="15AB3320" w14:textId="77777777" w:rsidR="00CA3645" w:rsidRPr="003C6DBD" w:rsidRDefault="00CA3645" w:rsidP="003117FC">
            <w:pPr>
              <w:spacing w:line="480" w:lineRule="auto"/>
              <w:rPr>
                <w:rFonts w:ascii="Times New Roman" w:hAnsi="Times New Roman" w:cs="Times New Roman"/>
                <w:noProof/>
                <w:color w:val="0D0D0D" w:themeColor="text1" w:themeTint="F2"/>
                <w:sz w:val="24"/>
                <w:szCs w:val="24"/>
              </w:rPr>
            </w:pPr>
          </w:p>
        </w:tc>
      </w:tr>
      <w:tr w:rsidR="00D21393" w:rsidRPr="003C6DBD" w14:paraId="2550D538" w14:textId="77777777" w:rsidTr="003117FC">
        <w:trPr>
          <w:trHeight w:val="562"/>
        </w:trPr>
        <w:tc>
          <w:tcPr>
            <w:tcW w:w="5256" w:type="dxa"/>
          </w:tcPr>
          <w:p w14:paraId="19B598B9"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lastRenderedPageBreak/>
              <w:drawing>
                <wp:inline distT="0" distB="0" distL="0" distR="0" wp14:anchorId="58A078B4" wp14:editId="1F437C64">
                  <wp:extent cx="3200400" cy="2286000"/>
                  <wp:effectExtent l="0" t="0" r="0" b="0"/>
                  <wp:docPr id="261" name="Chart 261">
                    <a:extLst xmlns:a="http://schemas.openxmlformats.org/drawingml/2006/main">
                      <a:ext uri="{FF2B5EF4-FFF2-40B4-BE49-F238E27FC236}">
                        <a16:creationId xmlns:a16="http://schemas.microsoft.com/office/drawing/2014/main" id="{4063E0B7-5ED4-402E-84A0-F8005C3DEA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tc>
        <w:tc>
          <w:tcPr>
            <w:tcW w:w="5256" w:type="dxa"/>
          </w:tcPr>
          <w:p w14:paraId="66B0BD08"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7B07CA7D" wp14:editId="74F00628">
                  <wp:extent cx="3200400" cy="2286000"/>
                  <wp:effectExtent l="0" t="0" r="0" b="0"/>
                  <wp:docPr id="267" name="Chart 267">
                    <a:extLst xmlns:a="http://schemas.openxmlformats.org/drawingml/2006/main">
                      <a:ext uri="{FF2B5EF4-FFF2-40B4-BE49-F238E27FC236}">
                        <a16:creationId xmlns:a16="http://schemas.microsoft.com/office/drawing/2014/main" id="{F557DFEB-E11B-4655-963E-60E47EEA49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tc>
      </w:tr>
      <w:tr w:rsidR="00D21393" w:rsidRPr="003C6DBD" w14:paraId="485E957E" w14:textId="77777777" w:rsidTr="003117FC">
        <w:trPr>
          <w:trHeight w:val="562"/>
        </w:trPr>
        <w:tc>
          <w:tcPr>
            <w:tcW w:w="5256" w:type="dxa"/>
          </w:tcPr>
          <w:p w14:paraId="29107BBE"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37292A56" wp14:editId="4149FE2F">
                  <wp:extent cx="3200400" cy="2286000"/>
                  <wp:effectExtent l="0" t="0" r="0" b="0"/>
                  <wp:docPr id="262" name="Chart 262">
                    <a:extLst xmlns:a="http://schemas.openxmlformats.org/drawingml/2006/main">
                      <a:ext uri="{FF2B5EF4-FFF2-40B4-BE49-F238E27FC236}">
                        <a16:creationId xmlns:a16="http://schemas.microsoft.com/office/drawing/2014/main" id="{47B33774-09D9-48D3-8F5F-CF2A2B4304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tc>
        <w:tc>
          <w:tcPr>
            <w:tcW w:w="5256" w:type="dxa"/>
          </w:tcPr>
          <w:p w14:paraId="7867FCEA" w14:textId="77777777" w:rsidR="00E45DE9" w:rsidRPr="003C6DBD" w:rsidRDefault="00E45DE9" w:rsidP="005733AE">
            <w:pPr>
              <w:keepNext/>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4EA91BDA" wp14:editId="489E5EAD">
                  <wp:extent cx="3200400" cy="2286000"/>
                  <wp:effectExtent l="0" t="0" r="0" b="0"/>
                  <wp:docPr id="266" name="Chart 266">
                    <a:extLst xmlns:a="http://schemas.openxmlformats.org/drawingml/2006/main">
                      <a:ext uri="{FF2B5EF4-FFF2-40B4-BE49-F238E27FC236}">
                        <a16:creationId xmlns:a16="http://schemas.microsoft.com/office/drawing/2014/main" id="{73C7E34D-F328-45E9-86DE-C9923375ED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tc>
      </w:tr>
    </w:tbl>
    <w:p w14:paraId="7D243F88" w14:textId="781EC299" w:rsidR="00E45DE9" w:rsidRPr="003C6DBD" w:rsidRDefault="005733AE" w:rsidP="005733AE">
      <w:pPr>
        <w:pStyle w:val="Caption"/>
        <w:rPr>
          <w:rFonts w:ascii="Times New Roman" w:hAnsi="Times New Roman" w:cs="Times New Roman"/>
          <w:color w:val="0D0D0D" w:themeColor="text1" w:themeTint="F2"/>
          <w:sz w:val="24"/>
          <w:szCs w:val="24"/>
        </w:rPr>
      </w:pPr>
      <w:bookmarkStart w:id="79" w:name="_Toc132974491"/>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00E94FA5" w:rsidRPr="003C6DBD">
        <w:rPr>
          <w:rFonts w:ascii="Times New Roman" w:hAnsi="Times New Roman" w:cs="Times New Roman"/>
          <w:noProof/>
          <w:color w:val="0D0D0D" w:themeColor="text1" w:themeTint="F2"/>
          <w:sz w:val="24"/>
          <w:szCs w:val="24"/>
        </w:rPr>
        <w:t>9</w:t>
      </w:r>
      <w:r w:rsidRPr="003C6DBD">
        <w:rPr>
          <w:rFonts w:ascii="Times New Roman" w:hAnsi="Times New Roman" w:cs="Times New Roman"/>
          <w:color w:val="0D0D0D" w:themeColor="text1" w:themeTint="F2"/>
          <w:sz w:val="24"/>
          <w:szCs w:val="24"/>
        </w:rPr>
        <w:fldChar w:fldCharType="end"/>
      </w:r>
      <w:r w:rsidR="00CA3645">
        <w:rPr>
          <w:rFonts w:ascii="Times New Roman" w:hAnsi="Times New Roman" w:cs="Times New Roman"/>
          <w:color w:val="0D0D0D" w:themeColor="text1" w:themeTint="F2"/>
          <w:sz w:val="24"/>
          <w:szCs w:val="24"/>
        </w:rPr>
        <w:t xml:space="preserve"> continued.</w:t>
      </w:r>
      <w:bookmarkEnd w:id="79"/>
    </w:p>
    <w:tbl>
      <w:tblPr>
        <w:tblStyle w:val="TableGrid"/>
        <w:tblW w:w="105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6"/>
        <w:gridCol w:w="5256"/>
      </w:tblGrid>
      <w:tr w:rsidR="00D21393" w:rsidRPr="003C6DBD" w14:paraId="2485F05D" w14:textId="77777777" w:rsidTr="003117FC">
        <w:trPr>
          <w:trHeight w:val="3788"/>
        </w:trPr>
        <w:tc>
          <w:tcPr>
            <w:tcW w:w="5256" w:type="dxa"/>
          </w:tcPr>
          <w:p w14:paraId="72A638EB"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lastRenderedPageBreak/>
              <w:drawing>
                <wp:inline distT="0" distB="0" distL="0" distR="0" wp14:anchorId="7EA2DC93" wp14:editId="48F4E96A">
                  <wp:extent cx="3200400" cy="2286000"/>
                  <wp:effectExtent l="0" t="0" r="0" b="0"/>
                  <wp:docPr id="268" name="Chart 268">
                    <a:extLst xmlns:a="http://schemas.openxmlformats.org/drawingml/2006/main">
                      <a:ext uri="{FF2B5EF4-FFF2-40B4-BE49-F238E27FC236}">
                        <a16:creationId xmlns:a16="http://schemas.microsoft.com/office/drawing/2014/main" id="{3801FA55-12CE-4D54-A4AD-EB95F5060F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tc>
        <w:tc>
          <w:tcPr>
            <w:tcW w:w="5256" w:type="dxa"/>
          </w:tcPr>
          <w:p w14:paraId="6DE27A97"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76AB64A4" wp14:editId="2840DF51">
                  <wp:extent cx="3200400" cy="2286000"/>
                  <wp:effectExtent l="0" t="0" r="0" b="0"/>
                  <wp:docPr id="272" name="Chart 272">
                    <a:extLst xmlns:a="http://schemas.openxmlformats.org/drawingml/2006/main">
                      <a:ext uri="{FF2B5EF4-FFF2-40B4-BE49-F238E27FC236}">
                        <a16:creationId xmlns:a16="http://schemas.microsoft.com/office/drawing/2014/main" id="{0018867A-D3F8-4734-BCF9-1CF3D0C2D2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tc>
      </w:tr>
      <w:tr w:rsidR="00D21393" w:rsidRPr="003C6DBD" w14:paraId="3396D57C" w14:textId="77777777" w:rsidTr="003117FC">
        <w:trPr>
          <w:trHeight w:val="562"/>
        </w:trPr>
        <w:tc>
          <w:tcPr>
            <w:tcW w:w="5256" w:type="dxa"/>
          </w:tcPr>
          <w:p w14:paraId="4162DCDA"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5BC3E417" wp14:editId="05123301">
                  <wp:extent cx="3200400" cy="2286000"/>
                  <wp:effectExtent l="0" t="0" r="0" b="0"/>
                  <wp:docPr id="269" name="Chart 269">
                    <a:extLst xmlns:a="http://schemas.openxmlformats.org/drawingml/2006/main">
                      <a:ext uri="{FF2B5EF4-FFF2-40B4-BE49-F238E27FC236}">
                        <a16:creationId xmlns:a16="http://schemas.microsoft.com/office/drawing/2014/main" id="{EFC897D6-CCB9-4060-A5FA-3A4376AFAC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tc>
        <w:tc>
          <w:tcPr>
            <w:tcW w:w="5256" w:type="dxa"/>
          </w:tcPr>
          <w:p w14:paraId="08BF7276"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263B6F61" wp14:editId="512C90B0">
                  <wp:extent cx="3200400" cy="2286000"/>
                  <wp:effectExtent l="0" t="0" r="0" b="0"/>
                  <wp:docPr id="273" name="Chart 273">
                    <a:extLst xmlns:a="http://schemas.openxmlformats.org/drawingml/2006/main">
                      <a:ext uri="{FF2B5EF4-FFF2-40B4-BE49-F238E27FC236}">
                        <a16:creationId xmlns:a16="http://schemas.microsoft.com/office/drawing/2014/main" id="{F44335B1-0969-49C4-BE2E-427234A22E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tc>
      </w:tr>
      <w:tr w:rsidR="00264B09" w:rsidRPr="003C6DBD" w14:paraId="1A6815B7" w14:textId="77777777" w:rsidTr="003A3361">
        <w:trPr>
          <w:trHeight w:val="562"/>
        </w:trPr>
        <w:tc>
          <w:tcPr>
            <w:tcW w:w="10512" w:type="dxa"/>
            <w:gridSpan w:val="2"/>
          </w:tcPr>
          <w:p w14:paraId="43CBB78E" w14:textId="77777777" w:rsidR="00264B09" w:rsidRPr="003C6DBD" w:rsidRDefault="00264B09" w:rsidP="00264B09">
            <w:pPr>
              <w:pStyle w:val="Caption"/>
              <w:rPr>
                <w:rFonts w:ascii="Times New Roman" w:hAnsi="Times New Roman" w:cs="Times New Roman"/>
                <w:color w:val="0D0D0D" w:themeColor="text1" w:themeTint="F2"/>
                <w:sz w:val="24"/>
                <w:szCs w:val="24"/>
              </w:rPr>
            </w:pPr>
            <w:bookmarkStart w:id="80" w:name="_Toc132974492"/>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noProof/>
                <w:color w:val="0D0D0D" w:themeColor="text1" w:themeTint="F2"/>
                <w:sz w:val="24"/>
                <w:szCs w:val="24"/>
              </w:rPr>
              <w:t>10</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Comparison of technological risks between primary biofuel and secondary biofuel companies.</w:t>
            </w:r>
            <w:bookmarkEnd w:id="80"/>
          </w:p>
          <w:p w14:paraId="3AD86359" w14:textId="77777777" w:rsidR="00264B09" w:rsidRPr="003C6DBD" w:rsidRDefault="00264B09" w:rsidP="003117FC">
            <w:pPr>
              <w:spacing w:line="480" w:lineRule="auto"/>
              <w:rPr>
                <w:rFonts w:ascii="Times New Roman" w:hAnsi="Times New Roman" w:cs="Times New Roman"/>
                <w:noProof/>
                <w:color w:val="0D0D0D" w:themeColor="text1" w:themeTint="F2"/>
                <w:sz w:val="24"/>
                <w:szCs w:val="24"/>
              </w:rPr>
            </w:pPr>
          </w:p>
        </w:tc>
      </w:tr>
      <w:tr w:rsidR="00D21393" w:rsidRPr="003C6DBD" w14:paraId="46AA320E" w14:textId="77777777" w:rsidTr="003117FC">
        <w:trPr>
          <w:trHeight w:val="562"/>
        </w:trPr>
        <w:tc>
          <w:tcPr>
            <w:tcW w:w="5256" w:type="dxa"/>
          </w:tcPr>
          <w:p w14:paraId="3C88CDDD"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lastRenderedPageBreak/>
              <w:drawing>
                <wp:inline distT="0" distB="0" distL="0" distR="0" wp14:anchorId="35B78F79" wp14:editId="5E07DF22">
                  <wp:extent cx="3200400" cy="2286000"/>
                  <wp:effectExtent l="0" t="0" r="0" b="0"/>
                  <wp:docPr id="270" name="Chart 270">
                    <a:extLst xmlns:a="http://schemas.openxmlformats.org/drawingml/2006/main">
                      <a:ext uri="{FF2B5EF4-FFF2-40B4-BE49-F238E27FC236}">
                        <a16:creationId xmlns:a16="http://schemas.microsoft.com/office/drawing/2014/main" id="{86CD0016-60FC-43D0-8A17-086975FD5F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tc>
        <w:tc>
          <w:tcPr>
            <w:tcW w:w="5256" w:type="dxa"/>
          </w:tcPr>
          <w:p w14:paraId="674E6CA0"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6F0814CF" wp14:editId="241333E6">
                  <wp:extent cx="3200400" cy="2286000"/>
                  <wp:effectExtent l="0" t="0" r="0" b="0"/>
                  <wp:docPr id="274" name="Chart 274">
                    <a:extLst xmlns:a="http://schemas.openxmlformats.org/drawingml/2006/main">
                      <a:ext uri="{FF2B5EF4-FFF2-40B4-BE49-F238E27FC236}">
                        <a16:creationId xmlns:a16="http://schemas.microsoft.com/office/drawing/2014/main" id="{D1E495DC-DAA6-48C6-A57B-920281CC78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tc>
      </w:tr>
      <w:tr w:rsidR="00D21393" w:rsidRPr="003C6DBD" w14:paraId="2D300FAF" w14:textId="77777777" w:rsidTr="003117FC">
        <w:trPr>
          <w:trHeight w:val="562"/>
        </w:trPr>
        <w:tc>
          <w:tcPr>
            <w:tcW w:w="5256" w:type="dxa"/>
          </w:tcPr>
          <w:p w14:paraId="0A4F2D90"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0FBACB36" wp14:editId="0C128321">
                  <wp:extent cx="3200400" cy="2286000"/>
                  <wp:effectExtent l="0" t="0" r="0" b="0"/>
                  <wp:docPr id="271" name="Chart 271">
                    <a:extLst xmlns:a="http://schemas.openxmlformats.org/drawingml/2006/main">
                      <a:ext uri="{FF2B5EF4-FFF2-40B4-BE49-F238E27FC236}">
                        <a16:creationId xmlns:a16="http://schemas.microsoft.com/office/drawing/2014/main" id="{F53FBBB1-3D71-4383-97D2-D0313749F5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tc>
        <w:tc>
          <w:tcPr>
            <w:tcW w:w="5256" w:type="dxa"/>
          </w:tcPr>
          <w:p w14:paraId="1A93A510" w14:textId="77777777" w:rsidR="00E45DE9" w:rsidRPr="003C6DBD" w:rsidRDefault="00E45DE9" w:rsidP="005733AE">
            <w:pPr>
              <w:keepNext/>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3D3D386B" wp14:editId="70AA39E2">
                  <wp:extent cx="3200400" cy="2286000"/>
                  <wp:effectExtent l="0" t="0" r="0" b="0"/>
                  <wp:docPr id="275" name="Chart 275">
                    <a:extLst xmlns:a="http://schemas.openxmlformats.org/drawingml/2006/main">
                      <a:ext uri="{FF2B5EF4-FFF2-40B4-BE49-F238E27FC236}">
                        <a16:creationId xmlns:a16="http://schemas.microsoft.com/office/drawing/2014/main" id="{CD2C3EAD-381D-4FE5-961A-835EF0D26D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tc>
      </w:tr>
    </w:tbl>
    <w:p w14:paraId="6B290B1A" w14:textId="3F0CBFF9" w:rsidR="00E45DE9" w:rsidRPr="003C6DBD" w:rsidRDefault="005733AE" w:rsidP="005733AE">
      <w:pPr>
        <w:pStyle w:val="Caption"/>
        <w:rPr>
          <w:rFonts w:ascii="Times New Roman" w:hAnsi="Times New Roman" w:cs="Times New Roman"/>
          <w:color w:val="0D0D0D" w:themeColor="text1" w:themeTint="F2"/>
          <w:sz w:val="24"/>
          <w:szCs w:val="24"/>
        </w:rPr>
      </w:pPr>
      <w:bookmarkStart w:id="81" w:name="_Toc132974493"/>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00E94FA5" w:rsidRPr="003C6DBD">
        <w:rPr>
          <w:rFonts w:ascii="Times New Roman" w:hAnsi="Times New Roman" w:cs="Times New Roman"/>
          <w:noProof/>
          <w:color w:val="0D0D0D" w:themeColor="text1" w:themeTint="F2"/>
          <w:sz w:val="24"/>
          <w:szCs w:val="24"/>
        </w:rPr>
        <w:t>10</w:t>
      </w:r>
      <w:r w:rsidRPr="003C6DBD">
        <w:rPr>
          <w:rFonts w:ascii="Times New Roman" w:hAnsi="Times New Roman" w:cs="Times New Roman"/>
          <w:color w:val="0D0D0D" w:themeColor="text1" w:themeTint="F2"/>
          <w:sz w:val="24"/>
          <w:szCs w:val="24"/>
        </w:rPr>
        <w:fldChar w:fldCharType="end"/>
      </w:r>
      <w:r w:rsidR="00264B09">
        <w:rPr>
          <w:rFonts w:ascii="Times New Roman" w:hAnsi="Times New Roman" w:cs="Times New Roman"/>
          <w:color w:val="0D0D0D" w:themeColor="text1" w:themeTint="F2"/>
          <w:sz w:val="24"/>
          <w:szCs w:val="24"/>
        </w:rPr>
        <w:t xml:space="preserve"> continued.</w:t>
      </w:r>
      <w:bookmarkEnd w:id="81"/>
    </w:p>
    <w:tbl>
      <w:tblPr>
        <w:tblStyle w:val="TableGrid"/>
        <w:tblW w:w="105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6"/>
        <w:gridCol w:w="5256"/>
      </w:tblGrid>
      <w:tr w:rsidR="00D21393" w:rsidRPr="003C6DBD" w14:paraId="1F72A4C7" w14:textId="77777777" w:rsidTr="003117FC">
        <w:trPr>
          <w:trHeight w:val="3788"/>
        </w:trPr>
        <w:tc>
          <w:tcPr>
            <w:tcW w:w="5256" w:type="dxa"/>
          </w:tcPr>
          <w:p w14:paraId="209BCDA6"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lastRenderedPageBreak/>
              <w:drawing>
                <wp:inline distT="0" distB="0" distL="0" distR="0" wp14:anchorId="4D7B8B36" wp14:editId="1798770D">
                  <wp:extent cx="3200400" cy="2286000"/>
                  <wp:effectExtent l="0" t="0" r="0" b="0"/>
                  <wp:docPr id="276" name="Chart 276">
                    <a:extLst xmlns:a="http://schemas.openxmlformats.org/drawingml/2006/main">
                      <a:ext uri="{FF2B5EF4-FFF2-40B4-BE49-F238E27FC236}">
                        <a16:creationId xmlns:a16="http://schemas.microsoft.com/office/drawing/2014/main" id="{D8EA678D-2B8E-466C-BB07-ED43252120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tc>
        <w:tc>
          <w:tcPr>
            <w:tcW w:w="5256" w:type="dxa"/>
          </w:tcPr>
          <w:p w14:paraId="142D0DAF"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4F1BFECB" wp14:editId="000AA01F">
                  <wp:extent cx="3200400" cy="2286000"/>
                  <wp:effectExtent l="0" t="0" r="0" b="0"/>
                  <wp:docPr id="280" name="Chart 280">
                    <a:extLst xmlns:a="http://schemas.openxmlformats.org/drawingml/2006/main">
                      <a:ext uri="{FF2B5EF4-FFF2-40B4-BE49-F238E27FC236}">
                        <a16:creationId xmlns:a16="http://schemas.microsoft.com/office/drawing/2014/main" id="{3A403EAF-5B74-48FE-9F7F-EC6D1DEB68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tc>
      </w:tr>
      <w:tr w:rsidR="00D21393" w:rsidRPr="003C6DBD" w14:paraId="45CA4E68" w14:textId="77777777" w:rsidTr="003117FC">
        <w:trPr>
          <w:trHeight w:val="562"/>
        </w:trPr>
        <w:tc>
          <w:tcPr>
            <w:tcW w:w="5256" w:type="dxa"/>
          </w:tcPr>
          <w:p w14:paraId="0C283499"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32AD67BB" wp14:editId="417139B1">
                  <wp:extent cx="3200400" cy="2286000"/>
                  <wp:effectExtent l="0" t="0" r="0" b="0"/>
                  <wp:docPr id="277" name="Chart 277">
                    <a:extLst xmlns:a="http://schemas.openxmlformats.org/drawingml/2006/main">
                      <a:ext uri="{FF2B5EF4-FFF2-40B4-BE49-F238E27FC236}">
                        <a16:creationId xmlns:a16="http://schemas.microsoft.com/office/drawing/2014/main" id="{7E1379C5-3F3A-4A6B-A2D0-F24F111F26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tc>
        <w:tc>
          <w:tcPr>
            <w:tcW w:w="5256" w:type="dxa"/>
          </w:tcPr>
          <w:p w14:paraId="7D767DF0"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2FBF0ABA" wp14:editId="4F0B49BA">
                  <wp:extent cx="3200400" cy="2286000"/>
                  <wp:effectExtent l="0" t="0" r="0" b="0"/>
                  <wp:docPr id="281" name="Chart 281">
                    <a:extLst xmlns:a="http://schemas.openxmlformats.org/drawingml/2006/main">
                      <a:ext uri="{FF2B5EF4-FFF2-40B4-BE49-F238E27FC236}">
                        <a16:creationId xmlns:a16="http://schemas.microsoft.com/office/drawing/2014/main" id="{FA696B63-3409-43BA-9CF2-C86678BE1C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tc>
      </w:tr>
      <w:tr w:rsidR="00264B09" w:rsidRPr="003C6DBD" w14:paraId="0F46F226" w14:textId="77777777" w:rsidTr="00F4666E">
        <w:trPr>
          <w:trHeight w:val="562"/>
        </w:trPr>
        <w:tc>
          <w:tcPr>
            <w:tcW w:w="10512" w:type="dxa"/>
            <w:gridSpan w:val="2"/>
          </w:tcPr>
          <w:p w14:paraId="4AD931E2" w14:textId="77777777" w:rsidR="00264B09" w:rsidRPr="003C6DBD" w:rsidRDefault="00264B09" w:rsidP="00264B09">
            <w:pPr>
              <w:pStyle w:val="Caption"/>
              <w:rPr>
                <w:rFonts w:ascii="Times New Roman" w:hAnsi="Times New Roman" w:cs="Times New Roman"/>
                <w:noProof/>
                <w:color w:val="0D0D0D" w:themeColor="text1" w:themeTint="F2"/>
                <w:sz w:val="24"/>
                <w:szCs w:val="24"/>
              </w:rPr>
            </w:pPr>
            <w:bookmarkStart w:id="82" w:name="_Toc132974494"/>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noProof/>
                <w:color w:val="0D0D0D" w:themeColor="text1" w:themeTint="F2"/>
                <w:sz w:val="24"/>
                <w:szCs w:val="24"/>
              </w:rPr>
              <w:t>11</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Comparison of primary activities risks between primary biofuel and secondary biofuel companies.</w:t>
            </w:r>
            <w:bookmarkEnd w:id="82"/>
          </w:p>
          <w:p w14:paraId="1E1B1024" w14:textId="77777777" w:rsidR="00264B09" w:rsidRPr="003C6DBD" w:rsidRDefault="00264B09" w:rsidP="003117FC">
            <w:pPr>
              <w:spacing w:line="480" w:lineRule="auto"/>
              <w:rPr>
                <w:rFonts w:ascii="Times New Roman" w:hAnsi="Times New Roman" w:cs="Times New Roman"/>
                <w:noProof/>
                <w:color w:val="0D0D0D" w:themeColor="text1" w:themeTint="F2"/>
                <w:sz w:val="24"/>
                <w:szCs w:val="24"/>
              </w:rPr>
            </w:pPr>
          </w:p>
        </w:tc>
      </w:tr>
      <w:tr w:rsidR="00D21393" w:rsidRPr="003C6DBD" w14:paraId="479676EE" w14:textId="77777777" w:rsidTr="003117FC">
        <w:trPr>
          <w:trHeight w:val="562"/>
        </w:trPr>
        <w:tc>
          <w:tcPr>
            <w:tcW w:w="5256" w:type="dxa"/>
          </w:tcPr>
          <w:p w14:paraId="7D2ECD1C"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lastRenderedPageBreak/>
              <w:drawing>
                <wp:inline distT="0" distB="0" distL="0" distR="0" wp14:anchorId="7F183B55" wp14:editId="5FA9391E">
                  <wp:extent cx="3200400" cy="2286000"/>
                  <wp:effectExtent l="0" t="0" r="0" b="0"/>
                  <wp:docPr id="278" name="Chart 278">
                    <a:extLst xmlns:a="http://schemas.openxmlformats.org/drawingml/2006/main">
                      <a:ext uri="{FF2B5EF4-FFF2-40B4-BE49-F238E27FC236}">
                        <a16:creationId xmlns:a16="http://schemas.microsoft.com/office/drawing/2014/main" id="{2B35EEF6-181B-416E-8521-5CFD2AE72D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tc>
        <w:tc>
          <w:tcPr>
            <w:tcW w:w="5256" w:type="dxa"/>
          </w:tcPr>
          <w:p w14:paraId="077FA981"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7A011CDF" wp14:editId="17BD8336">
                  <wp:extent cx="3200400" cy="2286000"/>
                  <wp:effectExtent l="0" t="0" r="0" b="0"/>
                  <wp:docPr id="282" name="Chart 282">
                    <a:extLst xmlns:a="http://schemas.openxmlformats.org/drawingml/2006/main">
                      <a:ext uri="{FF2B5EF4-FFF2-40B4-BE49-F238E27FC236}">
                        <a16:creationId xmlns:a16="http://schemas.microsoft.com/office/drawing/2014/main" id="{EA8B53D1-77BF-4ABE-9538-7EA50536AD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tc>
      </w:tr>
      <w:tr w:rsidR="00D21393" w:rsidRPr="003C6DBD" w14:paraId="1A667055" w14:textId="77777777" w:rsidTr="003117FC">
        <w:trPr>
          <w:trHeight w:val="562"/>
        </w:trPr>
        <w:tc>
          <w:tcPr>
            <w:tcW w:w="5256" w:type="dxa"/>
          </w:tcPr>
          <w:p w14:paraId="725D63B9"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5C5F6D2E" wp14:editId="53EC7140">
                  <wp:extent cx="3200400" cy="2286000"/>
                  <wp:effectExtent l="0" t="0" r="0" b="0"/>
                  <wp:docPr id="279" name="Chart 279">
                    <a:extLst xmlns:a="http://schemas.openxmlformats.org/drawingml/2006/main">
                      <a:ext uri="{FF2B5EF4-FFF2-40B4-BE49-F238E27FC236}">
                        <a16:creationId xmlns:a16="http://schemas.microsoft.com/office/drawing/2014/main" id="{AC1993C6-B43C-4EE7-BB37-580319D750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tc>
        <w:tc>
          <w:tcPr>
            <w:tcW w:w="5256" w:type="dxa"/>
          </w:tcPr>
          <w:p w14:paraId="03C79331" w14:textId="77777777" w:rsidR="00E45DE9" w:rsidRPr="003C6DBD" w:rsidRDefault="00E45DE9" w:rsidP="005733AE">
            <w:pPr>
              <w:keepNext/>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30C18189" wp14:editId="0A934415">
                  <wp:extent cx="3200400" cy="2286000"/>
                  <wp:effectExtent l="0" t="0" r="0" b="0"/>
                  <wp:docPr id="283" name="Chart 283">
                    <a:extLst xmlns:a="http://schemas.openxmlformats.org/drawingml/2006/main">
                      <a:ext uri="{FF2B5EF4-FFF2-40B4-BE49-F238E27FC236}">
                        <a16:creationId xmlns:a16="http://schemas.microsoft.com/office/drawing/2014/main" id="{4A0325F0-4CCA-42FC-A283-642D7AEE2C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tc>
      </w:tr>
    </w:tbl>
    <w:p w14:paraId="7A30FC8E" w14:textId="151F3554" w:rsidR="005733AE" w:rsidRPr="003C6DBD" w:rsidRDefault="005733AE" w:rsidP="005733AE">
      <w:pPr>
        <w:pStyle w:val="Caption"/>
        <w:rPr>
          <w:rFonts w:ascii="Times New Roman" w:hAnsi="Times New Roman" w:cs="Times New Roman"/>
          <w:noProof/>
          <w:color w:val="0D0D0D" w:themeColor="text1" w:themeTint="F2"/>
          <w:sz w:val="24"/>
          <w:szCs w:val="24"/>
        </w:rPr>
      </w:pPr>
      <w:bookmarkStart w:id="83" w:name="_Toc132974495"/>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00E94FA5" w:rsidRPr="003C6DBD">
        <w:rPr>
          <w:rFonts w:ascii="Times New Roman" w:hAnsi="Times New Roman" w:cs="Times New Roman"/>
          <w:noProof/>
          <w:color w:val="0D0D0D" w:themeColor="text1" w:themeTint="F2"/>
          <w:sz w:val="24"/>
          <w:szCs w:val="24"/>
        </w:rPr>
        <w:t>11</w:t>
      </w:r>
      <w:r w:rsidRPr="003C6DBD">
        <w:rPr>
          <w:rFonts w:ascii="Times New Roman" w:hAnsi="Times New Roman" w:cs="Times New Roman"/>
          <w:color w:val="0D0D0D" w:themeColor="text1" w:themeTint="F2"/>
          <w:sz w:val="24"/>
          <w:szCs w:val="24"/>
        </w:rPr>
        <w:fldChar w:fldCharType="end"/>
      </w:r>
      <w:r w:rsidR="00264B09">
        <w:rPr>
          <w:rFonts w:ascii="Times New Roman" w:hAnsi="Times New Roman" w:cs="Times New Roman"/>
          <w:color w:val="0D0D0D" w:themeColor="text1" w:themeTint="F2"/>
          <w:sz w:val="24"/>
          <w:szCs w:val="24"/>
        </w:rPr>
        <w:t xml:space="preserve"> continued.</w:t>
      </w:r>
      <w:bookmarkEnd w:id="83"/>
    </w:p>
    <w:tbl>
      <w:tblPr>
        <w:tblStyle w:val="TableGrid"/>
        <w:tblW w:w="105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6"/>
        <w:gridCol w:w="5256"/>
      </w:tblGrid>
      <w:tr w:rsidR="00D21393" w:rsidRPr="003C6DBD" w14:paraId="4E87F142" w14:textId="77777777" w:rsidTr="003117FC">
        <w:trPr>
          <w:trHeight w:val="3788"/>
        </w:trPr>
        <w:tc>
          <w:tcPr>
            <w:tcW w:w="5256" w:type="dxa"/>
          </w:tcPr>
          <w:p w14:paraId="4455CC38" w14:textId="77777777" w:rsidR="005733AE" w:rsidRPr="003C6DBD" w:rsidRDefault="005733A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lastRenderedPageBreak/>
              <w:drawing>
                <wp:inline distT="0" distB="0" distL="0" distR="0" wp14:anchorId="62479538" wp14:editId="6F3480E6">
                  <wp:extent cx="3200400" cy="2286000"/>
                  <wp:effectExtent l="0" t="0" r="0" b="0"/>
                  <wp:docPr id="284" name="Chart 284">
                    <a:extLst xmlns:a="http://schemas.openxmlformats.org/drawingml/2006/main">
                      <a:ext uri="{FF2B5EF4-FFF2-40B4-BE49-F238E27FC236}">
                        <a16:creationId xmlns:a16="http://schemas.microsoft.com/office/drawing/2014/main" id="{B33B184D-1E9C-4EFF-864D-15480509D3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tc>
        <w:tc>
          <w:tcPr>
            <w:tcW w:w="5256" w:type="dxa"/>
          </w:tcPr>
          <w:p w14:paraId="2A886B45" w14:textId="77777777" w:rsidR="005733AE" w:rsidRPr="003C6DBD" w:rsidRDefault="005733A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4C41E58D" wp14:editId="17101E94">
                  <wp:extent cx="3200400" cy="2286000"/>
                  <wp:effectExtent l="0" t="0" r="0" b="0"/>
                  <wp:docPr id="288" name="Chart 288">
                    <a:extLst xmlns:a="http://schemas.openxmlformats.org/drawingml/2006/main">
                      <a:ext uri="{FF2B5EF4-FFF2-40B4-BE49-F238E27FC236}">
                        <a16:creationId xmlns:a16="http://schemas.microsoft.com/office/drawing/2014/main" id="{75C55121-E385-4259-91F0-71914448F7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tc>
      </w:tr>
      <w:tr w:rsidR="00D21393" w:rsidRPr="003C6DBD" w14:paraId="628EA833" w14:textId="77777777" w:rsidTr="003117FC">
        <w:trPr>
          <w:trHeight w:val="562"/>
        </w:trPr>
        <w:tc>
          <w:tcPr>
            <w:tcW w:w="5256" w:type="dxa"/>
          </w:tcPr>
          <w:p w14:paraId="503F5DD9" w14:textId="77777777" w:rsidR="005733AE" w:rsidRPr="003C6DBD" w:rsidRDefault="005733A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6071CAC3" wp14:editId="087C811F">
                  <wp:extent cx="3200400" cy="2286000"/>
                  <wp:effectExtent l="0" t="0" r="0" b="0"/>
                  <wp:docPr id="285" name="Chart 285">
                    <a:extLst xmlns:a="http://schemas.openxmlformats.org/drawingml/2006/main">
                      <a:ext uri="{FF2B5EF4-FFF2-40B4-BE49-F238E27FC236}">
                        <a16:creationId xmlns:a16="http://schemas.microsoft.com/office/drawing/2014/main" id="{229F3818-123A-457B-AE07-0B97D75589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tc>
        <w:tc>
          <w:tcPr>
            <w:tcW w:w="5256" w:type="dxa"/>
          </w:tcPr>
          <w:p w14:paraId="2A0024C0" w14:textId="77777777" w:rsidR="005733AE" w:rsidRPr="003C6DBD" w:rsidRDefault="005733A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2B72336B" wp14:editId="572B4957">
                  <wp:extent cx="3200400" cy="2286000"/>
                  <wp:effectExtent l="0" t="0" r="0" b="0"/>
                  <wp:docPr id="289" name="Chart 289">
                    <a:extLst xmlns:a="http://schemas.openxmlformats.org/drawingml/2006/main">
                      <a:ext uri="{FF2B5EF4-FFF2-40B4-BE49-F238E27FC236}">
                        <a16:creationId xmlns:a16="http://schemas.microsoft.com/office/drawing/2014/main" id="{ECBCF466-1E24-4737-AB8A-37D27DACD7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tc>
      </w:tr>
      <w:tr w:rsidR="00264B09" w:rsidRPr="003C6DBD" w14:paraId="6849E9C8" w14:textId="77777777" w:rsidTr="00CB7129">
        <w:trPr>
          <w:trHeight w:val="562"/>
        </w:trPr>
        <w:tc>
          <w:tcPr>
            <w:tcW w:w="10512" w:type="dxa"/>
            <w:gridSpan w:val="2"/>
          </w:tcPr>
          <w:p w14:paraId="12778879" w14:textId="77777777" w:rsidR="00264B09" w:rsidRPr="003C6DBD" w:rsidRDefault="00264B09" w:rsidP="00264B09">
            <w:pPr>
              <w:pStyle w:val="Caption"/>
              <w:rPr>
                <w:rFonts w:ascii="Times New Roman" w:hAnsi="Times New Roman" w:cs="Times New Roman"/>
                <w:color w:val="0D0D0D" w:themeColor="text1" w:themeTint="F2"/>
                <w:sz w:val="24"/>
                <w:szCs w:val="24"/>
              </w:rPr>
            </w:pPr>
            <w:bookmarkStart w:id="84" w:name="_Toc132974496"/>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noProof/>
                <w:color w:val="0D0D0D" w:themeColor="text1" w:themeTint="F2"/>
                <w:sz w:val="24"/>
                <w:szCs w:val="24"/>
              </w:rPr>
              <w:t>12</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Comparison of support activities risks between primary biofuel and secondary biofuel companies.</w:t>
            </w:r>
            <w:bookmarkEnd w:id="84"/>
          </w:p>
          <w:p w14:paraId="3EF8C27C" w14:textId="77777777" w:rsidR="00264B09" w:rsidRPr="003C6DBD" w:rsidRDefault="00264B09" w:rsidP="003117FC">
            <w:pPr>
              <w:spacing w:line="480" w:lineRule="auto"/>
              <w:rPr>
                <w:rFonts w:ascii="Times New Roman" w:hAnsi="Times New Roman" w:cs="Times New Roman"/>
                <w:noProof/>
                <w:color w:val="0D0D0D" w:themeColor="text1" w:themeTint="F2"/>
                <w:sz w:val="24"/>
                <w:szCs w:val="24"/>
              </w:rPr>
            </w:pPr>
          </w:p>
        </w:tc>
      </w:tr>
      <w:tr w:rsidR="00D21393" w:rsidRPr="003C6DBD" w14:paraId="636A16BA" w14:textId="77777777" w:rsidTr="003117FC">
        <w:trPr>
          <w:trHeight w:val="562"/>
        </w:trPr>
        <w:tc>
          <w:tcPr>
            <w:tcW w:w="5256" w:type="dxa"/>
          </w:tcPr>
          <w:p w14:paraId="15D78D30" w14:textId="77777777" w:rsidR="005733AE" w:rsidRPr="003C6DBD" w:rsidRDefault="005733A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lastRenderedPageBreak/>
              <w:drawing>
                <wp:inline distT="0" distB="0" distL="0" distR="0" wp14:anchorId="32A974A9" wp14:editId="29ED3A02">
                  <wp:extent cx="3200400" cy="2286000"/>
                  <wp:effectExtent l="0" t="0" r="0" b="0"/>
                  <wp:docPr id="286" name="Chart 286">
                    <a:extLst xmlns:a="http://schemas.openxmlformats.org/drawingml/2006/main">
                      <a:ext uri="{FF2B5EF4-FFF2-40B4-BE49-F238E27FC236}">
                        <a16:creationId xmlns:a16="http://schemas.microsoft.com/office/drawing/2014/main" id="{CB0EA3FB-582E-4B84-A004-A1841F522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tc>
        <w:tc>
          <w:tcPr>
            <w:tcW w:w="5256" w:type="dxa"/>
          </w:tcPr>
          <w:p w14:paraId="09502A0E" w14:textId="77777777" w:rsidR="005733AE" w:rsidRPr="003C6DBD" w:rsidRDefault="005733A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0CD72490" wp14:editId="34A266E1">
                  <wp:extent cx="3200400" cy="2286000"/>
                  <wp:effectExtent l="0" t="0" r="0" b="0"/>
                  <wp:docPr id="290" name="Chart 290">
                    <a:extLst xmlns:a="http://schemas.openxmlformats.org/drawingml/2006/main">
                      <a:ext uri="{FF2B5EF4-FFF2-40B4-BE49-F238E27FC236}">
                        <a16:creationId xmlns:a16="http://schemas.microsoft.com/office/drawing/2014/main" id="{08925DB0-8189-449E-A330-C7F06AC7C7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tc>
      </w:tr>
      <w:tr w:rsidR="00D21393" w:rsidRPr="003C6DBD" w14:paraId="4ACE2AAA" w14:textId="77777777" w:rsidTr="003117FC">
        <w:trPr>
          <w:trHeight w:val="562"/>
        </w:trPr>
        <w:tc>
          <w:tcPr>
            <w:tcW w:w="5256" w:type="dxa"/>
          </w:tcPr>
          <w:p w14:paraId="77F6CDE2" w14:textId="77777777" w:rsidR="005733AE" w:rsidRPr="003C6DBD" w:rsidRDefault="005733A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555192EA" wp14:editId="357DF84B">
                  <wp:extent cx="3200400" cy="2286000"/>
                  <wp:effectExtent l="0" t="0" r="0" b="0"/>
                  <wp:docPr id="287" name="Chart 287">
                    <a:extLst xmlns:a="http://schemas.openxmlformats.org/drawingml/2006/main">
                      <a:ext uri="{FF2B5EF4-FFF2-40B4-BE49-F238E27FC236}">
                        <a16:creationId xmlns:a16="http://schemas.microsoft.com/office/drawing/2014/main" id="{ED087992-319D-45D3-8E81-CCF4049232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tc>
        <w:tc>
          <w:tcPr>
            <w:tcW w:w="5256" w:type="dxa"/>
          </w:tcPr>
          <w:p w14:paraId="52456205" w14:textId="77777777" w:rsidR="005733AE" w:rsidRPr="003C6DBD" w:rsidRDefault="005733AE" w:rsidP="005733AE">
            <w:pPr>
              <w:keepNext/>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3CAB348E" wp14:editId="0F0C073A">
                  <wp:extent cx="3200400" cy="2286000"/>
                  <wp:effectExtent l="0" t="0" r="0" b="0"/>
                  <wp:docPr id="291" name="Chart 291">
                    <a:extLst xmlns:a="http://schemas.openxmlformats.org/drawingml/2006/main">
                      <a:ext uri="{FF2B5EF4-FFF2-40B4-BE49-F238E27FC236}">
                        <a16:creationId xmlns:a16="http://schemas.microsoft.com/office/drawing/2014/main" id="{9246EE52-2CD2-4AC2-84A3-2EE67FA351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tc>
      </w:tr>
    </w:tbl>
    <w:p w14:paraId="6D8C7609" w14:textId="77A32734" w:rsidR="00E45DE9" w:rsidRPr="003C6DBD" w:rsidRDefault="005733AE" w:rsidP="005733AE">
      <w:pPr>
        <w:pStyle w:val="Caption"/>
        <w:rPr>
          <w:rFonts w:ascii="Times New Roman" w:hAnsi="Times New Roman" w:cs="Times New Roman"/>
          <w:color w:val="0D0D0D" w:themeColor="text1" w:themeTint="F2"/>
          <w:sz w:val="24"/>
          <w:szCs w:val="24"/>
        </w:rPr>
      </w:pPr>
      <w:bookmarkStart w:id="85" w:name="_Toc132974497"/>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00E94FA5" w:rsidRPr="003C6DBD">
        <w:rPr>
          <w:rFonts w:ascii="Times New Roman" w:hAnsi="Times New Roman" w:cs="Times New Roman"/>
          <w:noProof/>
          <w:color w:val="0D0D0D" w:themeColor="text1" w:themeTint="F2"/>
          <w:sz w:val="24"/>
          <w:szCs w:val="24"/>
        </w:rPr>
        <w:t>12</w:t>
      </w:r>
      <w:r w:rsidRPr="003C6DBD">
        <w:rPr>
          <w:rFonts w:ascii="Times New Roman" w:hAnsi="Times New Roman" w:cs="Times New Roman"/>
          <w:color w:val="0D0D0D" w:themeColor="text1" w:themeTint="F2"/>
          <w:sz w:val="24"/>
          <w:szCs w:val="24"/>
        </w:rPr>
        <w:fldChar w:fldCharType="end"/>
      </w:r>
      <w:r w:rsidR="00264B09">
        <w:rPr>
          <w:rFonts w:ascii="Times New Roman" w:hAnsi="Times New Roman" w:cs="Times New Roman"/>
          <w:color w:val="0D0D0D" w:themeColor="text1" w:themeTint="F2"/>
          <w:sz w:val="24"/>
          <w:szCs w:val="24"/>
        </w:rPr>
        <w:t xml:space="preserve"> continued</w:t>
      </w:r>
      <w:r w:rsidRPr="003C6DBD">
        <w:rPr>
          <w:rFonts w:ascii="Times New Roman" w:hAnsi="Times New Roman" w:cs="Times New Roman"/>
          <w:color w:val="0D0D0D" w:themeColor="text1" w:themeTint="F2"/>
          <w:sz w:val="24"/>
          <w:szCs w:val="24"/>
        </w:rPr>
        <w:t>.</w:t>
      </w:r>
      <w:bookmarkEnd w:id="85"/>
    </w:p>
    <w:p w14:paraId="7D1E6C1E" w14:textId="77777777" w:rsidR="005733AE" w:rsidRPr="003C6DBD" w:rsidRDefault="005733AE" w:rsidP="00154E66">
      <w:pPr>
        <w:pStyle w:val="Caption"/>
        <w:keepNext/>
        <w:rPr>
          <w:rFonts w:ascii="Times New Roman" w:hAnsi="Times New Roman" w:cs="Times New Roman"/>
          <w:color w:val="0D0D0D" w:themeColor="text1" w:themeTint="F2"/>
          <w:sz w:val="24"/>
          <w:szCs w:val="24"/>
        </w:rPr>
        <w:sectPr w:rsidR="005733AE" w:rsidRPr="003C6DBD" w:rsidSect="005733AE">
          <w:pgSz w:w="15840" w:h="12240" w:orient="landscape"/>
          <w:pgMar w:top="1440" w:right="1440" w:bottom="1440" w:left="1440" w:header="720" w:footer="720" w:gutter="0"/>
          <w:cols w:space="720"/>
          <w:docGrid w:linePitch="360"/>
        </w:sectPr>
      </w:pPr>
    </w:p>
    <w:p w14:paraId="0C6EB7DF" w14:textId="1610B60A" w:rsidR="00154E66" w:rsidRPr="003C6DBD" w:rsidRDefault="00154E66" w:rsidP="00154E66">
      <w:pPr>
        <w:pStyle w:val="Caption"/>
        <w:keepNext/>
        <w:rPr>
          <w:rFonts w:ascii="Times New Roman" w:hAnsi="Times New Roman" w:cs="Times New Roman"/>
          <w:color w:val="0D0D0D" w:themeColor="text1" w:themeTint="F2"/>
          <w:sz w:val="24"/>
          <w:szCs w:val="24"/>
        </w:rPr>
      </w:pPr>
      <w:bookmarkStart w:id="86" w:name="_Toc132671828"/>
      <w:r w:rsidRPr="003C6DBD">
        <w:rPr>
          <w:rFonts w:ascii="Times New Roman" w:hAnsi="Times New Roman" w:cs="Times New Roman"/>
          <w:color w:val="0D0D0D" w:themeColor="text1" w:themeTint="F2"/>
          <w:sz w:val="24"/>
          <w:szCs w:val="24"/>
        </w:rPr>
        <w:lastRenderedPageBreak/>
        <w:t xml:space="preserve">Table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Table \* ARABIC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noProof/>
          <w:color w:val="0D0D0D" w:themeColor="text1" w:themeTint="F2"/>
          <w:sz w:val="24"/>
          <w:szCs w:val="24"/>
        </w:rPr>
        <w:t>14</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w:t>
      </w:r>
      <w:r w:rsidR="00C6134D" w:rsidRPr="003C6DBD">
        <w:rPr>
          <w:rFonts w:ascii="Times New Roman" w:hAnsi="Times New Roman" w:cs="Times New Roman"/>
          <w:color w:val="0D0D0D" w:themeColor="text1" w:themeTint="F2"/>
          <w:sz w:val="24"/>
          <w:szCs w:val="24"/>
        </w:rPr>
        <w:t xml:space="preserve"> </w:t>
      </w:r>
      <w:r w:rsidRPr="003C6DBD">
        <w:rPr>
          <w:rFonts w:ascii="Times New Roman" w:hAnsi="Times New Roman" w:cs="Times New Roman"/>
          <w:color w:val="0D0D0D" w:themeColor="text1" w:themeTint="F2"/>
          <w:sz w:val="24"/>
          <w:szCs w:val="24"/>
        </w:rPr>
        <w:t xml:space="preserve">Prevalent and significant risks for </w:t>
      </w:r>
      <w:r w:rsidR="00890C75" w:rsidRPr="003C6DBD">
        <w:rPr>
          <w:rFonts w:ascii="Times New Roman" w:hAnsi="Times New Roman" w:cs="Times New Roman"/>
          <w:color w:val="0D0D0D" w:themeColor="text1" w:themeTint="F2"/>
          <w:sz w:val="24"/>
          <w:szCs w:val="24"/>
        </w:rPr>
        <w:t xml:space="preserve">Primary Biofuel </w:t>
      </w:r>
      <w:r w:rsidRPr="003C6DBD">
        <w:rPr>
          <w:rFonts w:ascii="Times New Roman" w:hAnsi="Times New Roman" w:cs="Times New Roman"/>
          <w:color w:val="0D0D0D" w:themeColor="text1" w:themeTint="F2"/>
          <w:sz w:val="24"/>
          <w:szCs w:val="24"/>
        </w:rPr>
        <w:t>(</w:t>
      </w:r>
      <w:r w:rsidR="007A4BFF" w:rsidRPr="003C6DBD">
        <w:rPr>
          <w:rFonts w:ascii="Times New Roman" w:hAnsi="Times New Roman" w:cs="Times New Roman"/>
          <w:color w:val="0D0D0D" w:themeColor="text1" w:themeTint="F2"/>
          <w:sz w:val="24"/>
          <w:szCs w:val="24"/>
        </w:rPr>
        <w:t>P</w:t>
      </w:r>
      <w:r w:rsidRPr="003C6DBD">
        <w:rPr>
          <w:rFonts w:ascii="Times New Roman" w:hAnsi="Times New Roman" w:cs="Times New Roman"/>
          <w:color w:val="0D0D0D" w:themeColor="text1" w:themeTint="F2"/>
          <w:sz w:val="24"/>
          <w:szCs w:val="24"/>
        </w:rPr>
        <w:t>B) companies.</w:t>
      </w:r>
      <w:bookmarkEnd w:id="86"/>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1870"/>
        <w:gridCol w:w="1870"/>
        <w:gridCol w:w="1870"/>
        <w:gridCol w:w="1870"/>
      </w:tblGrid>
      <w:tr w:rsidR="00D21393" w:rsidRPr="003C6DBD" w14:paraId="33FA98A5" w14:textId="77777777" w:rsidTr="003117FC">
        <w:tc>
          <w:tcPr>
            <w:tcW w:w="1870" w:type="dxa"/>
            <w:tcBorders>
              <w:top w:val="single" w:sz="4" w:space="0" w:color="auto"/>
              <w:bottom w:val="single" w:sz="4" w:space="0" w:color="auto"/>
            </w:tcBorders>
          </w:tcPr>
          <w:p w14:paraId="54823B25" w14:textId="77777777" w:rsidR="00154E66" w:rsidRPr="003C6DBD" w:rsidRDefault="00154E66" w:rsidP="003117FC">
            <w:pPr>
              <w:spacing w:line="480" w:lineRule="auto"/>
              <w:rPr>
                <w:rFonts w:ascii="Times New Roman" w:hAnsi="Times New Roman" w:cs="Times New Roman"/>
                <w:b/>
                <w:bCs/>
                <w:noProof/>
                <w:color w:val="0D0D0D" w:themeColor="text1" w:themeTint="F2"/>
                <w:sz w:val="24"/>
                <w:szCs w:val="24"/>
              </w:rPr>
            </w:pPr>
          </w:p>
        </w:tc>
        <w:tc>
          <w:tcPr>
            <w:tcW w:w="7480" w:type="dxa"/>
            <w:gridSpan w:val="4"/>
            <w:tcBorders>
              <w:top w:val="single" w:sz="4" w:space="0" w:color="auto"/>
              <w:bottom w:val="single" w:sz="4" w:space="0" w:color="auto"/>
            </w:tcBorders>
          </w:tcPr>
          <w:p w14:paraId="2323EAFC" w14:textId="77777777" w:rsidR="00154E66" w:rsidRPr="003C6DBD" w:rsidRDefault="00154E66" w:rsidP="003117FC">
            <w:pPr>
              <w:spacing w:line="480" w:lineRule="auto"/>
              <w:rPr>
                <w:rFonts w:ascii="Times New Roman" w:hAnsi="Times New Roman" w:cs="Times New Roman"/>
                <w:b/>
                <w:bCs/>
                <w:noProof/>
                <w:color w:val="0D0D0D" w:themeColor="text1" w:themeTint="F2"/>
                <w:sz w:val="24"/>
                <w:szCs w:val="24"/>
              </w:rPr>
            </w:pPr>
            <w:r w:rsidRPr="003C6DBD">
              <w:rPr>
                <w:rFonts w:ascii="Times New Roman" w:hAnsi="Times New Roman" w:cs="Times New Roman"/>
                <w:b/>
                <w:bCs/>
                <w:noProof/>
                <w:color w:val="0D0D0D" w:themeColor="text1" w:themeTint="F2"/>
                <w:sz w:val="24"/>
                <w:szCs w:val="24"/>
              </w:rPr>
              <w:t>Prevalent and significant risks for primary biofuel (PB) companies</w:t>
            </w:r>
          </w:p>
        </w:tc>
      </w:tr>
      <w:tr w:rsidR="00D21393" w:rsidRPr="003C6DBD" w14:paraId="4DF08966" w14:textId="77777777" w:rsidTr="003117FC">
        <w:tc>
          <w:tcPr>
            <w:tcW w:w="1870" w:type="dxa"/>
            <w:tcBorders>
              <w:top w:val="single" w:sz="4" w:space="0" w:color="auto"/>
              <w:bottom w:val="single" w:sz="4" w:space="0" w:color="auto"/>
            </w:tcBorders>
          </w:tcPr>
          <w:p w14:paraId="2FBEB647" w14:textId="77777777" w:rsidR="00154E66" w:rsidRPr="003C6DBD" w:rsidRDefault="00154E66" w:rsidP="003117FC">
            <w:pPr>
              <w:spacing w:line="480" w:lineRule="auto"/>
              <w:rPr>
                <w:rFonts w:ascii="Times New Roman" w:hAnsi="Times New Roman" w:cs="Times New Roman"/>
                <w:b/>
                <w:bCs/>
                <w:noProof/>
                <w:color w:val="0D0D0D" w:themeColor="text1" w:themeTint="F2"/>
                <w:sz w:val="24"/>
                <w:szCs w:val="24"/>
              </w:rPr>
            </w:pPr>
            <w:r w:rsidRPr="003C6DBD">
              <w:rPr>
                <w:rFonts w:ascii="Times New Roman" w:hAnsi="Times New Roman" w:cs="Times New Roman"/>
                <w:b/>
                <w:bCs/>
                <w:noProof/>
                <w:color w:val="0D0D0D" w:themeColor="text1" w:themeTint="F2"/>
                <w:sz w:val="24"/>
                <w:szCs w:val="24"/>
              </w:rPr>
              <w:t>Risk categories</w:t>
            </w:r>
          </w:p>
        </w:tc>
        <w:tc>
          <w:tcPr>
            <w:tcW w:w="1870" w:type="dxa"/>
            <w:tcBorders>
              <w:top w:val="single" w:sz="4" w:space="0" w:color="auto"/>
              <w:bottom w:val="single" w:sz="4" w:space="0" w:color="auto"/>
            </w:tcBorders>
          </w:tcPr>
          <w:p w14:paraId="42638E72" w14:textId="77777777" w:rsidR="00154E66" w:rsidRPr="003C6DBD" w:rsidRDefault="00154E66" w:rsidP="003117FC">
            <w:pPr>
              <w:spacing w:line="480" w:lineRule="auto"/>
              <w:rPr>
                <w:rFonts w:ascii="Times New Roman" w:hAnsi="Times New Roman" w:cs="Times New Roman"/>
                <w:b/>
                <w:bCs/>
                <w:noProof/>
                <w:color w:val="0D0D0D" w:themeColor="text1" w:themeTint="F2"/>
                <w:sz w:val="24"/>
                <w:szCs w:val="24"/>
              </w:rPr>
            </w:pPr>
            <w:r w:rsidRPr="003C6DBD">
              <w:rPr>
                <w:rFonts w:ascii="Times New Roman" w:hAnsi="Times New Roman" w:cs="Times New Roman"/>
                <w:b/>
                <w:bCs/>
                <w:noProof/>
                <w:color w:val="0D0D0D" w:themeColor="text1" w:themeTint="F2"/>
                <w:sz w:val="24"/>
                <w:szCs w:val="24"/>
              </w:rPr>
              <w:t>2018</w:t>
            </w:r>
          </w:p>
        </w:tc>
        <w:tc>
          <w:tcPr>
            <w:tcW w:w="1870" w:type="dxa"/>
            <w:tcBorders>
              <w:top w:val="single" w:sz="4" w:space="0" w:color="auto"/>
              <w:bottom w:val="single" w:sz="4" w:space="0" w:color="auto"/>
            </w:tcBorders>
          </w:tcPr>
          <w:p w14:paraId="005C7E4A" w14:textId="77777777" w:rsidR="00154E66" w:rsidRPr="003C6DBD" w:rsidRDefault="00154E66" w:rsidP="003117FC">
            <w:pPr>
              <w:spacing w:line="480" w:lineRule="auto"/>
              <w:rPr>
                <w:rFonts w:ascii="Times New Roman" w:hAnsi="Times New Roman" w:cs="Times New Roman"/>
                <w:b/>
                <w:bCs/>
                <w:noProof/>
                <w:color w:val="0D0D0D" w:themeColor="text1" w:themeTint="F2"/>
                <w:sz w:val="24"/>
                <w:szCs w:val="24"/>
              </w:rPr>
            </w:pPr>
            <w:r w:rsidRPr="003C6DBD">
              <w:rPr>
                <w:rFonts w:ascii="Times New Roman" w:hAnsi="Times New Roman" w:cs="Times New Roman"/>
                <w:b/>
                <w:bCs/>
                <w:noProof/>
                <w:color w:val="0D0D0D" w:themeColor="text1" w:themeTint="F2"/>
                <w:sz w:val="24"/>
                <w:szCs w:val="24"/>
              </w:rPr>
              <w:t>2019</w:t>
            </w:r>
          </w:p>
        </w:tc>
        <w:tc>
          <w:tcPr>
            <w:tcW w:w="1870" w:type="dxa"/>
            <w:tcBorders>
              <w:top w:val="single" w:sz="4" w:space="0" w:color="auto"/>
              <w:bottom w:val="single" w:sz="4" w:space="0" w:color="auto"/>
            </w:tcBorders>
          </w:tcPr>
          <w:p w14:paraId="77658C4F" w14:textId="77777777" w:rsidR="00154E66" w:rsidRPr="003C6DBD" w:rsidRDefault="00154E66" w:rsidP="003117FC">
            <w:pPr>
              <w:spacing w:line="480" w:lineRule="auto"/>
              <w:rPr>
                <w:rFonts w:ascii="Times New Roman" w:hAnsi="Times New Roman" w:cs="Times New Roman"/>
                <w:b/>
                <w:bCs/>
                <w:noProof/>
                <w:color w:val="0D0D0D" w:themeColor="text1" w:themeTint="F2"/>
                <w:sz w:val="24"/>
                <w:szCs w:val="24"/>
              </w:rPr>
            </w:pPr>
            <w:r w:rsidRPr="003C6DBD">
              <w:rPr>
                <w:rFonts w:ascii="Times New Roman" w:hAnsi="Times New Roman" w:cs="Times New Roman"/>
                <w:b/>
                <w:bCs/>
                <w:noProof/>
                <w:color w:val="0D0D0D" w:themeColor="text1" w:themeTint="F2"/>
                <w:sz w:val="24"/>
                <w:szCs w:val="24"/>
              </w:rPr>
              <w:t>2020</w:t>
            </w:r>
          </w:p>
        </w:tc>
        <w:tc>
          <w:tcPr>
            <w:tcW w:w="1870" w:type="dxa"/>
            <w:tcBorders>
              <w:top w:val="single" w:sz="4" w:space="0" w:color="auto"/>
              <w:bottom w:val="single" w:sz="4" w:space="0" w:color="auto"/>
            </w:tcBorders>
          </w:tcPr>
          <w:p w14:paraId="0DC4B215" w14:textId="77777777" w:rsidR="00154E66" w:rsidRPr="003C6DBD" w:rsidRDefault="00154E66" w:rsidP="003117FC">
            <w:pPr>
              <w:spacing w:line="480" w:lineRule="auto"/>
              <w:rPr>
                <w:rFonts w:ascii="Times New Roman" w:hAnsi="Times New Roman" w:cs="Times New Roman"/>
                <w:b/>
                <w:bCs/>
                <w:noProof/>
                <w:color w:val="0D0D0D" w:themeColor="text1" w:themeTint="F2"/>
                <w:sz w:val="24"/>
                <w:szCs w:val="24"/>
              </w:rPr>
            </w:pPr>
            <w:r w:rsidRPr="003C6DBD">
              <w:rPr>
                <w:rFonts w:ascii="Times New Roman" w:hAnsi="Times New Roman" w:cs="Times New Roman"/>
                <w:b/>
                <w:bCs/>
                <w:noProof/>
                <w:color w:val="0D0D0D" w:themeColor="text1" w:themeTint="F2"/>
                <w:sz w:val="24"/>
                <w:szCs w:val="24"/>
              </w:rPr>
              <w:t>2021</w:t>
            </w:r>
          </w:p>
        </w:tc>
      </w:tr>
      <w:tr w:rsidR="00D21393" w:rsidRPr="003C6DBD" w14:paraId="36ABD2DC" w14:textId="77777777" w:rsidTr="003117FC">
        <w:tc>
          <w:tcPr>
            <w:tcW w:w="1870" w:type="dxa"/>
            <w:tcBorders>
              <w:top w:val="single" w:sz="4" w:space="0" w:color="auto"/>
            </w:tcBorders>
          </w:tcPr>
          <w:p w14:paraId="1FD3E99F"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 xml:space="preserve">Political </w:t>
            </w:r>
          </w:p>
        </w:tc>
        <w:tc>
          <w:tcPr>
            <w:tcW w:w="1870" w:type="dxa"/>
            <w:tcBorders>
              <w:top w:val="single" w:sz="4" w:space="0" w:color="auto"/>
            </w:tcBorders>
          </w:tcPr>
          <w:p w14:paraId="1FB62AE4"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BFR</w:t>
            </w:r>
          </w:p>
        </w:tc>
        <w:tc>
          <w:tcPr>
            <w:tcW w:w="1870" w:type="dxa"/>
            <w:tcBorders>
              <w:top w:val="single" w:sz="4" w:space="0" w:color="auto"/>
            </w:tcBorders>
          </w:tcPr>
          <w:p w14:paraId="2A983429"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BFR</w:t>
            </w:r>
          </w:p>
        </w:tc>
        <w:tc>
          <w:tcPr>
            <w:tcW w:w="1870" w:type="dxa"/>
            <w:tcBorders>
              <w:top w:val="single" w:sz="4" w:space="0" w:color="auto"/>
            </w:tcBorders>
          </w:tcPr>
          <w:p w14:paraId="2C15DFBD"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BFR</w:t>
            </w:r>
          </w:p>
        </w:tc>
        <w:tc>
          <w:tcPr>
            <w:tcW w:w="1870" w:type="dxa"/>
            <w:tcBorders>
              <w:top w:val="single" w:sz="4" w:space="0" w:color="auto"/>
            </w:tcBorders>
          </w:tcPr>
          <w:p w14:paraId="5E351D24"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BFR</w:t>
            </w:r>
          </w:p>
        </w:tc>
      </w:tr>
      <w:tr w:rsidR="00D21393" w:rsidRPr="003C6DBD" w14:paraId="6B4164F2" w14:textId="77777777" w:rsidTr="003117FC">
        <w:tc>
          <w:tcPr>
            <w:tcW w:w="1870" w:type="dxa"/>
          </w:tcPr>
          <w:p w14:paraId="78C50129"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Economic</w:t>
            </w:r>
          </w:p>
        </w:tc>
        <w:tc>
          <w:tcPr>
            <w:tcW w:w="1870" w:type="dxa"/>
          </w:tcPr>
          <w:p w14:paraId="38CA676C"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MRB, MRF</w:t>
            </w:r>
          </w:p>
        </w:tc>
        <w:tc>
          <w:tcPr>
            <w:tcW w:w="1870" w:type="dxa"/>
          </w:tcPr>
          <w:p w14:paraId="47EE78DE"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MRB, MRF</w:t>
            </w:r>
          </w:p>
        </w:tc>
        <w:tc>
          <w:tcPr>
            <w:tcW w:w="1870" w:type="dxa"/>
          </w:tcPr>
          <w:p w14:paraId="229FC64D"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MRB</w:t>
            </w:r>
          </w:p>
        </w:tc>
        <w:tc>
          <w:tcPr>
            <w:tcW w:w="1870" w:type="dxa"/>
          </w:tcPr>
          <w:p w14:paraId="66872FCB"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MRF, STR, GEC</w:t>
            </w:r>
          </w:p>
        </w:tc>
      </w:tr>
      <w:tr w:rsidR="00D21393" w:rsidRPr="003C6DBD" w14:paraId="261D3FC0" w14:textId="77777777" w:rsidTr="003117FC">
        <w:tc>
          <w:tcPr>
            <w:tcW w:w="1870" w:type="dxa"/>
          </w:tcPr>
          <w:p w14:paraId="46CA8ED3"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Social</w:t>
            </w:r>
          </w:p>
        </w:tc>
        <w:tc>
          <w:tcPr>
            <w:tcW w:w="1870" w:type="dxa"/>
          </w:tcPr>
          <w:p w14:paraId="63D618AE"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p>
        </w:tc>
        <w:tc>
          <w:tcPr>
            <w:tcW w:w="1870" w:type="dxa"/>
          </w:tcPr>
          <w:p w14:paraId="277DB7DC"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p>
        </w:tc>
        <w:tc>
          <w:tcPr>
            <w:tcW w:w="1870" w:type="dxa"/>
          </w:tcPr>
          <w:p w14:paraId="1D0334F0"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p>
        </w:tc>
        <w:tc>
          <w:tcPr>
            <w:tcW w:w="1870" w:type="dxa"/>
          </w:tcPr>
          <w:p w14:paraId="1F128FA4"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p>
        </w:tc>
      </w:tr>
      <w:tr w:rsidR="00D21393" w:rsidRPr="003C6DBD" w14:paraId="7F481F59" w14:textId="77777777" w:rsidTr="003117FC">
        <w:tc>
          <w:tcPr>
            <w:tcW w:w="1870" w:type="dxa"/>
          </w:tcPr>
          <w:p w14:paraId="4B2372EE"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 xml:space="preserve">Technological </w:t>
            </w:r>
          </w:p>
        </w:tc>
        <w:tc>
          <w:tcPr>
            <w:tcW w:w="1870" w:type="dxa"/>
          </w:tcPr>
          <w:p w14:paraId="29FCE78F"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p>
        </w:tc>
        <w:tc>
          <w:tcPr>
            <w:tcW w:w="1870" w:type="dxa"/>
          </w:tcPr>
          <w:p w14:paraId="664C1D48"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p>
        </w:tc>
        <w:tc>
          <w:tcPr>
            <w:tcW w:w="1870" w:type="dxa"/>
          </w:tcPr>
          <w:p w14:paraId="110C462D"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p>
        </w:tc>
        <w:tc>
          <w:tcPr>
            <w:tcW w:w="1870" w:type="dxa"/>
          </w:tcPr>
          <w:p w14:paraId="1EECD8DB"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CNT</w:t>
            </w:r>
          </w:p>
        </w:tc>
      </w:tr>
      <w:tr w:rsidR="00D21393" w:rsidRPr="003C6DBD" w14:paraId="6C41B4BC" w14:textId="77777777" w:rsidTr="003117FC">
        <w:tc>
          <w:tcPr>
            <w:tcW w:w="1870" w:type="dxa"/>
          </w:tcPr>
          <w:p w14:paraId="0CE798B7"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Primary Activities</w:t>
            </w:r>
          </w:p>
        </w:tc>
        <w:tc>
          <w:tcPr>
            <w:tcW w:w="1870" w:type="dxa"/>
          </w:tcPr>
          <w:p w14:paraId="2BDA4FDE"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PRO</w:t>
            </w:r>
          </w:p>
        </w:tc>
        <w:tc>
          <w:tcPr>
            <w:tcW w:w="1870" w:type="dxa"/>
          </w:tcPr>
          <w:p w14:paraId="7136B1A4"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PRO</w:t>
            </w:r>
          </w:p>
        </w:tc>
        <w:tc>
          <w:tcPr>
            <w:tcW w:w="1870" w:type="dxa"/>
          </w:tcPr>
          <w:p w14:paraId="5A49D10B"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PRO</w:t>
            </w:r>
          </w:p>
        </w:tc>
        <w:tc>
          <w:tcPr>
            <w:tcW w:w="1870" w:type="dxa"/>
          </w:tcPr>
          <w:p w14:paraId="5CE5858F"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PRO</w:t>
            </w:r>
          </w:p>
        </w:tc>
      </w:tr>
      <w:tr w:rsidR="00154E66" w:rsidRPr="003C6DBD" w14:paraId="3F2DE4F4" w14:textId="77777777" w:rsidTr="003117FC">
        <w:tc>
          <w:tcPr>
            <w:tcW w:w="1870" w:type="dxa"/>
          </w:tcPr>
          <w:p w14:paraId="2FBF7ED1"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Support Activities</w:t>
            </w:r>
          </w:p>
        </w:tc>
        <w:tc>
          <w:tcPr>
            <w:tcW w:w="1870" w:type="dxa"/>
          </w:tcPr>
          <w:p w14:paraId="6070EEC4"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RKM, FIN, CON</w:t>
            </w:r>
          </w:p>
        </w:tc>
        <w:tc>
          <w:tcPr>
            <w:tcW w:w="1870" w:type="dxa"/>
          </w:tcPr>
          <w:p w14:paraId="6784C30C"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RKM, FIN, CON</w:t>
            </w:r>
          </w:p>
        </w:tc>
        <w:tc>
          <w:tcPr>
            <w:tcW w:w="1870" w:type="dxa"/>
          </w:tcPr>
          <w:p w14:paraId="6B3B8823"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RKM, FIN, CON</w:t>
            </w:r>
          </w:p>
        </w:tc>
        <w:tc>
          <w:tcPr>
            <w:tcW w:w="1870" w:type="dxa"/>
          </w:tcPr>
          <w:p w14:paraId="65E28C51" w14:textId="77777777" w:rsidR="00154E66" w:rsidRPr="003C6DBD" w:rsidRDefault="00154E66"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RKM, FIN, CON</w:t>
            </w:r>
          </w:p>
        </w:tc>
      </w:tr>
    </w:tbl>
    <w:p w14:paraId="386D3E86" w14:textId="77777777" w:rsidR="00CF5C03" w:rsidRPr="003C6DBD" w:rsidRDefault="00CF5C03" w:rsidP="00154E66">
      <w:pPr>
        <w:pStyle w:val="Caption"/>
        <w:keepNext/>
        <w:rPr>
          <w:rFonts w:ascii="Times New Roman" w:hAnsi="Times New Roman" w:cs="Times New Roman"/>
          <w:color w:val="0D0D0D" w:themeColor="text1" w:themeTint="F2"/>
          <w:sz w:val="24"/>
          <w:szCs w:val="24"/>
        </w:rPr>
      </w:pPr>
    </w:p>
    <w:p w14:paraId="11A050DA" w14:textId="77777777" w:rsidR="00CF5C03" w:rsidRPr="003C6DBD" w:rsidRDefault="00CF5C03" w:rsidP="00154E66">
      <w:pPr>
        <w:pStyle w:val="Caption"/>
        <w:keepNext/>
        <w:rPr>
          <w:rFonts w:ascii="Times New Roman" w:hAnsi="Times New Roman" w:cs="Times New Roman"/>
          <w:color w:val="0D0D0D" w:themeColor="text1" w:themeTint="F2"/>
          <w:sz w:val="24"/>
          <w:szCs w:val="24"/>
        </w:rPr>
      </w:pPr>
    </w:p>
    <w:p w14:paraId="2A75909B" w14:textId="77777777" w:rsidR="00E94FA5" w:rsidRPr="003C6DBD" w:rsidRDefault="00E94FA5" w:rsidP="00E94FA5">
      <w:pPr>
        <w:rPr>
          <w:rFonts w:ascii="Times New Roman" w:hAnsi="Times New Roman" w:cs="Times New Roman"/>
          <w:color w:val="0D0D0D" w:themeColor="text1" w:themeTint="F2"/>
          <w:sz w:val="24"/>
          <w:szCs w:val="24"/>
        </w:rPr>
      </w:pPr>
    </w:p>
    <w:p w14:paraId="5F432B56" w14:textId="77777777" w:rsidR="00E94FA5" w:rsidRPr="003C6DBD" w:rsidRDefault="00E94FA5" w:rsidP="00E94FA5">
      <w:pPr>
        <w:rPr>
          <w:rFonts w:ascii="Times New Roman" w:hAnsi="Times New Roman" w:cs="Times New Roman"/>
          <w:color w:val="0D0D0D" w:themeColor="text1" w:themeTint="F2"/>
          <w:sz w:val="24"/>
          <w:szCs w:val="24"/>
        </w:rPr>
      </w:pPr>
    </w:p>
    <w:p w14:paraId="3D551EE7" w14:textId="77777777" w:rsidR="00E94FA5" w:rsidRPr="003C6DBD" w:rsidRDefault="00E94FA5" w:rsidP="00E94FA5">
      <w:pPr>
        <w:rPr>
          <w:rFonts w:ascii="Times New Roman" w:hAnsi="Times New Roman" w:cs="Times New Roman"/>
          <w:color w:val="0D0D0D" w:themeColor="text1" w:themeTint="F2"/>
          <w:sz w:val="24"/>
          <w:szCs w:val="24"/>
        </w:rPr>
      </w:pPr>
    </w:p>
    <w:p w14:paraId="69FB16E7" w14:textId="77777777" w:rsidR="00E94FA5" w:rsidRPr="003C6DBD" w:rsidRDefault="00E94FA5" w:rsidP="00E94FA5">
      <w:pPr>
        <w:rPr>
          <w:rFonts w:ascii="Times New Roman" w:hAnsi="Times New Roman" w:cs="Times New Roman"/>
          <w:color w:val="0D0D0D" w:themeColor="text1" w:themeTint="F2"/>
          <w:sz w:val="24"/>
          <w:szCs w:val="24"/>
        </w:rPr>
      </w:pPr>
    </w:p>
    <w:p w14:paraId="09658345" w14:textId="77777777" w:rsidR="00E94FA5" w:rsidRPr="003C6DBD" w:rsidRDefault="00E94FA5" w:rsidP="00E94FA5">
      <w:pPr>
        <w:rPr>
          <w:rFonts w:ascii="Times New Roman" w:hAnsi="Times New Roman" w:cs="Times New Roman"/>
          <w:color w:val="0D0D0D" w:themeColor="text1" w:themeTint="F2"/>
          <w:sz w:val="24"/>
          <w:szCs w:val="24"/>
        </w:rPr>
      </w:pPr>
    </w:p>
    <w:p w14:paraId="6C812D83" w14:textId="77777777" w:rsidR="00E94FA5" w:rsidRPr="003C6DBD" w:rsidRDefault="00E94FA5" w:rsidP="00E94FA5">
      <w:pPr>
        <w:rPr>
          <w:rFonts w:ascii="Times New Roman" w:hAnsi="Times New Roman" w:cs="Times New Roman"/>
          <w:color w:val="0D0D0D" w:themeColor="text1" w:themeTint="F2"/>
          <w:sz w:val="24"/>
          <w:szCs w:val="24"/>
        </w:rPr>
      </w:pPr>
    </w:p>
    <w:p w14:paraId="6E29EB2B" w14:textId="77777777" w:rsidR="00E94FA5" w:rsidRPr="003C6DBD" w:rsidRDefault="00E94FA5" w:rsidP="00E94FA5">
      <w:pPr>
        <w:rPr>
          <w:rFonts w:ascii="Times New Roman" w:hAnsi="Times New Roman" w:cs="Times New Roman"/>
          <w:color w:val="0D0D0D" w:themeColor="text1" w:themeTint="F2"/>
          <w:sz w:val="24"/>
          <w:szCs w:val="24"/>
        </w:rPr>
      </w:pPr>
    </w:p>
    <w:p w14:paraId="15941811" w14:textId="77777777" w:rsidR="00E94FA5" w:rsidRPr="003C6DBD" w:rsidRDefault="00E94FA5" w:rsidP="00E94FA5">
      <w:pPr>
        <w:rPr>
          <w:rFonts w:ascii="Times New Roman" w:hAnsi="Times New Roman" w:cs="Times New Roman"/>
          <w:color w:val="0D0D0D" w:themeColor="text1" w:themeTint="F2"/>
          <w:sz w:val="24"/>
          <w:szCs w:val="24"/>
        </w:rPr>
      </w:pPr>
    </w:p>
    <w:p w14:paraId="63AF2054" w14:textId="77777777" w:rsidR="00E94FA5" w:rsidRPr="003C6DBD" w:rsidRDefault="00E94FA5" w:rsidP="00E94FA5">
      <w:pPr>
        <w:rPr>
          <w:rFonts w:ascii="Times New Roman" w:hAnsi="Times New Roman" w:cs="Times New Roman"/>
          <w:color w:val="0D0D0D" w:themeColor="text1" w:themeTint="F2"/>
          <w:sz w:val="24"/>
          <w:szCs w:val="24"/>
        </w:rPr>
      </w:pPr>
    </w:p>
    <w:p w14:paraId="2A3D778A" w14:textId="77777777" w:rsidR="00E94FA5" w:rsidRPr="003C6DBD" w:rsidRDefault="00E94FA5" w:rsidP="00E94FA5">
      <w:pPr>
        <w:rPr>
          <w:rFonts w:ascii="Times New Roman" w:hAnsi="Times New Roman" w:cs="Times New Roman"/>
          <w:color w:val="0D0D0D" w:themeColor="text1" w:themeTint="F2"/>
          <w:sz w:val="24"/>
          <w:szCs w:val="24"/>
        </w:rPr>
      </w:pPr>
    </w:p>
    <w:p w14:paraId="44B59A0F" w14:textId="77777777" w:rsidR="00E94FA5" w:rsidRPr="003C6DBD" w:rsidRDefault="00E94FA5" w:rsidP="00E94FA5">
      <w:pPr>
        <w:rPr>
          <w:rFonts w:ascii="Times New Roman" w:hAnsi="Times New Roman" w:cs="Times New Roman"/>
          <w:color w:val="0D0D0D" w:themeColor="text1" w:themeTint="F2"/>
          <w:sz w:val="24"/>
          <w:szCs w:val="24"/>
        </w:rPr>
      </w:pPr>
    </w:p>
    <w:p w14:paraId="1A1E95B6" w14:textId="77777777" w:rsidR="00E94FA5" w:rsidRPr="003C6DBD" w:rsidRDefault="00E94FA5" w:rsidP="00E94FA5">
      <w:pPr>
        <w:rPr>
          <w:rFonts w:ascii="Times New Roman" w:hAnsi="Times New Roman" w:cs="Times New Roman"/>
          <w:color w:val="0D0D0D" w:themeColor="text1" w:themeTint="F2"/>
          <w:sz w:val="24"/>
          <w:szCs w:val="24"/>
        </w:rPr>
      </w:pPr>
    </w:p>
    <w:p w14:paraId="41006509" w14:textId="18E50EAE" w:rsidR="00E94FA5" w:rsidRPr="003C6DBD" w:rsidRDefault="00E94FA5" w:rsidP="00E94FA5">
      <w:pPr>
        <w:pStyle w:val="Caption"/>
        <w:keepNext/>
        <w:rPr>
          <w:rFonts w:ascii="Times New Roman" w:hAnsi="Times New Roman" w:cs="Times New Roman"/>
          <w:color w:val="0D0D0D" w:themeColor="text1" w:themeTint="F2"/>
          <w:sz w:val="24"/>
          <w:szCs w:val="24"/>
        </w:rPr>
      </w:pPr>
      <w:bookmarkStart w:id="87" w:name="_Toc132671829"/>
      <w:r w:rsidRPr="003C6DBD">
        <w:rPr>
          <w:rFonts w:ascii="Times New Roman" w:hAnsi="Times New Roman" w:cs="Times New Roman"/>
          <w:color w:val="0D0D0D" w:themeColor="text1" w:themeTint="F2"/>
          <w:sz w:val="24"/>
          <w:szCs w:val="24"/>
        </w:rPr>
        <w:lastRenderedPageBreak/>
        <w:t xml:space="preserve">Table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Table \* ARABIC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noProof/>
          <w:color w:val="0D0D0D" w:themeColor="text1" w:themeTint="F2"/>
          <w:sz w:val="24"/>
          <w:szCs w:val="24"/>
        </w:rPr>
        <w:t>15</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Prevalent and significant risks for </w:t>
      </w:r>
      <w:r w:rsidR="00890C75" w:rsidRPr="003C6DBD">
        <w:rPr>
          <w:rFonts w:ascii="Times New Roman" w:hAnsi="Times New Roman" w:cs="Times New Roman"/>
          <w:color w:val="0D0D0D" w:themeColor="text1" w:themeTint="F2"/>
          <w:sz w:val="24"/>
          <w:szCs w:val="24"/>
        </w:rPr>
        <w:t xml:space="preserve">Secondary Biofuel </w:t>
      </w:r>
      <w:r w:rsidRPr="003C6DBD">
        <w:rPr>
          <w:rFonts w:ascii="Times New Roman" w:hAnsi="Times New Roman" w:cs="Times New Roman"/>
          <w:color w:val="0D0D0D" w:themeColor="text1" w:themeTint="F2"/>
          <w:sz w:val="24"/>
          <w:szCs w:val="24"/>
        </w:rPr>
        <w:t>(SB) companies.</w:t>
      </w:r>
      <w:bookmarkEnd w:id="87"/>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1870"/>
        <w:gridCol w:w="1870"/>
        <w:gridCol w:w="1870"/>
        <w:gridCol w:w="1870"/>
      </w:tblGrid>
      <w:tr w:rsidR="00D21393" w:rsidRPr="003C6DBD" w14:paraId="2A9427DE" w14:textId="77777777" w:rsidTr="003117FC">
        <w:tc>
          <w:tcPr>
            <w:tcW w:w="1870" w:type="dxa"/>
            <w:tcBorders>
              <w:top w:val="single" w:sz="4" w:space="0" w:color="auto"/>
              <w:bottom w:val="single" w:sz="4" w:space="0" w:color="auto"/>
            </w:tcBorders>
          </w:tcPr>
          <w:p w14:paraId="4730D19A" w14:textId="77777777" w:rsidR="00E94FA5" w:rsidRPr="003C6DBD" w:rsidRDefault="00E94FA5" w:rsidP="003117FC">
            <w:pPr>
              <w:spacing w:line="480" w:lineRule="auto"/>
              <w:rPr>
                <w:rFonts w:ascii="Times New Roman" w:hAnsi="Times New Roman" w:cs="Times New Roman"/>
                <w:b/>
                <w:bCs/>
                <w:noProof/>
                <w:color w:val="0D0D0D" w:themeColor="text1" w:themeTint="F2"/>
                <w:sz w:val="24"/>
                <w:szCs w:val="24"/>
              </w:rPr>
            </w:pPr>
          </w:p>
        </w:tc>
        <w:tc>
          <w:tcPr>
            <w:tcW w:w="7480" w:type="dxa"/>
            <w:gridSpan w:val="4"/>
            <w:tcBorders>
              <w:top w:val="single" w:sz="4" w:space="0" w:color="auto"/>
              <w:bottom w:val="single" w:sz="4" w:space="0" w:color="auto"/>
            </w:tcBorders>
          </w:tcPr>
          <w:p w14:paraId="36E5D7CA" w14:textId="77777777" w:rsidR="00E94FA5" w:rsidRPr="003C6DBD" w:rsidRDefault="00E94FA5" w:rsidP="003117FC">
            <w:pPr>
              <w:spacing w:line="480" w:lineRule="auto"/>
              <w:rPr>
                <w:rFonts w:ascii="Times New Roman" w:hAnsi="Times New Roman" w:cs="Times New Roman"/>
                <w:b/>
                <w:bCs/>
                <w:noProof/>
                <w:color w:val="0D0D0D" w:themeColor="text1" w:themeTint="F2"/>
                <w:sz w:val="24"/>
                <w:szCs w:val="24"/>
              </w:rPr>
            </w:pPr>
            <w:r w:rsidRPr="003C6DBD">
              <w:rPr>
                <w:rFonts w:ascii="Times New Roman" w:hAnsi="Times New Roman" w:cs="Times New Roman"/>
                <w:b/>
                <w:bCs/>
                <w:noProof/>
                <w:color w:val="0D0D0D" w:themeColor="text1" w:themeTint="F2"/>
                <w:sz w:val="24"/>
                <w:szCs w:val="24"/>
              </w:rPr>
              <w:t>Prevalent and significant risks for secondary biofuel (SB) companies</w:t>
            </w:r>
          </w:p>
        </w:tc>
      </w:tr>
      <w:tr w:rsidR="00D21393" w:rsidRPr="003C6DBD" w14:paraId="2461E1B7" w14:textId="77777777" w:rsidTr="003117FC">
        <w:tc>
          <w:tcPr>
            <w:tcW w:w="1870" w:type="dxa"/>
            <w:tcBorders>
              <w:top w:val="single" w:sz="4" w:space="0" w:color="auto"/>
              <w:bottom w:val="single" w:sz="4" w:space="0" w:color="auto"/>
            </w:tcBorders>
          </w:tcPr>
          <w:p w14:paraId="10CA2E11" w14:textId="77777777" w:rsidR="00E94FA5" w:rsidRPr="003C6DBD" w:rsidRDefault="00E94FA5" w:rsidP="003117FC">
            <w:pPr>
              <w:spacing w:line="480" w:lineRule="auto"/>
              <w:rPr>
                <w:rFonts w:ascii="Times New Roman" w:hAnsi="Times New Roman" w:cs="Times New Roman"/>
                <w:b/>
                <w:bCs/>
                <w:noProof/>
                <w:color w:val="0D0D0D" w:themeColor="text1" w:themeTint="F2"/>
                <w:sz w:val="24"/>
                <w:szCs w:val="24"/>
              </w:rPr>
            </w:pPr>
            <w:r w:rsidRPr="003C6DBD">
              <w:rPr>
                <w:rFonts w:ascii="Times New Roman" w:hAnsi="Times New Roman" w:cs="Times New Roman"/>
                <w:b/>
                <w:bCs/>
                <w:noProof/>
                <w:color w:val="0D0D0D" w:themeColor="text1" w:themeTint="F2"/>
                <w:sz w:val="24"/>
                <w:szCs w:val="24"/>
              </w:rPr>
              <w:t>Risk categories</w:t>
            </w:r>
          </w:p>
        </w:tc>
        <w:tc>
          <w:tcPr>
            <w:tcW w:w="1870" w:type="dxa"/>
            <w:tcBorders>
              <w:top w:val="single" w:sz="4" w:space="0" w:color="auto"/>
              <w:bottom w:val="single" w:sz="4" w:space="0" w:color="auto"/>
            </w:tcBorders>
          </w:tcPr>
          <w:p w14:paraId="3756016B" w14:textId="77777777" w:rsidR="00E94FA5" w:rsidRPr="003C6DBD" w:rsidRDefault="00E94FA5" w:rsidP="003117FC">
            <w:pPr>
              <w:spacing w:line="480" w:lineRule="auto"/>
              <w:rPr>
                <w:rFonts w:ascii="Times New Roman" w:hAnsi="Times New Roman" w:cs="Times New Roman"/>
                <w:b/>
                <w:bCs/>
                <w:noProof/>
                <w:color w:val="0D0D0D" w:themeColor="text1" w:themeTint="F2"/>
                <w:sz w:val="24"/>
                <w:szCs w:val="24"/>
              </w:rPr>
            </w:pPr>
            <w:r w:rsidRPr="003C6DBD">
              <w:rPr>
                <w:rFonts w:ascii="Times New Roman" w:hAnsi="Times New Roman" w:cs="Times New Roman"/>
                <w:b/>
                <w:bCs/>
                <w:noProof/>
                <w:color w:val="0D0D0D" w:themeColor="text1" w:themeTint="F2"/>
                <w:sz w:val="24"/>
                <w:szCs w:val="24"/>
              </w:rPr>
              <w:t>2018</w:t>
            </w:r>
          </w:p>
        </w:tc>
        <w:tc>
          <w:tcPr>
            <w:tcW w:w="1870" w:type="dxa"/>
            <w:tcBorders>
              <w:top w:val="single" w:sz="4" w:space="0" w:color="auto"/>
              <w:bottom w:val="single" w:sz="4" w:space="0" w:color="auto"/>
            </w:tcBorders>
          </w:tcPr>
          <w:p w14:paraId="79812508" w14:textId="77777777" w:rsidR="00E94FA5" w:rsidRPr="003C6DBD" w:rsidRDefault="00E94FA5" w:rsidP="003117FC">
            <w:pPr>
              <w:spacing w:line="480" w:lineRule="auto"/>
              <w:rPr>
                <w:rFonts w:ascii="Times New Roman" w:hAnsi="Times New Roman" w:cs="Times New Roman"/>
                <w:b/>
                <w:bCs/>
                <w:noProof/>
                <w:color w:val="0D0D0D" w:themeColor="text1" w:themeTint="F2"/>
                <w:sz w:val="24"/>
                <w:szCs w:val="24"/>
              </w:rPr>
            </w:pPr>
            <w:r w:rsidRPr="003C6DBD">
              <w:rPr>
                <w:rFonts w:ascii="Times New Roman" w:hAnsi="Times New Roman" w:cs="Times New Roman"/>
                <w:b/>
                <w:bCs/>
                <w:noProof/>
                <w:color w:val="0D0D0D" w:themeColor="text1" w:themeTint="F2"/>
                <w:sz w:val="24"/>
                <w:szCs w:val="24"/>
              </w:rPr>
              <w:t>2019</w:t>
            </w:r>
          </w:p>
        </w:tc>
        <w:tc>
          <w:tcPr>
            <w:tcW w:w="1870" w:type="dxa"/>
            <w:tcBorders>
              <w:top w:val="single" w:sz="4" w:space="0" w:color="auto"/>
              <w:bottom w:val="single" w:sz="4" w:space="0" w:color="auto"/>
            </w:tcBorders>
          </w:tcPr>
          <w:p w14:paraId="6A76A8D4" w14:textId="77777777" w:rsidR="00E94FA5" w:rsidRPr="003C6DBD" w:rsidRDefault="00E94FA5" w:rsidP="003117FC">
            <w:pPr>
              <w:spacing w:line="480" w:lineRule="auto"/>
              <w:rPr>
                <w:rFonts w:ascii="Times New Roman" w:hAnsi="Times New Roman" w:cs="Times New Roman"/>
                <w:b/>
                <w:bCs/>
                <w:noProof/>
                <w:color w:val="0D0D0D" w:themeColor="text1" w:themeTint="F2"/>
                <w:sz w:val="24"/>
                <w:szCs w:val="24"/>
              </w:rPr>
            </w:pPr>
            <w:r w:rsidRPr="003C6DBD">
              <w:rPr>
                <w:rFonts w:ascii="Times New Roman" w:hAnsi="Times New Roman" w:cs="Times New Roman"/>
                <w:b/>
                <w:bCs/>
                <w:noProof/>
                <w:color w:val="0D0D0D" w:themeColor="text1" w:themeTint="F2"/>
                <w:sz w:val="24"/>
                <w:szCs w:val="24"/>
              </w:rPr>
              <w:t>2020</w:t>
            </w:r>
          </w:p>
        </w:tc>
        <w:tc>
          <w:tcPr>
            <w:tcW w:w="1870" w:type="dxa"/>
            <w:tcBorders>
              <w:top w:val="single" w:sz="4" w:space="0" w:color="auto"/>
              <w:bottom w:val="single" w:sz="4" w:space="0" w:color="auto"/>
            </w:tcBorders>
          </w:tcPr>
          <w:p w14:paraId="6537AFD8" w14:textId="77777777" w:rsidR="00E94FA5" w:rsidRPr="003C6DBD" w:rsidRDefault="00E94FA5" w:rsidP="003117FC">
            <w:pPr>
              <w:spacing w:line="480" w:lineRule="auto"/>
              <w:rPr>
                <w:rFonts w:ascii="Times New Roman" w:hAnsi="Times New Roman" w:cs="Times New Roman"/>
                <w:b/>
                <w:bCs/>
                <w:noProof/>
                <w:color w:val="0D0D0D" w:themeColor="text1" w:themeTint="F2"/>
                <w:sz w:val="24"/>
                <w:szCs w:val="24"/>
              </w:rPr>
            </w:pPr>
            <w:r w:rsidRPr="003C6DBD">
              <w:rPr>
                <w:rFonts w:ascii="Times New Roman" w:hAnsi="Times New Roman" w:cs="Times New Roman"/>
                <w:b/>
                <w:bCs/>
                <w:noProof/>
                <w:color w:val="0D0D0D" w:themeColor="text1" w:themeTint="F2"/>
                <w:sz w:val="24"/>
                <w:szCs w:val="24"/>
              </w:rPr>
              <w:t>2021</w:t>
            </w:r>
          </w:p>
        </w:tc>
      </w:tr>
      <w:tr w:rsidR="00D21393" w:rsidRPr="003C6DBD" w14:paraId="03D78126" w14:textId="77777777" w:rsidTr="003117FC">
        <w:tc>
          <w:tcPr>
            <w:tcW w:w="1870" w:type="dxa"/>
            <w:tcBorders>
              <w:top w:val="single" w:sz="4" w:space="0" w:color="auto"/>
            </w:tcBorders>
          </w:tcPr>
          <w:p w14:paraId="5A1CE0B4"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 xml:space="preserve">Political </w:t>
            </w:r>
          </w:p>
        </w:tc>
        <w:tc>
          <w:tcPr>
            <w:tcW w:w="1870" w:type="dxa"/>
            <w:tcBorders>
              <w:top w:val="single" w:sz="4" w:space="0" w:color="auto"/>
            </w:tcBorders>
          </w:tcPr>
          <w:p w14:paraId="20E52E36"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GNR, EHS</w:t>
            </w:r>
          </w:p>
        </w:tc>
        <w:tc>
          <w:tcPr>
            <w:tcW w:w="1870" w:type="dxa"/>
            <w:tcBorders>
              <w:top w:val="single" w:sz="4" w:space="0" w:color="auto"/>
            </w:tcBorders>
          </w:tcPr>
          <w:p w14:paraId="132A98C6"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GNR, EHS, INF</w:t>
            </w:r>
          </w:p>
        </w:tc>
        <w:tc>
          <w:tcPr>
            <w:tcW w:w="1870" w:type="dxa"/>
            <w:tcBorders>
              <w:top w:val="single" w:sz="4" w:space="0" w:color="auto"/>
            </w:tcBorders>
          </w:tcPr>
          <w:p w14:paraId="64339E86"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GNR, INF</w:t>
            </w:r>
          </w:p>
        </w:tc>
        <w:tc>
          <w:tcPr>
            <w:tcW w:w="1870" w:type="dxa"/>
            <w:tcBorders>
              <w:top w:val="single" w:sz="4" w:space="0" w:color="auto"/>
            </w:tcBorders>
          </w:tcPr>
          <w:p w14:paraId="2B55562B"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GNR, EHS, INF</w:t>
            </w:r>
          </w:p>
        </w:tc>
      </w:tr>
      <w:tr w:rsidR="00D21393" w:rsidRPr="003C6DBD" w14:paraId="4676A408" w14:textId="77777777" w:rsidTr="003117FC">
        <w:tc>
          <w:tcPr>
            <w:tcW w:w="1870" w:type="dxa"/>
          </w:tcPr>
          <w:p w14:paraId="7D8233E4"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Economic</w:t>
            </w:r>
          </w:p>
        </w:tc>
        <w:tc>
          <w:tcPr>
            <w:tcW w:w="1870" w:type="dxa"/>
          </w:tcPr>
          <w:p w14:paraId="070DAEAA"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GEC, MRF</w:t>
            </w:r>
          </w:p>
        </w:tc>
        <w:tc>
          <w:tcPr>
            <w:tcW w:w="1870" w:type="dxa"/>
          </w:tcPr>
          <w:p w14:paraId="32F2548C"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GEC, MRF</w:t>
            </w:r>
          </w:p>
        </w:tc>
        <w:tc>
          <w:tcPr>
            <w:tcW w:w="1870" w:type="dxa"/>
          </w:tcPr>
          <w:p w14:paraId="15A25FD2"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GEC</w:t>
            </w:r>
          </w:p>
        </w:tc>
        <w:tc>
          <w:tcPr>
            <w:tcW w:w="1870" w:type="dxa"/>
          </w:tcPr>
          <w:p w14:paraId="1142B06B"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GEC</w:t>
            </w:r>
          </w:p>
        </w:tc>
      </w:tr>
      <w:tr w:rsidR="00D21393" w:rsidRPr="003C6DBD" w14:paraId="11AFDBCC" w14:textId="77777777" w:rsidTr="003117FC">
        <w:tc>
          <w:tcPr>
            <w:tcW w:w="1870" w:type="dxa"/>
          </w:tcPr>
          <w:p w14:paraId="507F925C"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Social</w:t>
            </w:r>
          </w:p>
        </w:tc>
        <w:tc>
          <w:tcPr>
            <w:tcW w:w="1870" w:type="dxa"/>
          </w:tcPr>
          <w:p w14:paraId="491EA9E4"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p>
        </w:tc>
        <w:tc>
          <w:tcPr>
            <w:tcW w:w="1870" w:type="dxa"/>
          </w:tcPr>
          <w:p w14:paraId="38685AD5"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p>
        </w:tc>
        <w:tc>
          <w:tcPr>
            <w:tcW w:w="1870" w:type="dxa"/>
          </w:tcPr>
          <w:p w14:paraId="16717067"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p>
        </w:tc>
        <w:tc>
          <w:tcPr>
            <w:tcW w:w="1870" w:type="dxa"/>
          </w:tcPr>
          <w:p w14:paraId="18F1DCC9"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p>
        </w:tc>
      </w:tr>
      <w:tr w:rsidR="00D21393" w:rsidRPr="003C6DBD" w14:paraId="5CE5A735" w14:textId="77777777" w:rsidTr="003117FC">
        <w:tc>
          <w:tcPr>
            <w:tcW w:w="1870" w:type="dxa"/>
          </w:tcPr>
          <w:p w14:paraId="228FCD3F"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 xml:space="preserve">Technological </w:t>
            </w:r>
          </w:p>
        </w:tc>
        <w:tc>
          <w:tcPr>
            <w:tcW w:w="1870" w:type="dxa"/>
          </w:tcPr>
          <w:p w14:paraId="01C19CD8"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p>
        </w:tc>
        <w:tc>
          <w:tcPr>
            <w:tcW w:w="1870" w:type="dxa"/>
          </w:tcPr>
          <w:p w14:paraId="7BAAAB5C"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p>
        </w:tc>
        <w:tc>
          <w:tcPr>
            <w:tcW w:w="1870" w:type="dxa"/>
          </w:tcPr>
          <w:p w14:paraId="5D7CDEA9"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p>
        </w:tc>
        <w:tc>
          <w:tcPr>
            <w:tcW w:w="1870" w:type="dxa"/>
          </w:tcPr>
          <w:p w14:paraId="1A76DC14"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p>
        </w:tc>
      </w:tr>
      <w:tr w:rsidR="00D21393" w:rsidRPr="003C6DBD" w14:paraId="0AB15AAA" w14:textId="77777777" w:rsidTr="003117FC">
        <w:tc>
          <w:tcPr>
            <w:tcW w:w="1870" w:type="dxa"/>
          </w:tcPr>
          <w:p w14:paraId="714C8214"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Primary Activities</w:t>
            </w:r>
          </w:p>
        </w:tc>
        <w:tc>
          <w:tcPr>
            <w:tcW w:w="1870" w:type="dxa"/>
          </w:tcPr>
          <w:p w14:paraId="1F2733B3"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PRO</w:t>
            </w:r>
          </w:p>
        </w:tc>
        <w:tc>
          <w:tcPr>
            <w:tcW w:w="1870" w:type="dxa"/>
          </w:tcPr>
          <w:p w14:paraId="3DF72C60"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PRO</w:t>
            </w:r>
          </w:p>
        </w:tc>
        <w:tc>
          <w:tcPr>
            <w:tcW w:w="1870" w:type="dxa"/>
          </w:tcPr>
          <w:p w14:paraId="4E6E2A41"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PRO</w:t>
            </w:r>
          </w:p>
        </w:tc>
        <w:tc>
          <w:tcPr>
            <w:tcW w:w="1870" w:type="dxa"/>
          </w:tcPr>
          <w:p w14:paraId="7357CF1C"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PRO</w:t>
            </w:r>
          </w:p>
        </w:tc>
      </w:tr>
      <w:tr w:rsidR="00E94FA5" w:rsidRPr="003C6DBD" w14:paraId="43CC9889" w14:textId="77777777" w:rsidTr="003117FC">
        <w:tc>
          <w:tcPr>
            <w:tcW w:w="1870" w:type="dxa"/>
          </w:tcPr>
          <w:p w14:paraId="50EFD80A"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Support Activities</w:t>
            </w:r>
          </w:p>
        </w:tc>
        <w:tc>
          <w:tcPr>
            <w:tcW w:w="1870" w:type="dxa"/>
          </w:tcPr>
          <w:p w14:paraId="1C3FDEE3"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RKM, FIN, CON</w:t>
            </w:r>
          </w:p>
        </w:tc>
        <w:tc>
          <w:tcPr>
            <w:tcW w:w="1870" w:type="dxa"/>
          </w:tcPr>
          <w:p w14:paraId="5956697A"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RKM, FIN, CON</w:t>
            </w:r>
          </w:p>
        </w:tc>
        <w:tc>
          <w:tcPr>
            <w:tcW w:w="1870" w:type="dxa"/>
          </w:tcPr>
          <w:p w14:paraId="6319644E"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RKM, FIN, CON</w:t>
            </w:r>
          </w:p>
        </w:tc>
        <w:tc>
          <w:tcPr>
            <w:tcW w:w="1870" w:type="dxa"/>
          </w:tcPr>
          <w:p w14:paraId="6029EF42" w14:textId="77777777" w:rsidR="00E94FA5" w:rsidRPr="003C6DBD" w:rsidRDefault="00E94FA5" w:rsidP="003117FC">
            <w:pPr>
              <w:spacing w:line="480" w:lineRule="auto"/>
              <w:rPr>
                <w:rFonts w:ascii="Times New Roman" w:hAnsi="Times New Roman" w:cs="Times New Roman"/>
                <w:noProof/>
                <w:color w:val="0D0D0D" w:themeColor="text1" w:themeTint="F2"/>
                <w:sz w:val="24"/>
                <w:szCs w:val="24"/>
              </w:rPr>
            </w:pPr>
            <w:r w:rsidRPr="003C6DBD">
              <w:rPr>
                <w:rFonts w:ascii="Times New Roman" w:hAnsi="Times New Roman" w:cs="Times New Roman"/>
                <w:noProof/>
                <w:color w:val="0D0D0D" w:themeColor="text1" w:themeTint="F2"/>
                <w:sz w:val="24"/>
                <w:szCs w:val="24"/>
              </w:rPr>
              <w:t>RKM, FIN, CON</w:t>
            </w:r>
          </w:p>
        </w:tc>
      </w:tr>
    </w:tbl>
    <w:p w14:paraId="29948007" w14:textId="77777777" w:rsidR="00E94FA5" w:rsidRPr="003C6DBD" w:rsidRDefault="00E94FA5" w:rsidP="00E94FA5">
      <w:pPr>
        <w:rPr>
          <w:rFonts w:ascii="Times New Roman" w:hAnsi="Times New Roman" w:cs="Times New Roman"/>
          <w:color w:val="0D0D0D" w:themeColor="text1" w:themeTint="F2"/>
          <w:sz w:val="24"/>
          <w:szCs w:val="24"/>
        </w:rPr>
      </w:pPr>
    </w:p>
    <w:p w14:paraId="1908C836" w14:textId="77777777" w:rsidR="00CF5C03" w:rsidRPr="003C6DBD" w:rsidRDefault="00CF5C03" w:rsidP="00154E66">
      <w:pPr>
        <w:pStyle w:val="Caption"/>
        <w:keepNext/>
        <w:rPr>
          <w:rFonts w:ascii="Times New Roman" w:hAnsi="Times New Roman" w:cs="Times New Roman"/>
          <w:color w:val="0D0D0D" w:themeColor="text1" w:themeTint="F2"/>
          <w:sz w:val="24"/>
          <w:szCs w:val="24"/>
        </w:rPr>
      </w:pPr>
    </w:p>
    <w:p w14:paraId="63922E49" w14:textId="77777777" w:rsidR="00CF5C03" w:rsidRPr="003C6DBD" w:rsidRDefault="00CF5C03" w:rsidP="00154E66">
      <w:pPr>
        <w:pStyle w:val="Caption"/>
        <w:keepNext/>
        <w:rPr>
          <w:rFonts w:ascii="Times New Roman" w:hAnsi="Times New Roman" w:cs="Times New Roman"/>
          <w:color w:val="0D0D0D" w:themeColor="text1" w:themeTint="F2"/>
          <w:sz w:val="24"/>
          <w:szCs w:val="24"/>
        </w:rPr>
      </w:pPr>
    </w:p>
    <w:p w14:paraId="68D2CB66" w14:textId="77777777" w:rsidR="00CF5C03" w:rsidRPr="003C6DBD" w:rsidRDefault="00CF5C03" w:rsidP="00154E66">
      <w:pPr>
        <w:pStyle w:val="Caption"/>
        <w:keepNext/>
        <w:rPr>
          <w:rFonts w:ascii="Times New Roman" w:hAnsi="Times New Roman" w:cs="Times New Roman"/>
          <w:color w:val="0D0D0D" w:themeColor="text1" w:themeTint="F2"/>
          <w:sz w:val="24"/>
          <w:szCs w:val="24"/>
        </w:rPr>
      </w:pPr>
    </w:p>
    <w:p w14:paraId="051B9120" w14:textId="77777777" w:rsidR="00CF5C03" w:rsidRPr="003C6DBD" w:rsidRDefault="00CF5C03" w:rsidP="00154E66">
      <w:pPr>
        <w:pStyle w:val="Caption"/>
        <w:keepNext/>
        <w:rPr>
          <w:rFonts w:ascii="Times New Roman" w:hAnsi="Times New Roman" w:cs="Times New Roman"/>
          <w:color w:val="0D0D0D" w:themeColor="text1" w:themeTint="F2"/>
          <w:sz w:val="24"/>
          <w:szCs w:val="24"/>
        </w:rPr>
      </w:pPr>
    </w:p>
    <w:p w14:paraId="137C4431" w14:textId="77777777" w:rsidR="00CF5C03" w:rsidRPr="003C6DBD" w:rsidRDefault="00CF5C03" w:rsidP="00154E66">
      <w:pPr>
        <w:pStyle w:val="Caption"/>
        <w:keepNext/>
        <w:rPr>
          <w:rFonts w:ascii="Times New Roman" w:hAnsi="Times New Roman" w:cs="Times New Roman"/>
          <w:color w:val="0D0D0D" w:themeColor="text1" w:themeTint="F2"/>
          <w:sz w:val="24"/>
          <w:szCs w:val="24"/>
        </w:rPr>
      </w:pPr>
    </w:p>
    <w:p w14:paraId="32BE0D58" w14:textId="77777777" w:rsidR="00CF5C03" w:rsidRPr="003C6DBD" w:rsidRDefault="00CF5C03" w:rsidP="00154E66">
      <w:pPr>
        <w:pStyle w:val="Caption"/>
        <w:keepNext/>
        <w:rPr>
          <w:rFonts w:ascii="Times New Roman" w:hAnsi="Times New Roman" w:cs="Times New Roman"/>
          <w:color w:val="0D0D0D" w:themeColor="text1" w:themeTint="F2"/>
          <w:sz w:val="24"/>
          <w:szCs w:val="24"/>
        </w:rPr>
      </w:pPr>
    </w:p>
    <w:p w14:paraId="2958616D" w14:textId="77777777" w:rsidR="00CF5C03" w:rsidRPr="003C6DBD" w:rsidRDefault="00CF5C03" w:rsidP="00154E66">
      <w:pPr>
        <w:pStyle w:val="Caption"/>
        <w:keepNext/>
        <w:rPr>
          <w:rFonts w:ascii="Times New Roman" w:hAnsi="Times New Roman" w:cs="Times New Roman"/>
          <w:color w:val="0D0D0D" w:themeColor="text1" w:themeTint="F2"/>
          <w:sz w:val="24"/>
          <w:szCs w:val="24"/>
        </w:rPr>
      </w:pPr>
    </w:p>
    <w:p w14:paraId="4E01BBEB" w14:textId="77777777" w:rsidR="005733AE" w:rsidRPr="003C6DBD" w:rsidRDefault="005733AE" w:rsidP="005733AE">
      <w:pPr>
        <w:rPr>
          <w:rFonts w:ascii="Times New Roman" w:hAnsi="Times New Roman" w:cs="Times New Roman"/>
          <w:color w:val="0D0D0D" w:themeColor="text1" w:themeTint="F2"/>
          <w:sz w:val="24"/>
          <w:szCs w:val="24"/>
        </w:rPr>
      </w:pPr>
    </w:p>
    <w:p w14:paraId="65717804" w14:textId="77777777" w:rsidR="00E94FA5" w:rsidRPr="003C6DBD" w:rsidRDefault="00E94FA5" w:rsidP="00154E66">
      <w:pPr>
        <w:pStyle w:val="Caption"/>
        <w:keepNext/>
        <w:rPr>
          <w:rFonts w:ascii="Times New Roman" w:hAnsi="Times New Roman" w:cs="Times New Roman"/>
          <w:color w:val="0D0D0D" w:themeColor="text1" w:themeTint="F2"/>
          <w:sz w:val="24"/>
          <w:szCs w:val="24"/>
        </w:rPr>
      </w:pPr>
    </w:p>
    <w:p w14:paraId="62BECDBE" w14:textId="77777777" w:rsidR="00E94FA5" w:rsidRPr="003C6DBD" w:rsidRDefault="00E94FA5" w:rsidP="00154E66">
      <w:pPr>
        <w:pStyle w:val="Caption"/>
        <w:keepNext/>
        <w:rPr>
          <w:rFonts w:ascii="Times New Roman" w:hAnsi="Times New Roman" w:cs="Times New Roman"/>
          <w:color w:val="0D0D0D" w:themeColor="text1" w:themeTint="F2"/>
          <w:sz w:val="24"/>
          <w:szCs w:val="24"/>
        </w:rPr>
      </w:pPr>
    </w:p>
    <w:p w14:paraId="7D3BA8EF" w14:textId="77777777" w:rsidR="00651E8F" w:rsidRDefault="00651E8F" w:rsidP="00C3000E">
      <w:pPr>
        <w:rPr>
          <w:rFonts w:ascii="Times New Roman" w:hAnsi="Times New Roman" w:cs="Times New Roman"/>
          <w:color w:val="0D0D0D" w:themeColor="text1" w:themeTint="F2"/>
          <w:sz w:val="24"/>
          <w:szCs w:val="24"/>
        </w:rPr>
        <w:sectPr w:rsidR="00651E8F" w:rsidSect="005733AE">
          <w:pgSz w:w="12240" w:h="15840"/>
          <w:pgMar w:top="1440" w:right="1440" w:bottom="1440" w:left="1440" w:header="720" w:footer="720" w:gutter="0"/>
          <w:cols w:space="720"/>
          <w:docGrid w:linePitch="360"/>
        </w:sectPr>
      </w:pPr>
    </w:p>
    <w:p w14:paraId="249C0060" w14:textId="77777777" w:rsidR="00E45DE9" w:rsidRPr="003C6DBD" w:rsidRDefault="00E45DE9" w:rsidP="00C3000E">
      <w:pPr>
        <w:rPr>
          <w:rFonts w:ascii="Times New Roman" w:hAnsi="Times New Roman" w:cs="Times New Roman"/>
          <w:color w:val="0D0D0D" w:themeColor="text1" w:themeTint="F2"/>
          <w:sz w:val="24"/>
          <w:szCs w:val="24"/>
        </w:rPr>
      </w:pPr>
    </w:p>
    <w:tbl>
      <w:tblPr>
        <w:tblStyle w:val="TableGrid"/>
        <w:tblW w:w="105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6"/>
        <w:gridCol w:w="5256"/>
      </w:tblGrid>
      <w:tr w:rsidR="00D21393" w:rsidRPr="003C6DBD" w14:paraId="649A482E" w14:textId="77777777" w:rsidTr="003117FC">
        <w:trPr>
          <w:trHeight w:val="3788"/>
        </w:trPr>
        <w:tc>
          <w:tcPr>
            <w:tcW w:w="5256" w:type="dxa"/>
          </w:tcPr>
          <w:p w14:paraId="1E296063"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56B25C4F" wp14:editId="138C2289">
                  <wp:extent cx="3131344" cy="2286000"/>
                  <wp:effectExtent l="0" t="0" r="0" b="0"/>
                  <wp:docPr id="2" name="Picture 1">
                    <a:extLst xmlns:a="http://schemas.openxmlformats.org/drawingml/2006/main">
                      <a:ext uri="{FF2B5EF4-FFF2-40B4-BE49-F238E27FC236}">
                        <a16:creationId xmlns:a16="http://schemas.microsoft.com/office/drawing/2014/main" id="{D3C51722-F6DC-FFBE-5194-146B660A31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D3C51722-F6DC-FFBE-5194-146B660A3151}"/>
                              </a:ext>
                            </a:extLst>
                          </pic:cNvPr>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3131344"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5256" w:type="dxa"/>
          </w:tcPr>
          <w:p w14:paraId="34636805"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0215ACED" wp14:editId="1497BAB2">
                  <wp:extent cx="3131344" cy="2286000"/>
                  <wp:effectExtent l="0" t="0" r="0" b="0"/>
                  <wp:docPr id="1708302228" name="Picture 1708302228">
                    <a:extLst xmlns:a="http://schemas.openxmlformats.org/drawingml/2006/main">
                      <a:ext uri="{FF2B5EF4-FFF2-40B4-BE49-F238E27FC236}">
                        <a16:creationId xmlns:a16="http://schemas.microsoft.com/office/drawing/2014/main" id="{0490DA5F-15E6-E9A3-B91B-0254145D6C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3">
                            <a:extLst>
                              <a:ext uri="{FF2B5EF4-FFF2-40B4-BE49-F238E27FC236}">
                                <a16:creationId xmlns:a16="http://schemas.microsoft.com/office/drawing/2014/main" id="{0490DA5F-15E6-E9A3-B91B-0254145D6CC8}"/>
                              </a:ext>
                            </a:extLst>
                          </pic:cNvPr>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3131344"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r>
      <w:tr w:rsidR="00D21393" w:rsidRPr="003C6DBD" w14:paraId="6599DEF0" w14:textId="77777777" w:rsidTr="003117FC">
        <w:trPr>
          <w:trHeight w:val="562"/>
        </w:trPr>
        <w:tc>
          <w:tcPr>
            <w:tcW w:w="5256" w:type="dxa"/>
          </w:tcPr>
          <w:p w14:paraId="0DCFE7AD"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1BE1F3CB" wp14:editId="465274E8">
                  <wp:extent cx="3131344" cy="2286000"/>
                  <wp:effectExtent l="0" t="0" r="0" b="0"/>
                  <wp:docPr id="904084835" name="Picture 904084835">
                    <a:extLst xmlns:a="http://schemas.openxmlformats.org/drawingml/2006/main">
                      <a:ext uri="{FF2B5EF4-FFF2-40B4-BE49-F238E27FC236}">
                        <a16:creationId xmlns:a16="http://schemas.microsoft.com/office/drawing/2014/main" id="{C2BE40E5-F78F-61F8-5078-FB8F3E7515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4">
                            <a:extLst>
                              <a:ext uri="{FF2B5EF4-FFF2-40B4-BE49-F238E27FC236}">
                                <a16:creationId xmlns:a16="http://schemas.microsoft.com/office/drawing/2014/main" id="{C2BE40E5-F78F-61F8-5078-FB8F3E751520}"/>
                              </a:ext>
                            </a:extLst>
                          </pic:cNvPr>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3131344"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5256" w:type="dxa"/>
          </w:tcPr>
          <w:p w14:paraId="7BF79EF4"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645BD107" wp14:editId="316EF733">
                  <wp:extent cx="3131344" cy="2286000"/>
                  <wp:effectExtent l="0" t="0" r="0" b="0"/>
                  <wp:docPr id="1123731933" name="Picture 1123731933">
                    <a:extLst xmlns:a="http://schemas.openxmlformats.org/drawingml/2006/main">
                      <a:ext uri="{FF2B5EF4-FFF2-40B4-BE49-F238E27FC236}">
                        <a16:creationId xmlns:a16="http://schemas.microsoft.com/office/drawing/2014/main" id="{A0F0753B-8C9F-74A3-03F9-74DAF5B03A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7">
                            <a:extLst>
                              <a:ext uri="{FF2B5EF4-FFF2-40B4-BE49-F238E27FC236}">
                                <a16:creationId xmlns:a16="http://schemas.microsoft.com/office/drawing/2014/main" id="{A0F0753B-8C9F-74A3-03F9-74DAF5B03A44}"/>
                              </a:ext>
                            </a:extLst>
                          </pic:cNvPr>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3131344"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r>
      <w:tr w:rsidR="00651E8F" w:rsidRPr="003C6DBD" w14:paraId="1C6F27DB" w14:textId="77777777" w:rsidTr="001B0147">
        <w:trPr>
          <w:trHeight w:val="562"/>
        </w:trPr>
        <w:tc>
          <w:tcPr>
            <w:tcW w:w="10512" w:type="dxa"/>
            <w:gridSpan w:val="2"/>
          </w:tcPr>
          <w:p w14:paraId="341521E9" w14:textId="77777777" w:rsidR="00651E8F" w:rsidRPr="003C6DBD" w:rsidRDefault="00651E8F" w:rsidP="00651E8F">
            <w:pPr>
              <w:pStyle w:val="Caption"/>
              <w:rPr>
                <w:rFonts w:ascii="Times New Roman" w:hAnsi="Times New Roman" w:cs="Times New Roman"/>
                <w:color w:val="0D0D0D" w:themeColor="text1" w:themeTint="F2"/>
                <w:sz w:val="24"/>
                <w:szCs w:val="24"/>
              </w:rPr>
            </w:pPr>
            <w:bookmarkStart w:id="88" w:name="_Toc132974498"/>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noProof/>
                <w:color w:val="0D0D0D" w:themeColor="text1" w:themeTint="F2"/>
                <w:sz w:val="24"/>
                <w:szCs w:val="24"/>
              </w:rPr>
              <w:t>13</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Histograms of the selected financial ratios.</w:t>
            </w:r>
            <w:bookmarkEnd w:id="88"/>
          </w:p>
          <w:p w14:paraId="3E09E3A6" w14:textId="77777777" w:rsidR="00651E8F" w:rsidRPr="003C6DBD" w:rsidRDefault="00651E8F" w:rsidP="003117FC">
            <w:pPr>
              <w:spacing w:line="480" w:lineRule="auto"/>
              <w:rPr>
                <w:rFonts w:ascii="Times New Roman" w:hAnsi="Times New Roman" w:cs="Times New Roman"/>
                <w:noProof/>
                <w:color w:val="0D0D0D" w:themeColor="text1" w:themeTint="F2"/>
                <w:sz w:val="24"/>
                <w:szCs w:val="24"/>
              </w:rPr>
            </w:pPr>
          </w:p>
        </w:tc>
      </w:tr>
      <w:tr w:rsidR="00D21393" w:rsidRPr="003C6DBD" w14:paraId="12F7DD24" w14:textId="77777777" w:rsidTr="003117FC">
        <w:trPr>
          <w:trHeight w:val="562"/>
        </w:trPr>
        <w:tc>
          <w:tcPr>
            <w:tcW w:w="5256" w:type="dxa"/>
          </w:tcPr>
          <w:p w14:paraId="5B0A9765"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lastRenderedPageBreak/>
              <w:drawing>
                <wp:inline distT="0" distB="0" distL="0" distR="0" wp14:anchorId="090E2A76" wp14:editId="7F7F968D">
                  <wp:extent cx="3131344" cy="2286000"/>
                  <wp:effectExtent l="0" t="0" r="0" b="0"/>
                  <wp:docPr id="1547326816" name="Picture 1547326816">
                    <a:extLst xmlns:a="http://schemas.openxmlformats.org/drawingml/2006/main">
                      <a:ext uri="{FF2B5EF4-FFF2-40B4-BE49-F238E27FC236}">
                        <a16:creationId xmlns:a16="http://schemas.microsoft.com/office/drawing/2014/main" id="{890498C9-E24F-AB5E-1ADD-522DF059CA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0">
                            <a:extLst>
                              <a:ext uri="{FF2B5EF4-FFF2-40B4-BE49-F238E27FC236}">
                                <a16:creationId xmlns:a16="http://schemas.microsoft.com/office/drawing/2014/main" id="{890498C9-E24F-AB5E-1ADD-522DF059CAFE}"/>
                              </a:ext>
                            </a:extLst>
                          </pic:cNvPr>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3131344"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5256" w:type="dxa"/>
          </w:tcPr>
          <w:p w14:paraId="405EE159"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5CBFAD6F" wp14:editId="406D723C">
                  <wp:extent cx="3131344" cy="2286000"/>
                  <wp:effectExtent l="0" t="0" r="0" b="0"/>
                  <wp:docPr id="503843363" name="Picture 503843363">
                    <a:extLst xmlns:a="http://schemas.openxmlformats.org/drawingml/2006/main">
                      <a:ext uri="{FF2B5EF4-FFF2-40B4-BE49-F238E27FC236}">
                        <a16:creationId xmlns:a16="http://schemas.microsoft.com/office/drawing/2014/main" id="{3668780A-3DD9-4E21-D5A1-81C2CB3B56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8">
                            <a:extLst>
                              <a:ext uri="{FF2B5EF4-FFF2-40B4-BE49-F238E27FC236}">
                                <a16:creationId xmlns:a16="http://schemas.microsoft.com/office/drawing/2014/main" id="{3668780A-3DD9-4E21-D5A1-81C2CB3B565A}"/>
                              </a:ext>
                            </a:extLst>
                          </pic:cNvPr>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3131344"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r>
      <w:tr w:rsidR="00D21393" w:rsidRPr="003C6DBD" w14:paraId="2FC83212" w14:textId="77777777" w:rsidTr="003117FC">
        <w:trPr>
          <w:trHeight w:val="562"/>
        </w:trPr>
        <w:tc>
          <w:tcPr>
            <w:tcW w:w="5256" w:type="dxa"/>
          </w:tcPr>
          <w:p w14:paraId="49EB5E55"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41C44BC0" wp14:editId="229AEA6E">
                  <wp:extent cx="3131344" cy="2286000"/>
                  <wp:effectExtent l="0" t="0" r="0" b="0"/>
                  <wp:docPr id="1986845625" name="Picture 1986845625">
                    <a:extLst xmlns:a="http://schemas.openxmlformats.org/drawingml/2006/main">
                      <a:ext uri="{FF2B5EF4-FFF2-40B4-BE49-F238E27FC236}">
                        <a16:creationId xmlns:a16="http://schemas.microsoft.com/office/drawing/2014/main" id="{CAEC92B3-1049-A544-60D1-A3A0CF42DC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0">
                            <a:extLst>
                              <a:ext uri="{FF2B5EF4-FFF2-40B4-BE49-F238E27FC236}">
                                <a16:creationId xmlns:a16="http://schemas.microsoft.com/office/drawing/2014/main" id="{CAEC92B3-1049-A544-60D1-A3A0CF42DCE6}"/>
                              </a:ext>
                            </a:extLst>
                          </pic:cNvPr>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131344"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5256" w:type="dxa"/>
          </w:tcPr>
          <w:p w14:paraId="658EBBD1"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2C204418" wp14:editId="6CE12728">
                  <wp:extent cx="3131344" cy="2286000"/>
                  <wp:effectExtent l="0" t="0" r="0" b="0"/>
                  <wp:docPr id="465667409" name="Picture 465667409">
                    <a:extLst xmlns:a="http://schemas.openxmlformats.org/drawingml/2006/main">
                      <a:ext uri="{FF2B5EF4-FFF2-40B4-BE49-F238E27FC236}">
                        <a16:creationId xmlns:a16="http://schemas.microsoft.com/office/drawing/2014/main" id="{C59DEAB8-B678-AC31-0596-24744C850C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9">
                            <a:extLst>
                              <a:ext uri="{FF2B5EF4-FFF2-40B4-BE49-F238E27FC236}">
                                <a16:creationId xmlns:a16="http://schemas.microsoft.com/office/drawing/2014/main" id="{C59DEAB8-B678-AC31-0596-24744C850CB1}"/>
                              </a:ext>
                            </a:extLst>
                          </pic:cNvPr>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3131344"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r>
      <w:tr w:rsidR="00651E8F" w:rsidRPr="003C6DBD" w14:paraId="2A26F63E" w14:textId="77777777" w:rsidTr="00AF04D5">
        <w:trPr>
          <w:trHeight w:val="562"/>
        </w:trPr>
        <w:tc>
          <w:tcPr>
            <w:tcW w:w="10512" w:type="dxa"/>
            <w:gridSpan w:val="2"/>
          </w:tcPr>
          <w:p w14:paraId="150FC29A" w14:textId="4B187B64" w:rsidR="00651E8F" w:rsidRPr="003C6DBD" w:rsidRDefault="00651E8F" w:rsidP="00651E8F">
            <w:pPr>
              <w:pStyle w:val="Caption"/>
              <w:rPr>
                <w:rFonts w:ascii="Times New Roman" w:hAnsi="Times New Roman" w:cs="Times New Roman"/>
                <w:color w:val="0D0D0D" w:themeColor="text1" w:themeTint="F2"/>
                <w:sz w:val="24"/>
                <w:szCs w:val="24"/>
              </w:rPr>
            </w:pPr>
            <w:bookmarkStart w:id="89" w:name="_Toc132974499"/>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noProof/>
                <w:color w:val="0D0D0D" w:themeColor="text1" w:themeTint="F2"/>
                <w:sz w:val="24"/>
                <w:szCs w:val="24"/>
              </w:rPr>
              <w:t>13</w:t>
            </w:r>
            <w:r w:rsidRPr="003C6DBD">
              <w:rPr>
                <w:rFonts w:ascii="Times New Roman" w:hAnsi="Times New Roman" w:cs="Times New Roman"/>
                <w:color w:val="0D0D0D" w:themeColor="text1" w:themeTint="F2"/>
                <w:sz w:val="24"/>
                <w:szCs w:val="24"/>
              </w:rPr>
              <w:fldChar w:fldCharType="end"/>
            </w:r>
            <w:r>
              <w:rPr>
                <w:rFonts w:ascii="Times New Roman" w:hAnsi="Times New Roman" w:cs="Times New Roman"/>
                <w:color w:val="0D0D0D" w:themeColor="text1" w:themeTint="F2"/>
                <w:sz w:val="24"/>
                <w:szCs w:val="24"/>
              </w:rPr>
              <w:t xml:space="preserve"> continued</w:t>
            </w:r>
            <w:r w:rsidRPr="003C6DBD">
              <w:rPr>
                <w:rFonts w:ascii="Times New Roman" w:hAnsi="Times New Roman" w:cs="Times New Roman"/>
                <w:color w:val="0D0D0D" w:themeColor="text1" w:themeTint="F2"/>
                <w:sz w:val="24"/>
                <w:szCs w:val="24"/>
              </w:rPr>
              <w:t>.</w:t>
            </w:r>
            <w:bookmarkEnd w:id="89"/>
          </w:p>
          <w:p w14:paraId="2045A065" w14:textId="77777777" w:rsidR="00651E8F" w:rsidRPr="003C6DBD" w:rsidRDefault="00651E8F" w:rsidP="003117FC">
            <w:pPr>
              <w:spacing w:line="480" w:lineRule="auto"/>
              <w:rPr>
                <w:rFonts w:ascii="Times New Roman" w:hAnsi="Times New Roman" w:cs="Times New Roman"/>
                <w:noProof/>
                <w:color w:val="0D0D0D" w:themeColor="text1" w:themeTint="F2"/>
                <w:sz w:val="24"/>
                <w:szCs w:val="24"/>
              </w:rPr>
            </w:pPr>
          </w:p>
        </w:tc>
      </w:tr>
      <w:tr w:rsidR="00D21393" w:rsidRPr="003C6DBD" w14:paraId="5B40507D" w14:textId="77777777" w:rsidTr="003117FC">
        <w:trPr>
          <w:trHeight w:val="562"/>
        </w:trPr>
        <w:tc>
          <w:tcPr>
            <w:tcW w:w="5256" w:type="dxa"/>
          </w:tcPr>
          <w:p w14:paraId="2E359AA8"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lastRenderedPageBreak/>
              <w:drawing>
                <wp:inline distT="0" distB="0" distL="0" distR="0" wp14:anchorId="14A80C97" wp14:editId="0DF7B56E">
                  <wp:extent cx="3131344" cy="2286000"/>
                  <wp:effectExtent l="0" t="0" r="0" b="0"/>
                  <wp:docPr id="1541032171" name="Picture 1541032171">
                    <a:extLst xmlns:a="http://schemas.openxmlformats.org/drawingml/2006/main">
                      <a:ext uri="{FF2B5EF4-FFF2-40B4-BE49-F238E27FC236}">
                        <a16:creationId xmlns:a16="http://schemas.microsoft.com/office/drawing/2014/main" id="{D6E572D4-8F39-8630-7491-4B649F3356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1">
                            <a:extLst>
                              <a:ext uri="{FF2B5EF4-FFF2-40B4-BE49-F238E27FC236}">
                                <a16:creationId xmlns:a16="http://schemas.microsoft.com/office/drawing/2014/main" id="{D6E572D4-8F39-8630-7491-4B649F335641}"/>
                              </a:ext>
                            </a:extLst>
                          </pic:cNvPr>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131344"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5256" w:type="dxa"/>
          </w:tcPr>
          <w:p w14:paraId="597AE8C2"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72F7F5C1" wp14:editId="2D9BE12E">
                  <wp:extent cx="3131344" cy="2286000"/>
                  <wp:effectExtent l="0" t="0" r="0" b="0"/>
                  <wp:docPr id="772608068" name="Picture 772608068">
                    <a:extLst xmlns:a="http://schemas.openxmlformats.org/drawingml/2006/main">
                      <a:ext uri="{FF2B5EF4-FFF2-40B4-BE49-F238E27FC236}">
                        <a16:creationId xmlns:a16="http://schemas.microsoft.com/office/drawing/2014/main" id="{B5F118CE-6984-9807-B556-B975274EDC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43">
                            <a:extLst>
                              <a:ext uri="{FF2B5EF4-FFF2-40B4-BE49-F238E27FC236}">
                                <a16:creationId xmlns:a16="http://schemas.microsoft.com/office/drawing/2014/main" id="{B5F118CE-6984-9807-B556-B975274EDC34}"/>
                              </a:ext>
                            </a:extLst>
                          </pic:cNvPr>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3131344"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r>
      <w:tr w:rsidR="00D21393" w:rsidRPr="003C6DBD" w14:paraId="0A26556D" w14:textId="77777777" w:rsidTr="003117FC">
        <w:trPr>
          <w:trHeight w:val="562"/>
        </w:trPr>
        <w:tc>
          <w:tcPr>
            <w:tcW w:w="5256" w:type="dxa"/>
          </w:tcPr>
          <w:p w14:paraId="4D5CA878"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501A631F" wp14:editId="1F598C0F">
                  <wp:extent cx="3131344" cy="2286000"/>
                  <wp:effectExtent l="0" t="0" r="0" b="0"/>
                  <wp:docPr id="945922194" name="Picture 945922194">
                    <a:extLst xmlns:a="http://schemas.openxmlformats.org/drawingml/2006/main">
                      <a:ext uri="{FF2B5EF4-FFF2-40B4-BE49-F238E27FC236}">
                        <a16:creationId xmlns:a16="http://schemas.microsoft.com/office/drawing/2014/main" id="{E4F85841-D733-275E-790C-F9107121F1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44">
                            <a:extLst>
                              <a:ext uri="{FF2B5EF4-FFF2-40B4-BE49-F238E27FC236}">
                                <a16:creationId xmlns:a16="http://schemas.microsoft.com/office/drawing/2014/main" id="{E4F85841-D733-275E-790C-F9107121F1CF}"/>
                              </a:ext>
                            </a:extLst>
                          </pic:cNvPr>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3131344"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5256" w:type="dxa"/>
          </w:tcPr>
          <w:p w14:paraId="76B7F45C"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495ECF39" wp14:editId="5540AB40">
                  <wp:extent cx="3131344" cy="2286000"/>
                  <wp:effectExtent l="0" t="0" r="0" b="0"/>
                  <wp:docPr id="987642261" name="Picture 987642261">
                    <a:extLst xmlns:a="http://schemas.openxmlformats.org/drawingml/2006/main">
                      <a:ext uri="{FF2B5EF4-FFF2-40B4-BE49-F238E27FC236}">
                        <a16:creationId xmlns:a16="http://schemas.microsoft.com/office/drawing/2014/main" id="{912900E3-6F88-3BD0-34AF-AC64432F4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45">
                            <a:extLst>
                              <a:ext uri="{FF2B5EF4-FFF2-40B4-BE49-F238E27FC236}">
                                <a16:creationId xmlns:a16="http://schemas.microsoft.com/office/drawing/2014/main" id="{912900E3-6F88-3BD0-34AF-AC64432F409B}"/>
                              </a:ext>
                            </a:extLst>
                          </pic:cNvPr>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3131344"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r>
      <w:tr w:rsidR="00651E8F" w:rsidRPr="003C6DBD" w14:paraId="51D902D9" w14:textId="77777777" w:rsidTr="000E694B">
        <w:trPr>
          <w:trHeight w:val="562"/>
        </w:trPr>
        <w:tc>
          <w:tcPr>
            <w:tcW w:w="10512" w:type="dxa"/>
            <w:gridSpan w:val="2"/>
          </w:tcPr>
          <w:p w14:paraId="2AAE655F" w14:textId="77777777" w:rsidR="00651E8F" w:rsidRPr="003C6DBD" w:rsidRDefault="00651E8F" w:rsidP="00651E8F">
            <w:pPr>
              <w:pStyle w:val="Caption"/>
              <w:rPr>
                <w:rFonts w:ascii="Times New Roman" w:hAnsi="Times New Roman" w:cs="Times New Roman"/>
                <w:color w:val="0D0D0D" w:themeColor="text1" w:themeTint="F2"/>
                <w:sz w:val="24"/>
                <w:szCs w:val="24"/>
              </w:rPr>
            </w:pPr>
            <w:bookmarkStart w:id="90" w:name="_Toc132974500"/>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noProof/>
                <w:color w:val="0D0D0D" w:themeColor="text1" w:themeTint="F2"/>
                <w:sz w:val="24"/>
                <w:szCs w:val="24"/>
              </w:rPr>
              <w:t>13</w:t>
            </w:r>
            <w:r w:rsidRPr="003C6DBD">
              <w:rPr>
                <w:rFonts w:ascii="Times New Roman" w:hAnsi="Times New Roman" w:cs="Times New Roman"/>
                <w:color w:val="0D0D0D" w:themeColor="text1" w:themeTint="F2"/>
                <w:sz w:val="24"/>
                <w:szCs w:val="24"/>
              </w:rPr>
              <w:fldChar w:fldCharType="end"/>
            </w:r>
            <w:r>
              <w:rPr>
                <w:rFonts w:ascii="Times New Roman" w:hAnsi="Times New Roman" w:cs="Times New Roman"/>
                <w:color w:val="0D0D0D" w:themeColor="text1" w:themeTint="F2"/>
                <w:sz w:val="24"/>
                <w:szCs w:val="24"/>
              </w:rPr>
              <w:t xml:space="preserve"> continued</w:t>
            </w:r>
            <w:r w:rsidRPr="003C6DBD">
              <w:rPr>
                <w:rFonts w:ascii="Times New Roman" w:hAnsi="Times New Roman" w:cs="Times New Roman"/>
                <w:color w:val="0D0D0D" w:themeColor="text1" w:themeTint="F2"/>
                <w:sz w:val="24"/>
                <w:szCs w:val="24"/>
              </w:rPr>
              <w:t>.</w:t>
            </w:r>
            <w:bookmarkEnd w:id="90"/>
          </w:p>
          <w:p w14:paraId="032C3424" w14:textId="77777777" w:rsidR="00651E8F" w:rsidRPr="003C6DBD" w:rsidRDefault="00651E8F" w:rsidP="003117FC">
            <w:pPr>
              <w:spacing w:line="480" w:lineRule="auto"/>
              <w:rPr>
                <w:rFonts w:ascii="Times New Roman" w:hAnsi="Times New Roman" w:cs="Times New Roman"/>
                <w:noProof/>
                <w:color w:val="0D0D0D" w:themeColor="text1" w:themeTint="F2"/>
                <w:sz w:val="24"/>
                <w:szCs w:val="24"/>
              </w:rPr>
            </w:pPr>
          </w:p>
        </w:tc>
      </w:tr>
      <w:tr w:rsidR="00D21393" w:rsidRPr="003C6DBD" w14:paraId="40292E62" w14:textId="77777777" w:rsidTr="003117FC">
        <w:trPr>
          <w:trHeight w:val="562"/>
        </w:trPr>
        <w:tc>
          <w:tcPr>
            <w:tcW w:w="5256" w:type="dxa"/>
          </w:tcPr>
          <w:p w14:paraId="7BA7EE91"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lastRenderedPageBreak/>
              <w:drawing>
                <wp:inline distT="0" distB="0" distL="0" distR="0" wp14:anchorId="2CF6A585" wp14:editId="0D38AF0B">
                  <wp:extent cx="3131344" cy="2286000"/>
                  <wp:effectExtent l="0" t="0" r="0" b="0"/>
                  <wp:docPr id="422630073" name="Picture 422630073">
                    <a:extLst xmlns:a="http://schemas.openxmlformats.org/drawingml/2006/main">
                      <a:ext uri="{FF2B5EF4-FFF2-40B4-BE49-F238E27FC236}">
                        <a16:creationId xmlns:a16="http://schemas.microsoft.com/office/drawing/2014/main" id="{97D1620A-6DBA-6EFF-E1EC-8AD734B92C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46">
                            <a:extLst>
                              <a:ext uri="{FF2B5EF4-FFF2-40B4-BE49-F238E27FC236}">
                                <a16:creationId xmlns:a16="http://schemas.microsoft.com/office/drawing/2014/main" id="{97D1620A-6DBA-6EFF-E1EC-8AD734B92CCE}"/>
                              </a:ext>
                            </a:extLst>
                          </pic:cNvPr>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3131344"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5256" w:type="dxa"/>
          </w:tcPr>
          <w:p w14:paraId="747824D0"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529FF6A9" wp14:editId="5DC69E0A">
                  <wp:extent cx="3131344" cy="2286000"/>
                  <wp:effectExtent l="0" t="0" r="0" b="0"/>
                  <wp:docPr id="1965940190" name="Picture 1965940190">
                    <a:extLst xmlns:a="http://schemas.openxmlformats.org/drawingml/2006/main">
                      <a:ext uri="{FF2B5EF4-FFF2-40B4-BE49-F238E27FC236}">
                        <a16:creationId xmlns:a16="http://schemas.microsoft.com/office/drawing/2014/main" id="{E0457D69-4F8D-B3ED-20FA-8F3029B56D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47">
                            <a:extLst>
                              <a:ext uri="{FF2B5EF4-FFF2-40B4-BE49-F238E27FC236}">
                                <a16:creationId xmlns:a16="http://schemas.microsoft.com/office/drawing/2014/main" id="{E0457D69-4F8D-B3ED-20FA-8F3029B56D34}"/>
                              </a:ext>
                            </a:extLst>
                          </pic:cNvPr>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3131344"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r>
      <w:tr w:rsidR="00D21393" w:rsidRPr="003C6DBD" w14:paraId="00765548" w14:textId="77777777" w:rsidTr="003117FC">
        <w:trPr>
          <w:trHeight w:val="562"/>
        </w:trPr>
        <w:tc>
          <w:tcPr>
            <w:tcW w:w="5256" w:type="dxa"/>
          </w:tcPr>
          <w:p w14:paraId="06E531F5" w14:textId="77777777" w:rsidR="00E45DE9" w:rsidRPr="003C6DBD" w:rsidRDefault="00E45DE9"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27A9CE02" wp14:editId="3850FD8A">
                  <wp:extent cx="3131344" cy="2286000"/>
                  <wp:effectExtent l="0" t="0" r="0" b="0"/>
                  <wp:docPr id="2006813017" name="Picture 2006813017">
                    <a:extLst xmlns:a="http://schemas.openxmlformats.org/drawingml/2006/main">
                      <a:ext uri="{FF2B5EF4-FFF2-40B4-BE49-F238E27FC236}">
                        <a16:creationId xmlns:a16="http://schemas.microsoft.com/office/drawing/2014/main" id="{526EBFCF-D2F0-F6A7-50CF-20DDED23C5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48">
                            <a:extLst>
                              <a:ext uri="{FF2B5EF4-FFF2-40B4-BE49-F238E27FC236}">
                                <a16:creationId xmlns:a16="http://schemas.microsoft.com/office/drawing/2014/main" id="{526EBFCF-D2F0-F6A7-50CF-20DDED23C5A3}"/>
                              </a:ext>
                            </a:extLst>
                          </pic:cNvPr>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3131344"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5256" w:type="dxa"/>
          </w:tcPr>
          <w:p w14:paraId="21BA3B01" w14:textId="77777777" w:rsidR="00E45DE9" w:rsidRPr="003C6DBD" w:rsidRDefault="00E45DE9" w:rsidP="00CF5C03">
            <w:pPr>
              <w:keepNext/>
              <w:spacing w:line="480" w:lineRule="auto"/>
              <w:rPr>
                <w:rFonts w:ascii="Times New Roman" w:hAnsi="Times New Roman" w:cs="Times New Roman"/>
                <w:color w:val="0D0D0D" w:themeColor="text1" w:themeTint="F2"/>
                <w:sz w:val="24"/>
                <w:szCs w:val="24"/>
              </w:rPr>
            </w:pPr>
          </w:p>
        </w:tc>
      </w:tr>
    </w:tbl>
    <w:p w14:paraId="099CE502" w14:textId="7687C79F" w:rsidR="00CF5C03" w:rsidRPr="003C6DBD" w:rsidRDefault="00651E8F" w:rsidP="00C77855">
      <w:pPr>
        <w:pStyle w:val="Caption"/>
        <w:rPr>
          <w:rFonts w:ascii="Times New Roman" w:hAnsi="Times New Roman" w:cs="Times New Roman"/>
          <w:color w:val="0D0D0D" w:themeColor="text1" w:themeTint="F2"/>
          <w:sz w:val="24"/>
          <w:szCs w:val="24"/>
        </w:rPr>
      </w:pPr>
      <w:bookmarkStart w:id="91" w:name="_Toc132974501"/>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noProof/>
          <w:color w:val="0D0D0D" w:themeColor="text1" w:themeTint="F2"/>
          <w:sz w:val="24"/>
          <w:szCs w:val="24"/>
        </w:rPr>
        <w:t>13</w:t>
      </w:r>
      <w:r w:rsidRPr="003C6DBD">
        <w:rPr>
          <w:rFonts w:ascii="Times New Roman" w:hAnsi="Times New Roman" w:cs="Times New Roman"/>
          <w:color w:val="0D0D0D" w:themeColor="text1" w:themeTint="F2"/>
          <w:sz w:val="24"/>
          <w:szCs w:val="24"/>
        </w:rPr>
        <w:fldChar w:fldCharType="end"/>
      </w:r>
      <w:r>
        <w:rPr>
          <w:rFonts w:ascii="Times New Roman" w:hAnsi="Times New Roman" w:cs="Times New Roman"/>
          <w:color w:val="0D0D0D" w:themeColor="text1" w:themeTint="F2"/>
          <w:sz w:val="24"/>
          <w:szCs w:val="24"/>
        </w:rPr>
        <w:t xml:space="preserve"> continued</w:t>
      </w:r>
      <w:r w:rsidRPr="003C6DBD">
        <w:rPr>
          <w:rFonts w:ascii="Times New Roman" w:hAnsi="Times New Roman" w:cs="Times New Roman"/>
          <w:color w:val="0D0D0D" w:themeColor="text1" w:themeTint="F2"/>
          <w:sz w:val="24"/>
          <w:szCs w:val="24"/>
        </w:rPr>
        <w:t>.</w:t>
      </w:r>
      <w:bookmarkEnd w:id="91"/>
    </w:p>
    <w:p w14:paraId="0B5B954C" w14:textId="77777777" w:rsidR="00471D3B" w:rsidRDefault="00471D3B" w:rsidP="00C3000E">
      <w:pPr>
        <w:rPr>
          <w:rFonts w:ascii="Times New Roman" w:hAnsi="Times New Roman" w:cs="Times New Roman"/>
          <w:color w:val="0D0D0D" w:themeColor="text1" w:themeTint="F2"/>
          <w:sz w:val="24"/>
          <w:szCs w:val="24"/>
        </w:rPr>
        <w:sectPr w:rsidR="00471D3B" w:rsidSect="00651E8F">
          <w:pgSz w:w="15840" w:h="12240" w:orient="landscape"/>
          <w:pgMar w:top="1440" w:right="1440" w:bottom="1440" w:left="1440" w:header="720" w:footer="720" w:gutter="0"/>
          <w:cols w:space="720"/>
          <w:docGrid w:linePitch="360"/>
        </w:sectPr>
      </w:pPr>
    </w:p>
    <w:p w14:paraId="2E2BB9AF" w14:textId="77777777" w:rsidR="00E45DE9" w:rsidRPr="003C6DBD" w:rsidRDefault="00E45DE9" w:rsidP="00C3000E">
      <w:pPr>
        <w:rPr>
          <w:rFonts w:ascii="Times New Roman" w:hAnsi="Times New Roman" w:cs="Times New Roman"/>
          <w:color w:val="0D0D0D" w:themeColor="text1" w:themeTint="F2"/>
          <w:sz w:val="24"/>
          <w:szCs w:val="24"/>
        </w:rPr>
      </w:pPr>
    </w:p>
    <w:p w14:paraId="44F2234E" w14:textId="29216872" w:rsidR="00C3000E" w:rsidRPr="003C6DBD" w:rsidRDefault="00C3000E" w:rsidP="00C3000E">
      <w:pPr>
        <w:pStyle w:val="Caption"/>
        <w:keepNext/>
        <w:spacing w:line="480" w:lineRule="auto"/>
        <w:rPr>
          <w:rFonts w:ascii="Times New Roman" w:hAnsi="Times New Roman" w:cs="Times New Roman"/>
          <w:color w:val="0D0D0D" w:themeColor="text1" w:themeTint="F2"/>
          <w:sz w:val="24"/>
          <w:szCs w:val="24"/>
        </w:rPr>
      </w:pPr>
      <w:bookmarkStart w:id="92" w:name="_Toc132671830"/>
      <w:r w:rsidRPr="003C6DBD">
        <w:rPr>
          <w:rFonts w:ascii="Times New Roman" w:hAnsi="Times New Roman" w:cs="Times New Roman"/>
          <w:color w:val="0D0D0D" w:themeColor="text1" w:themeTint="F2"/>
          <w:sz w:val="24"/>
          <w:szCs w:val="24"/>
        </w:rPr>
        <w:t xml:space="preserve">Table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Table \* ARABIC </w:instrText>
      </w:r>
      <w:r w:rsidRPr="003C6DBD">
        <w:rPr>
          <w:rFonts w:ascii="Times New Roman" w:hAnsi="Times New Roman" w:cs="Times New Roman"/>
          <w:color w:val="0D0D0D" w:themeColor="text1" w:themeTint="F2"/>
          <w:sz w:val="24"/>
          <w:szCs w:val="24"/>
        </w:rPr>
        <w:fldChar w:fldCharType="separate"/>
      </w:r>
      <w:r w:rsidR="00154E66" w:rsidRPr="003C6DBD">
        <w:rPr>
          <w:rFonts w:ascii="Times New Roman" w:hAnsi="Times New Roman" w:cs="Times New Roman"/>
          <w:noProof/>
          <w:color w:val="0D0D0D" w:themeColor="text1" w:themeTint="F2"/>
          <w:sz w:val="24"/>
          <w:szCs w:val="24"/>
        </w:rPr>
        <w:t>16</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Median values of the financial ratios from 2018 to 2021.</w:t>
      </w:r>
      <w:bookmarkEnd w:id="92"/>
    </w:p>
    <w:tbl>
      <w:tblPr>
        <w:tblW w:w="9384" w:type="dxa"/>
        <w:tblBorders>
          <w:top w:val="single" w:sz="4" w:space="0" w:color="auto"/>
          <w:bottom w:val="single" w:sz="4" w:space="0" w:color="auto"/>
        </w:tblBorders>
        <w:tblLook w:val="04A0" w:firstRow="1" w:lastRow="0" w:firstColumn="1" w:lastColumn="0" w:noHBand="0" w:noVBand="1"/>
      </w:tblPr>
      <w:tblGrid>
        <w:gridCol w:w="3610"/>
        <w:gridCol w:w="1924"/>
        <w:gridCol w:w="1924"/>
        <w:gridCol w:w="1926"/>
      </w:tblGrid>
      <w:tr w:rsidR="00D21393" w:rsidRPr="003C6DBD" w14:paraId="1982A0BE" w14:textId="77777777" w:rsidTr="003117FC">
        <w:trPr>
          <w:trHeight w:val="312"/>
        </w:trPr>
        <w:tc>
          <w:tcPr>
            <w:tcW w:w="3610" w:type="dxa"/>
            <w:tcBorders>
              <w:top w:val="single" w:sz="4" w:space="0" w:color="auto"/>
              <w:bottom w:val="single" w:sz="4" w:space="0" w:color="auto"/>
            </w:tcBorders>
            <w:shd w:val="clear" w:color="auto" w:fill="auto"/>
            <w:noWrap/>
            <w:vAlign w:val="bottom"/>
            <w:hideMark/>
          </w:tcPr>
          <w:p w14:paraId="184144ED" w14:textId="77777777" w:rsidR="00C3000E" w:rsidRPr="003C6DBD" w:rsidRDefault="00C3000E" w:rsidP="003117FC">
            <w:pPr>
              <w:spacing w:after="0" w:line="48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Financial Ratios</w:t>
            </w:r>
          </w:p>
        </w:tc>
        <w:tc>
          <w:tcPr>
            <w:tcW w:w="5774" w:type="dxa"/>
            <w:gridSpan w:val="3"/>
            <w:tcBorders>
              <w:top w:val="single" w:sz="4" w:space="0" w:color="auto"/>
              <w:bottom w:val="single" w:sz="4" w:space="0" w:color="auto"/>
            </w:tcBorders>
            <w:shd w:val="clear" w:color="auto" w:fill="auto"/>
            <w:noWrap/>
            <w:vAlign w:val="bottom"/>
            <w:hideMark/>
          </w:tcPr>
          <w:p w14:paraId="1AFDE68E" w14:textId="77777777" w:rsidR="00C3000E" w:rsidRPr="003C6DBD" w:rsidRDefault="00C3000E" w:rsidP="003117FC">
            <w:pPr>
              <w:spacing w:after="0" w:line="48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Median</w:t>
            </w:r>
          </w:p>
        </w:tc>
      </w:tr>
      <w:tr w:rsidR="00D21393" w:rsidRPr="003C6DBD" w14:paraId="6EF72F40" w14:textId="77777777" w:rsidTr="003117FC">
        <w:trPr>
          <w:trHeight w:val="312"/>
        </w:trPr>
        <w:tc>
          <w:tcPr>
            <w:tcW w:w="3610" w:type="dxa"/>
            <w:tcBorders>
              <w:top w:val="single" w:sz="4" w:space="0" w:color="auto"/>
              <w:bottom w:val="nil"/>
            </w:tcBorders>
            <w:shd w:val="clear" w:color="auto" w:fill="auto"/>
            <w:noWrap/>
            <w:vAlign w:val="bottom"/>
          </w:tcPr>
          <w:p w14:paraId="435D539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924" w:type="dxa"/>
            <w:tcBorders>
              <w:top w:val="single" w:sz="4" w:space="0" w:color="auto"/>
              <w:bottom w:val="single" w:sz="4" w:space="0" w:color="auto"/>
            </w:tcBorders>
            <w:shd w:val="clear" w:color="auto" w:fill="auto"/>
            <w:noWrap/>
            <w:vAlign w:val="bottom"/>
          </w:tcPr>
          <w:p w14:paraId="6E5DAFE2" w14:textId="77777777" w:rsidR="00C3000E" w:rsidRPr="003C6DBD" w:rsidRDefault="00C3000E" w:rsidP="003117FC">
            <w:pPr>
              <w:spacing w:after="0" w:line="48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PB</w:t>
            </w:r>
          </w:p>
        </w:tc>
        <w:tc>
          <w:tcPr>
            <w:tcW w:w="1924" w:type="dxa"/>
            <w:tcBorders>
              <w:top w:val="single" w:sz="4" w:space="0" w:color="auto"/>
              <w:bottom w:val="single" w:sz="4" w:space="0" w:color="auto"/>
            </w:tcBorders>
            <w:vAlign w:val="bottom"/>
          </w:tcPr>
          <w:p w14:paraId="1B3168FD" w14:textId="77777777" w:rsidR="00C3000E" w:rsidRPr="003C6DBD" w:rsidRDefault="00C3000E" w:rsidP="003117FC">
            <w:pPr>
              <w:spacing w:after="0" w:line="48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SB</w:t>
            </w:r>
          </w:p>
        </w:tc>
        <w:tc>
          <w:tcPr>
            <w:tcW w:w="1925" w:type="dxa"/>
            <w:tcBorders>
              <w:top w:val="single" w:sz="4" w:space="0" w:color="auto"/>
              <w:bottom w:val="single" w:sz="4" w:space="0" w:color="auto"/>
            </w:tcBorders>
            <w:shd w:val="clear" w:color="auto" w:fill="auto"/>
            <w:noWrap/>
            <w:vAlign w:val="bottom"/>
          </w:tcPr>
          <w:p w14:paraId="51957D5D" w14:textId="77777777" w:rsidR="00C3000E" w:rsidRPr="003C6DBD" w:rsidRDefault="00C3000E" w:rsidP="003117FC">
            <w:pPr>
              <w:spacing w:after="0" w:line="480" w:lineRule="auto"/>
              <w:rPr>
                <w:rFonts w:ascii="Times New Roman" w:eastAsia="Times New Roman" w:hAnsi="Times New Roman" w:cs="Times New Roman"/>
                <w:b/>
                <w:bCs/>
                <w:color w:val="0D0D0D" w:themeColor="text1" w:themeTint="F2"/>
                <w:sz w:val="24"/>
                <w:szCs w:val="24"/>
              </w:rPr>
            </w:pPr>
            <w:r w:rsidRPr="003C6DBD">
              <w:rPr>
                <w:rFonts w:ascii="Times New Roman" w:eastAsia="Times New Roman" w:hAnsi="Times New Roman" w:cs="Times New Roman"/>
                <w:b/>
                <w:bCs/>
                <w:color w:val="0D0D0D" w:themeColor="text1" w:themeTint="F2"/>
                <w:sz w:val="24"/>
                <w:szCs w:val="24"/>
              </w:rPr>
              <w:t>All</w:t>
            </w:r>
          </w:p>
        </w:tc>
      </w:tr>
      <w:tr w:rsidR="00D21393" w:rsidRPr="003C6DBD" w14:paraId="7375E08A" w14:textId="77777777" w:rsidTr="003117FC">
        <w:trPr>
          <w:trHeight w:val="312"/>
        </w:trPr>
        <w:tc>
          <w:tcPr>
            <w:tcW w:w="3610" w:type="dxa"/>
            <w:tcBorders>
              <w:top w:val="nil"/>
            </w:tcBorders>
            <w:shd w:val="clear" w:color="auto" w:fill="auto"/>
            <w:noWrap/>
            <w:vAlign w:val="bottom"/>
            <w:hideMark/>
          </w:tcPr>
          <w:p w14:paraId="1BDC9B9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ROA</w:t>
            </w:r>
          </w:p>
        </w:tc>
        <w:tc>
          <w:tcPr>
            <w:tcW w:w="1924" w:type="dxa"/>
            <w:tcBorders>
              <w:top w:val="single" w:sz="4" w:space="0" w:color="auto"/>
            </w:tcBorders>
            <w:shd w:val="clear" w:color="auto" w:fill="auto"/>
            <w:noWrap/>
            <w:vAlign w:val="bottom"/>
            <w:hideMark/>
          </w:tcPr>
          <w:p w14:paraId="794ACF7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0.060</w:t>
            </w:r>
          </w:p>
        </w:tc>
        <w:tc>
          <w:tcPr>
            <w:tcW w:w="1924" w:type="dxa"/>
            <w:tcBorders>
              <w:top w:val="single" w:sz="4" w:space="0" w:color="auto"/>
            </w:tcBorders>
            <w:vAlign w:val="bottom"/>
          </w:tcPr>
          <w:p w14:paraId="4606FF79"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0.040</w:t>
            </w:r>
          </w:p>
        </w:tc>
        <w:tc>
          <w:tcPr>
            <w:tcW w:w="1925" w:type="dxa"/>
            <w:tcBorders>
              <w:top w:val="single" w:sz="4" w:space="0" w:color="auto"/>
            </w:tcBorders>
            <w:shd w:val="clear" w:color="auto" w:fill="auto"/>
            <w:noWrap/>
            <w:vAlign w:val="bottom"/>
            <w:hideMark/>
          </w:tcPr>
          <w:p w14:paraId="1583919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0.040</w:t>
            </w:r>
          </w:p>
        </w:tc>
      </w:tr>
      <w:tr w:rsidR="00D21393" w:rsidRPr="003C6DBD" w14:paraId="2BB77F43" w14:textId="77777777" w:rsidTr="003117FC">
        <w:trPr>
          <w:trHeight w:val="312"/>
        </w:trPr>
        <w:tc>
          <w:tcPr>
            <w:tcW w:w="3610" w:type="dxa"/>
            <w:shd w:val="clear" w:color="auto" w:fill="auto"/>
            <w:noWrap/>
            <w:vAlign w:val="bottom"/>
            <w:hideMark/>
          </w:tcPr>
          <w:p w14:paraId="0C340A4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ROE</w:t>
            </w:r>
          </w:p>
        </w:tc>
        <w:tc>
          <w:tcPr>
            <w:tcW w:w="1924" w:type="dxa"/>
            <w:shd w:val="clear" w:color="auto" w:fill="auto"/>
            <w:noWrap/>
            <w:vAlign w:val="bottom"/>
            <w:hideMark/>
          </w:tcPr>
          <w:p w14:paraId="437B91F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0.120</w:t>
            </w:r>
          </w:p>
        </w:tc>
        <w:tc>
          <w:tcPr>
            <w:tcW w:w="1924" w:type="dxa"/>
            <w:vAlign w:val="bottom"/>
          </w:tcPr>
          <w:p w14:paraId="769BD62B"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0.110</w:t>
            </w:r>
          </w:p>
        </w:tc>
        <w:tc>
          <w:tcPr>
            <w:tcW w:w="1925" w:type="dxa"/>
            <w:shd w:val="clear" w:color="auto" w:fill="auto"/>
            <w:noWrap/>
            <w:vAlign w:val="bottom"/>
            <w:hideMark/>
          </w:tcPr>
          <w:p w14:paraId="5374323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0.110</w:t>
            </w:r>
          </w:p>
        </w:tc>
      </w:tr>
      <w:tr w:rsidR="00D21393" w:rsidRPr="003C6DBD" w14:paraId="60A46BB3" w14:textId="77777777" w:rsidTr="003117FC">
        <w:trPr>
          <w:trHeight w:val="312"/>
        </w:trPr>
        <w:tc>
          <w:tcPr>
            <w:tcW w:w="3610" w:type="dxa"/>
            <w:shd w:val="clear" w:color="auto" w:fill="auto"/>
            <w:noWrap/>
            <w:vAlign w:val="bottom"/>
            <w:hideMark/>
          </w:tcPr>
          <w:p w14:paraId="3999FCE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ROI</w:t>
            </w:r>
          </w:p>
        </w:tc>
        <w:tc>
          <w:tcPr>
            <w:tcW w:w="1924" w:type="dxa"/>
            <w:shd w:val="clear" w:color="auto" w:fill="auto"/>
            <w:noWrap/>
            <w:vAlign w:val="bottom"/>
            <w:hideMark/>
          </w:tcPr>
          <w:p w14:paraId="6388731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0.295</w:t>
            </w:r>
          </w:p>
        </w:tc>
        <w:tc>
          <w:tcPr>
            <w:tcW w:w="1924" w:type="dxa"/>
            <w:vAlign w:val="bottom"/>
          </w:tcPr>
          <w:p w14:paraId="04B47AF9"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0.270</w:t>
            </w:r>
          </w:p>
        </w:tc>
        <w:tc>
          <w:tcPr>
            <w:tcW w:w="1925" w:type="dxa"/>
            <w:shd w:val="clear" w:color="auto" w:fill="auto"/>
            <w:noWrap/>
            <w:vAlign w:val="bottom"/>
            <w:hideMark/>
          </w:tcPr>
          <w:p w14:paraId="1ADE63B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0.280</w:t>
            </w:r>
          </w:p>
        </w:tc>
      </w:tr>
      <w:tr w:rsidR="00D21393" w:rsidRPr="003C6DBD" w14:paraId="017398E1" w14:textId="77777777" w:rsidTr="003117FC">
        <w:trPr>
          <w:trHeight w:val="312"/>
        </w:trPr>
        <w:tc>
          <w:tcPr>
            <w:tcW w:w="3610" w:type="dxa"/>
            <w:shd w:val="clear" w:color="auto" w:fill="auto"/>
            <w:noWrap/>
            <w:vAlign w:val="bottom"/>
            <w:hideMark/>
          </w:tcPr>
          <w:p w14:paraId="1EC4946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Net income margin</w:t>
            </w:r>
          </w:p>
        </w:tc>
        <w:tc>
          <w:tcPr>
            <w:tcW w:w="1924" w:type="dxa"/>
            <w:shd w:val="clear" w:color="auto" w:fill="auto"/>
            <w:noWrap/>
            <w:vAlign w:val="bottom"/>
            <w:hideMark/>
          </w:tcPr>
          <w:p w14:paraId="767E4693"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0.075</w:t>
            </w:r>
          </w:p>
        </w:tc>
        <w:tc>
          <w:tcPr>
            <w:tcW w:w="1924" w:type="dxa"/>
            <w:vAlign w:val="bottom"/>
          </w:tcPr>
          <w:p w14:paraId="65666BB6"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0.040</w:t>
            </w:r>
          </w:p>
        </w:tc>
        <w:tc>
          <w:tcPr>
            <w:tcW w:w="1925" w:type="dxa"/>
            <w:shd w:val="clear" w:color="auto" w:fill="auto"/>
            <w:noWrap/>
            <w:vAlign w:val="bottom"/>
            <w:hideMark/>
          </w:tcPr>
          <w:p w14:paraId="253F1E2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0.050</w:t>
            </w:r>
          </w:p>
        </w:tc>
      </w:tr>
      <w:tr w:rsidR="00D21393" w:rsidRPr="003C6DBD" w14:paraId="193787C6" w14:textId="77777777" w:rsidTr="003117FC">
        <w:trPr>
          <w:trHeight w:val="312"/>
        </w:trPr>
        <w:tc>
          <w:tcPr>
            <w:tcW w:w="3610" w:type="dxa"/>
            <w:shd w:val="clear" w:color="auto" w:fill="auto"/>
            <w:noWrap/>
            <w:vAlign w:val="bottom"/>
            <w:hideMark/>
          </w:tcPr>
          <w:p w14:paraId="4ABCAEC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EBITDA margin</w:t>
            </w:r>
          </w:p>
        </w:tc>
        <w:tc>
          <w:tcPr>
            <w:tcW w:w="1924" w:type="dxa"/>
            <w:shd w:val="clear" w:color="auto" w:fill="auto"/>
            <w:noWrap/>
            <w:vAlign w:val="bottom"/>
            <w:hideMark/>
          </w:tcPr>
          <w:p w14:paraId="4388F2B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0.105</w:t>
            </w:r>
          </w:p>
        </w:tc>
        <w:tc>
          <w:tcPr>
            <w:tcW w:w="1924" w:type="dxa"/>
            <w:vAlign w:val="bottom"/>
          </w:tcPr>
          <w:p w14:paraId="77D50CAE"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0.120</w:t>
            </w:r>
          </w:p>
        </w:tc>
        <w:tc>
          <w:tcPr>
            <w:tcW w:w="1925" w:type="dxa"/>
            <w:shd w:val="clear" w:color="auto" w:fill="auto"/>
            <w:noWrap/>
            <w:vAlign w:val="bottom"/>
            <w:hideMark/>
          </w:tcPr>
          <w:p w14:paraId="43546F1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0.120</w:t>
            </w:r>
          </w:p>
        </w:tc>
      </w:tr>
      <w:tr w:rsidR="00D21393" w:rsidRPr="003C6DBD" w14:paraId="132FC430" w14:textId="77777777" w:rsidTr="003117FC">
        <w:trPr>
          <w:trHeight w:val="312"/>
        </w:trPr>
        <w:tc>
          <w:tcPr>
            <w:tcW w:w="3610" w:type="dxa"/>
            <w:shd w:val="clear" w:color="auto" w:fill="auto"/>
            <w:noWrap/>
            <w:vAlign w:val="bottom"/>
            <w:hideMark/>
          </w:tcPr>
          <w:p w14:paraId="0260816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Current ratio</w:t>
            </w:r>
          </w:p>
        </w:tc>
        <w:tc>
          <w:tcPr>
            <w:tcW w:w="1924" w:type="dxa"/>
            <w:shd w:val="clear" w:color="auto" w:fill="auto"/>
            <w:noWrap/>
            <w:vAlign w:val="bottom"/>
            <w:hideMark/>
          </w:tcPr>
          <w:p w14:paraId="4B5161C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3.220</w:t>
            </w:r>
          </w:p>
        </w:tc>
        <w:tc>
          <w:tcPr>
            <w:tcW w:w="1924" w:type="dxa"/>
            <w:vAlign w:val="bottom"/>
          </w:tcPr>
          <w:p w14:paraId="0C1FDCF8"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1.460</w:t>
            </w:r>
          </w:p>
        </w:tc>
        <w:tc>
          <w:tcPr>
            <w:tcW w:w="1925" w:type="dxa"/>
            <w:shd w:val="clear" w:color="auto" w:fill="auto"/>
            <w:noWrap/>
            <w:vAlign w:val="bottom"/>
            <w:hideMark/>
          </w:tcPr>
          <w:p w14:paraId="3D6CD4E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1.580</w:t>
            </w:r>
          </w:p>
        </w:tc>
      </w:tr>
      <w:tr w:rsidR="00D21393" w:rsidRPr="003C6DBD" w14:paraId="39566E92" w14:textId="77777777" w:rsidTr="003117FC">
        <w:trPr>
          <w:trHeight w:val="312"/>
        </w:trPr>
        <w:tc>
          <w:tcPr>
            <w:tcW w:w="3610" w:type="dxa"/>
            <w:shd w:val="clear" w:color="auto" w:fill="auto"/>
            <w:noWrap/>
            <w:vAlign w:val="bottom"/>
            <w:hideMark/>
          </w:tcPr>
          <w:p w14:paraId="2A86100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Asset turnover</w:t>
            </w:r>
          </w:p>
        </w:tc>
        <w:tc>
          <w:tcPr>
            <w:tcW w:w="1924" w:type="dxa"/>
            <w:shd w:val="clear" w:color="auto" w:fill="auto"/>
            <w:noWrap/>
            <w:vAlign w:val="bottom"/>
            <w:hideMark/>
          </w:tcPr>
          <w:p w14:paraId="74208A1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1.355</w:t>
            </w:r>
          </w:p>
        </w:tc>
        <w:tc>
          <w:tcPr>
            <w:tcW w:w="1924" w:type="dxa"/>
            <w:vAlign w:val="bottom"/>
          </w:tcPr>
          <w:p w14:paraId="1F5DA59D"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0.850</w:t>
            </w:r>
          </w:p>
        </w:tc>
        <w:tc>
          <w:tcPr>
            <w:tcW w:w="1925" w:type="dxa"/>
            <w:shd w:val="clear" w:color="auto" w:fill="auto"/>
            <w:noWrap/>
            <w:vAlign w:val="bottom"/>
            <w:hideMark/>
          </w:tcPr>
          <w:p w14:paraId="66A7403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1.040</w:t>
            </w:r>
          </w:p>
        </w:tc>
      </w:tr>
      <w:tr w:rsidR="00D21393" w:rsidRPr="003C6DBD" w14:paraId="36EEEE22" w14:textId="77777777" w:rsidTr="003117FC">
        <w:trPr>
          <w:trHeight w:val="312"/>
        </w:trPr>
        <w:tc>
          <w:tcPr>
            <w:tcW w:w="3610" w:type="dxa"/>
            <w:shd w:val="clear" w:color="auto" w:fill="auto"/>
            <w:noWrap/>
            <w:vAlign w:val="bottom"/>
            <w:hideMark/>
          </w:tcPr>
          <w:p w14:paraId="43DC978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Inventory turnover</w:t>
            </w:r>
          </w:p>
        </w:tc>
        <w:tc>
          <w:tcPr>
            <w:tcW w:w="1924" w:type="dxa"/>
            <w:shd w:val="clear" w:color="auto" w:fill="auto"/>
            <w:noWrap/>
            <w:vAlign w:val="bottom"/>
            <w:hideMark/>
          </w:tcPr>
          <w:p w14:paraId="00AEE52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8.850</w:t>
            </w:r>
          </w:p>
        </w:tc>
        <w:tc>
          <w:tcPr>
            <w:tcW w:w="1924" w:type="dxa"/>
            <w:vAlign w:val="bottom"/>
          </w:tcPr>
          <w:p w14:paraId="5098BB7D"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6.960</w:t>
            </w:r>
          </w:p>
        </w:tc>
        <w:tc>
          <w:tcPr>
            <w:tcW w:w="1925" w:type="dxa"/>
            <w:shd w:val="clear" w:color="auto" w:fill="auto"/>
            <w:noWrap/>
            <w:vAlign w:val="bottom"/>
            <w:hideMark/>
          </w:tcPr>
          <w:p w14:paraId="0E5D937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7.185</w:t>
            </w:r>
          </w:p>
        </w:tc>
      </w:tr>
      <w:tr w:rsidR="00D21393" w:rsidRPr="003C6DBD" w14:paraId="223B4E8A" w14:textId="77777777" w:rsidTr="003117FC">
        <w:trPr>
          <w:trHeight w:val="312"/>
        </w:trPr>
        <w:tc>
          <w:tcPr>
            <w:tcW w:w="3610" w:type="dxa"/>
            <w:shd w:val="clear" w:color="auto" w:fill="auto"/>
            <w:noWrap/>
            <w:vAlign w:val="bottom"/>
            <w:hideMark/>
          </w:tcPr>
          <w:p w14:paraId="0732672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Total debt to equity</w:t>
            </w:r>
          </w:p>
        </w:tc>
        <w:tc>
          <w:tcPr>
            <w:tcW w:w="1924" w:type="dxa"/>
            <w:shd w:val="clear" w:color="auto" w:fill="auto"/>
            <w:noWrap/>
            <w:vAlign w:val="bottom"/>
            <w:hideMark/>
          </w:tcPr>
          <w:p w14:paraId="33ABB34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0.080</w:t>
            </w:r>
          </w:p>
        </w:tc>
        <w:tc>
          <w:tcPr>
            <w:tcW w:w="1924" w:type="dxa"/>
            <w:vAlign w:val="bottom"/>
          </w:tcPr>
          <w:p w14:paraId="5D09BDE0"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0.730</w:t>
            </w:r>
          </w:p>
        </w:tc>
        <w:tc>
          <w:tcPr>
            <w:tcW w:w="1925" w:type="dxa"/>
            <w:shd w:val="clear" w:color="auto" w:fill="auto"/>
            <w:noWrap/>
            <w:vAlign w:val="bottom"/>
            <w:hideMark/>
          </w:tcPr>
          <w:p w14:paraId="59C629B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0.520</w:t>
            </w:r>
          </w:p>
        </w:tc>
      </w:tr>
      <w:tr w:rsidR="00D21393" w:rsidRPr="003C6DBD" w14:paraId="316E1DF2" w14:textId="77777777" w:rsidTr="003117FC">
        <w:trPr>
          <w:trHeight w:val="312"/>
        </w:trPr>
        <w:tc>
          <w:tcPr>
            <w:tcW w:w="3610" w:type="dxa"/>
            <w:shd w:val="clear" w:color="auto" w:fill="auto"/>
            <w:noWrap/>
            <w:vAlign w:val="bottom"/>
            <w:hideMark/>
          </w:tcPr>
          <w:p w14:paraId="5840BDA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Assets to equity</w:t>
            </w:r>
          </w:p>
        </w:tc>
        <w:tc>
          <w:tcPr>
            <w:tcW w:w="1924" w:type="dxa"/>
            <w:shd w:val="clear" w:color="auto" w:fill="auto"/>
            <w:noWrap/>
            <w:vAlign w:val="bottom"/>
            <w:hideMark/>
          </w:tcPr>
          <w:p w14:paraId="46B982D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1.230</w:t>
            </w:r>
          </w:p>
        </w:tc>
        <w:tc>
          <w:tcPr>
            <w:tcW w:w="1924" w:type="dxa"/>
            <w:vAlign w:val="bottom"/>
          </w:tcPr>
          <w:p w14:paraId="55DE6380"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2.460</w:t>
            </w:r>
          </w:p>
        </w:tc>
        <w:tc>
          <w:tcPr>
            <w:tcW w:w="1925" w:type="dxa"/>
            <w:shd w:val="clear" w:color="auto" w:fill="auto"/>
            <w:noWrap/>
            <w:vAlign w:val="bottom"/>
            <w:hideMark/>
          </w:tcPr>
          <w:p w14:paraId="4F9C121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2.130</w:t>
            </w:r>
          </w:p>
        </w:tc>
      </w:tr>
      <w:tr w:rsidR="00D21393" w:rsidRPr="003C6DBD" w14:paraId="5FFC4E5B" w14:textId="77777777" w:rsidTr="003117FC">
        <w:trPr>
          <w:trHeight w:val="312"/>
        </w:trPr>
        <w:tc>
          <w:tcPr>
            <w:tcW w:w="3610" w:type="dxa"/>
            <w:shd w:val="clear" w:color="auto" w:fill="auto"/>
            <w:noWrap/>
            <w:vAlign w:val="bottom"/>
          </w:tcPr>
          <w:p w14:paraId="687FABD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P/E ratio</w:t>
            </w:r>
          </w:p>
        </w:tc>
        <w:tc>
          <w:tcPr>
            <w:tcW w:w="1924" w:type="dxa"/>
            <w:shd w:val="clear" w:color="auto" w:fill="auto"/>
            <w:noWrap/>
            <w:vAlign w:val="bottom"/>
          </w:tcPr>
          <w:p w14:paraId="04F082F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12.039</w:t>
            </w:r>
          </w:p>
        </w:tc>
        <w:tc>
          <w:tcPr>
            <w:tcW w:w="1924" w:type="dxa"/>
            <w:vAlign w:val="bottom"/>
          </w:tcPr>
          <w:p w14:paraId="19DE17FA"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17.279</w:t>
            </w:r>
          </w:p>
        </w:tc>
        <w:tc>
          <w:tcPr>
            <w:tcW w:w="1925" w:type="dxa"/>
            <w:shd w:val="clear" w:color="auto" w:fill="auto"/>
            <w:noWrap/>
            <w:vAlign w:val="bottom"/>
          </w:tcPr>
          <w:p w14:paraId="784A932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15.808</w:t>
            </w:r>
          </w:p>
        </w:tc>
      </w:tr>
      <w:tr w:rsidR="00D21393" w:rsidRPr="003C6DBD" w14:paraId="1D10548B" w14:textId="77777777" w:rsidTr="003117FC">
        <w:trPr>
          <w:trHeight w:val="312"/>
        </w:trPr>
        <w:tc>
          <w:tcPr>
            <w:tcW w:w="3610" w:type="dxa"/>
            <w:shd w:val="clear" w:color="auto" w:fill="auto"/>
            <w:noWrap/>
            <w:vAlign w:val="bottom"/>
          </w:tcPr>
          <w:p w14:paraId="6D56D764"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EPS</w:t>
            </w:r>
          </w:p>
        </w:tc>
        <w:tc>
          <w:tcPr>
            <w:tcW w:w="1924" w:type="dxa"/>
            <w:shd w:val="clear" w:color="auto" w:fill="auto"/>
            <w:noWrap/>
            <w:vAlign w:val="bottom"/>
          </w:tcPr>
          <w:p w14:paraId="37920B7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2.457</w:t>
            </w:r>
          </w:p>
        </w:tc>
        <w:tc>
          <w:tcPr>
            <w:tcW w:w="1924" w:type="dxa"/>
            <w:vAlign w:val="bottom"/>
          </w:tcPr>
          <w:p w14:paraId="78CEC30C"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2.138</w:t>
            </w:r>
          </w:p>
        </w:tc>
        <w:tc>
          <w:tcPr>
            <w:tcW w:w="1925" w:type="dxa"/>
            <w:shd w:val="clear" w:color="auto" w:fill="auto"/>
            <w:noWrap/>
            <w:vAlign w:val="bottom"/>
          </w:tcPr>
          <w:p w14:paraId="2F1D960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2.225</w:t>
            </w:r>
          </w:p>
        </w:tc>
      </w:tr>
      <w:tr w:rsidR="00D21393" w:rsidRPr="003C6DBD" w14:paraId="1F8DB6AB" w14:textId="77777777" w:rsidTr="003117FC">
        <w:trPr>
          <w:trHeight w:val="312"/>
        </w:trPr>
        <w:tc>
          <w:tcPr>
            <w:tcW w:w="3610" w:type="dxa"/>
            <w:shd w:val="clear" w:color="auto" w:fill="auto"/>
            <w:noWrap/>
            <w:vAlign w:val="bottom"/>
          </w:tcPr>
          <w:p w14:paraId="16882A7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Altman Z</w:t>
            </w:r>
          </w:p>
        </w:tc>
        <w:tc>
          <w:tcPr>
            <w:tcW w:w="1924" w:type="dxa"/>
            <w:shd w:val="clear" w:color="auto" w:fill="auto"/>
            <w:noWrap/>
            <w:vAlign w:val="bottom"/>
          </w:tcPr>
          <w:p w14:paraId="00D20C7F"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5.780</w:t>
            </w:r>
          </w:p>
        </w:tc>
        <w:tc>
          <w:tcPr>
            <w:tcW w:w="1924" w:type="dxa"/>
            <w:vAlign w:val="bottom"/>
          </w:tcPr>
          <w:p w14:paraId="153621E1"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2.430</w:t>
            </w:r>
          </w:p>
        </w:tc>
        <w:tc>
          <w:tcPr>
            <w:tcW w:w="1925" w:type="dxa"/>
            <w:shd w:val="clear" w:color="auto" w:fill="auto"/>
            <w:noWrap/>
            <w:vAlign w:val="bottom"/>
          </w:tcPr>
          <w:p w14:paraId="58BE81FD"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2.930</w:t>
            </w:r>
          </w:p>
        </w:tc>
      </w:tr>
      <w:tr w:rsidR="00D21393" w:rsidRPr="003C6DBD" w14:paraId="4D8DCD34" w14:textId="77777777" w:rsidTr="003117FC">
        <w:trPr>
          <w:trHeight w:val="312"/>
        </w:trPr>
        <w:tc>
          <w:tcPr>
            <w:tcW w:w="3610" w:type="dxa"/>
            <w:shd w:val="clear" w:color="auto" w:fill="auto"/>
            <w:noWrap/>
            <w:vAlign w:val="bottom"/>
          </w:tcPr>
          <w:p w14:paraId="1AA5818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CFO to CAPEX</w:t>
            </w:r>
          </w:p>
        </w:tc>
        <w:tc>
          <w:tcPr>
            <w:tcW w:w="1924" w:type="dxa"/>
            <w:shd w:val="clear" w:color="auto" w:fill="auto"/>
            <w:noWrap/>
            <w:vAlign w:val="bottom"/>
          </w:tcPr>
          <w:p w14:paraId="5A6810B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5.215</w:t>
            </w:r>
          </w:p>
        </w:tc>
        <w:tc>
          <w:tcPr>
            <w:tcW w:w="1924" w:type="dxa"/>
            <w:vAlign w:val="bottom"/>
          </w:tcPr>
          <w:p w14:paraId="6555CDB6"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1.620</w:t>
            </w:r>
          </w:p>
        </w:tc>
        <w:tc>
          <w:tcPr>
            <w:tcW w:w="1925" w:type="dxa"/>
            <w:shd w:val="clear" w:color="auto" w:fill="auto"/>
            <w:noWrap/>
            <w:vAlign w:val="bottom"/>
          </w:tcPr>
          <w:p w14:paraId="27C1B6C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1.970</w:t>
            </w:r>
          </w:p>
        </w:tc>
      </w:tr>
      <w:tr w:rsidR="00C3000E" w:rsidRPr="003C6DBD" w14:paraId="678DC5A5" w14:textId="77777777" w:rsidTr="003117FC">
        <w:trPr>
          <w:trHeight w:val="312"/>
        </w:trPr>
        <w:tc>
          <w:tcPr>
            <w:tcW w:w="3610" w:type="dxa"/>
            <w:shd w:val="clear" w:color="auto" w:fill="auto"/>
            <w:noWrap/>
            <w:vAlign w:val="bottom"/>
          </w:tcPr>
          <w:p w14:paraId="540626B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CAPEX to D&amp;A</w:t>
            </w:r>
          </w:p>
        </w:tc>
        <w:tc>
          <w:tcPr>
            <w:tcW w:w="1924" w:type="dxa"/>
            <w:shd w:val="clear" w:color="auto" w:fill="auto"/>
            <w:noWrap/>
            <w:vAlign w:val="bottom"/>
          </w:tcPr>
          <w:p w14:paraId="0B08511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0.550</w:t>
            </w:r>
          </w:p>
        </w:tc>
        <w:tc>
          <w:tcPr>
            <w:tcW w:w="1924" w:type="dxa"/>
            <w:vAlign w:val="bottom"/>
          </w:tcPr>
          <w:p w14:paraId="591B9694" w14:textId="77777777" w:rsidR="00C3000E" w:rsidRPr="003C6DBD" w:rsidRDefault="00C3000E" w:rsidP="003117FC">
            <w:pPr>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0.900</w:t>
            </w:r>
          </w:p>
        </w:tc>
        <w:tc>
          <w:tcPr>
            <w:tcW w:w="1925" w:type="dxa"/>
            <w:shd w:val="clear" w:color="auto" w:fill="auto"/>
            <w:noWrap/>
            <w:vAlign w:val="bottom"/>
          </w:tcPr>
          <w:p w14:paraId="126C8096"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0.880</w:t>
            </w:r>
          </w:p>
        </w:tc>
      </w:tr>
    </w:tbl>
    <w:p w14:paraId="44E42BE6" w14:textId="77777777" w:rsidR="00C3000E" w:rsidRPr="003C6DBD" w:rsidRDefault="00C3000E" w:rsidP="00C3000E">
      <w:pPr>
        <w:spacing w:line="480" w:lineRule="auto"/>
        <w:ind w:firstLine="720"/>
        <w:rPr>
          <w:rFonts w:ascii="Times New Roman" w:hAnsi="Times New Roman" w:cs="Times New Roman"/>
          <w:color w:val="0D0D0D" w:themeColor="text1" w:themeTint="F2"/>
          <w:sz w:val="24"/>
          <w:szCs w:val="24"/>
        </w:rPr>
      </w:pPr>
    </w:p>
    <w:p w14:paraId="37138DE4" w14:textId="77777777" w:rsidR="00E45DE9" w:rsidRPr="003C6DBD" w:rsidRDefault="00E45DE9" w:rsidP="00C3000E">
      <w:pPr>
        <w:spacing w:line="480" w:lineRule="auto"/>
        <w:ind w:firstLine="720"/>
        <w:rPr>
          <w:rFonts w:ascii="Times New Roman" w:hAnsi="Times New Roman" w:cs="Times New Roman"/>
          <w:color w:val="0D0D0D" w:themeColor="text1" w:themeTint="F2"/>
          <w:sz w:val="24"/>
          <w:szCs w:val="24"/>
        </w:rPr>
      </w:pPr>
    </w:p>
    <w:p w14:paraId="450CB553" w14:textId="77777777" w:rsidR="00E45DE9" w:rsidRPr="003C6DBD" w:rsidRDefault="00E45DE9" w:rsidP="00C3000E">
      <w:pPr>
        <w:spacing w:line="480" w:lineRule="auto"/>
        <w:ind w:firstLine="720"/>
        <w:rPr>
          <w:rFonts w:ascii="Times New Roman" w:hAnsi="Times New Roman" w:cs="Times New Roman"/>
          <w:color w:val="0D0D0D" w:themeColor="text1" w:themeTint="F2"/>
          <w:sz w:val="24"/>
          <w:szCs w:val="24"/>
        </w:rPr>
      </w:pPr>
    </w:p>
    <w:p w14:paraId="0074F20C" w14:textId="6AF2D68F" w:rsidR="00C3000E" w:rsidRPr="003C6DBD" w:rsidRDefault="00C3000E" w:rsidP="00C3000E">
      <w:pPr>
        <w:pStyle w:val="Caption"/>
        <w:keepNext/>
        <w:spacing w:line="480" w:lineRule="auto"/>
        <w:rPr>
          <w:rFonts w:ascii="Times New Roman" w:hAnsi="Times New Roman" w:cs="Times New Roman"/>
          <w:color w:val="0D0D0D" w:themeColor="text1" w:themeTint="F2"/>
          <w:sz w:val="24"/>
          <w:szCs w:val="24"/>
        </w:rPr>
      </w:pPr>
      <w:bookmarkStart w:id="93" w:name="_Toc132671831"/>
      <w:r w:rsidRPr="003C6DBD">
        <w:rPr>
          <w:rFonts w:ascii="Times New Roman" w:hAnsi="Times New Roman" w:cs="Times New Roman"/>
          <w:color w:val="0D0D0D" w:themeColor="text1" w:themeTint="F2"/>
          <w:sz w:val="24"/>
          <w:szCs w:val="24"/>
        </w:rPr>
        <w:lastRenderedPageBreak/>
        <w:t xml:space="preserve">Table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Table \* ARABIC </w:instrText>
      </w:r>
      <w:r w:rsidRPr="003C6DBD">
        <w:rPr>
          <w:rFonts w:ascii="Times New Roman" w:hAnsi="Times New Roman" w:cs="Times New Roman"/>
          <w:color w:val="0D0D0D" w:themeColor="text1" w:themeTint="F2"/>
          <w:sz w:val="24"/>
          <w:szCs w:val="24"/>
        </w:rPr>
        <w:fldChar w:fldCharType="separate"/>
      </w:r>
      <w:r w:rsidR="00154E66" w:rsidRPr="003C6DBD">
        <w:rPr>
          <w:rFonts w:ascii="Times New Roman" w:hAnsi="Times New Roman" w:cs="Times New Roman"/>
          <w:noProof/>
          <w:color w:val="0D0D0D" w:themeColor="text1" w:themeTint="F2"/>
          <w:sz w:val="24"/>
          <w:szCs w:val="24"/>
        </w:rPr>
        <w:t>17</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Median test to compare PB companies and SB companies from 2018 to 2021.</w:t>
      </w:r>
      <w:bookmarkEnd w:id="93"/>
    </w:p>
    <w:tbl>
      <w:tblPr>
        <w:tblStyle w:val="TableGrid"/>
        <w:tblpPr w:leftFromText="180" w:rightFromText="180" w:vertAnchor="text" w:tblpY="1"/>
        <w:tblOverlap w:val="never"/>
        <w:tblW w:w="936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0"/>
        <w:gridCol w:w="2768"/>
        <w:gridCol w:w="2482"/>
      </w:tblGrid>
      <w:tr w:rsidR="00D21393" w:rsidRPr="003C6DBD" w14:paraId="5730F262" w14:textId="77777777" w:rsidTr="003117FC">
        <w:trPr>
          <w:trHeight w:val="300"/>
        </w:trPr>
        <w:tc>
          <w:tcPr>
            <w:tcW w:w="4110" w:type="dxa"/>
            <w:tcBorders>
              <w:top w:val="single" w:sz="4" w:space="0" w:color="auto"/>
              <w:bottom w:val="nil"/>
            </w:tcBorders>
          </w:tcPr>
          <w:p w14:paraId="21766185" w14:textId="77777777" w:rsidR="00C3000E" w:rsidRPr="003C6DBD" w:rsidRDefault="00C3000E" w:rsidP="003117FC">
            <w:pPr>
              <w:spacing w:line="480" w:lineRule="auto"/>
              <w:rPr>
                <w:rFonts w:ascii="Times New Roman" w:hAnsi="Times New Roman" w:cs="Times New Roman"/>
                <w:b/>
                <w:bCs/>
                <w:color w:val="0D0D0D" w:themeColor="text1" w:themeTint="F2"/>
                <w:sz w:val="24"/>
                <w:szCs w:val="24"/>
              </w:rPr>
            </w:pPr>
            <w:r w:rsidRPr="003C6DBD">
              <w:rPr>
                <w:rFonts w:ascii="Times New Roman" w:hAnsi="Times New Roman" w:cs="Times New Roman"/>
                <w:b/>
                <w:bCs/>
                <w:color w:val="0D0D0D" w:themeColor="text1" w:themeTint="F2"/>
                <w:sz w:val="24"/>
                <w:szCs w:val="24"/>
              </w:rPr>
              <w:t>Financial ratios</w:t>
            </w:r>
          </w:p>
        </w:tc>
        <w:tc>
          <w:tcPr>
            <w:tcW w:w="2768" w:type="dxa"/>
            <w:tcBorders>
              <w:top w:val="single" w:sz="4" w:space="0" w:color="auto"/>
              <w:bottom w:val="nil"/>
            </w:tcBorders>
          </w:tcPr>
          <w:p w14:paraId="5587F6C5" w14:textId="77777777" w:rsidR="00C3000E" w:rsidRPr="003C6DBD" w:rsidRDefault="00C3000E" w:rsidP="003117FC">
            <w:pPr>
              <w:spacing w:line="480" w:lineRule="auto"/>
              <w:rPr>
                <w:rFonts w:ascii="Times New Roman" w:hAnsi="Times New Roman" w:cs="Times New Roman"/>
                <w:b/>
                <w:bCs/>
                <w:color w:val="0D0D0D" w:themeColor="text1" w:themeTint="F2"/>
                <w:sz w:val="24"/>
                <w:szCs w:val="24"/>
              </w:rPr>
            </w:pPr>
            <w:r w:rsidRPr="003C6DBD">
              <w:rPr>
                <w:rFonts w:ascii="Times New Roman" w:hAnsi="Times New Roman" w:cs="Times New Roman"/>
                <w:b/>
                <w:bCs/>
                <w:color w:val="0D0D0D" w:themeColor="text1" w:themeTint="F2"/>
                <w:sz w:val="24"/>
                <w:szCs w:val="24"/>
              </w:rPr>
              <w:t>Median test (p-value)</w:t>
            </w:r>
          </w:p>
        </w:tc>
        <w:tc>
          <w:tcPr>
            <w:tcW w:w="2482" w:type="dxa"/>
            <w:tcBorders>
              <w:top w:val="single" w:sz="4" w:space="0" w:color="auto"/>
              <w:bottom w:val="nil"/>
            </w:tcBorders>
          </w:tcPr>
          <w:p w14:paraId="5C12C589" w14:textId="77777777" w:rsidR="00C3000E" w:rsidRPr="003C6DBD" w:rsidRDefault="00C3000E" w:rsidP="003117FC">
            <w:pPr>
              <w:spacing w:line="480" w:lineRule="auto"/>
              <w:rPr>
                <w:rFonts w:ascii="Times New Roman" w:hAnsi="Times New Roman" w:cs="Times New Roman"/>
                <w:b/>
                <w:bCs/>
                <w:color w:val="0D0D0D" w:themeColor="text1" w:themeTint="F2"/>
                <w:sz w:val="24"/>
                <w:szCs w:val="24"/>
              </w:rPr>
            </w:pPr>
            <w:r w:rsidRPr="003C6DBD">
              <w:rPr>
                <w:rFonts w:ascii="Times New Roman" w:hAnsi="Times New Roman" w:cs="Times New Roman"/>
                <w:b/>
                <w:bCs/>
                <w:color w:val="0D0D0D" w:themeColor="text1" w:themeTint="F2"/>
                <w:sz w:val="24"/>
                <w:szCs w:val="24"/>
              </w:rPr>
              <w:t>Difference (PB-SB)</w:t>
            </w:r>
          </w:p>
        </w:tc>
      </w:tr>
      <w:tr w:rsidR="00D21393" w:rsidRPr="003C6DBD" w14:paraId="2E849DF4" w14:textId="77777777" w:rsidTr="003117FC">
        <w:trPr>
          <w:trHeight w:val="300"/>
        </w:trPr>
        <w:tc>
          <w:tcPr>
            <w:tcW w:w="4110" w:type="dxa"/>
            <w:tcBorders>
              <w:top w:val="single" w:sz="4" w:space="0" w:color="auto"/>
            </w:tcBorders>
          </w:tcPr>
          <w:p w14:paraId="0BCF7CBC"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ROA</w:t>
            </w:r>
          </w:p>
        </w:tc>
        <w:tc>
          <w:tcPr>
            <w:tcW w:w="2768" w:type="dxa"/>
            <w:tcBorders>
              <w:top w:val="single" w:sz="4" w:space="0" w:color="auto"/>
            </w:tcBorders>
          </w:tcPr>
          <w:p w14:paraId="31F0F7B0"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0.071*</w:t>
            </w:r>
          </w:p>
        </w:tc>
        <w:tc>
          <w:tcPr>
            <w:tcW w:w="2482" w:type="dxa"/>
            <w:tcBorders>
              <w:top w:val="single" w:sz="4" w:space="0" w:color="auto"/>
            </w:tcBorders>
            <w:vAlign w:val="bottom"/>
          </w:tcPr>
          <w:p w14:paraId="045AE80B"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0.02</w:t>
            </w:r>
          </w:p>
        </w:tc>
      </w:tr>
      <w:tr w:rsidR="00D21393" w:rsidRPr="003C6DBD" w14:paraId="03AC4725" w14:textId="77777777" w:rsidTr="003117FC">
        <w:trPr>
          <w:trHeight w:val="311"/>
        </w:trPr>
        <w:tc>
          <w:tcPr>
            <w:tcW w:w="4110" w:type="dxa"/>
          </w:tcPr>
          <w:p w14:paraId="30AC56B5"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ROE</w:t>
            </w:r>
          </w:p>
        </w:tc>
        <w:tc>
          <w:tcPr>
            <w:tcW w:w="2768" w:type="dxa"/>
          </w:tcPr>
          <w:p w14:paraId="5E873904"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0.351</w:t>
            </w:r>
          </w:p>
        </w:tc>
        <w:tc>
          <w:tcPr>
            <w:tcW w:w="2482" w:type="dxa"/>
            <w:vAlign w:val="bottom"/>
          </w:tcPr>
          <w:p w14:paraId="04A33170"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0.01</w:t>
            </w:r>
          </w:p>
        </w:tc>
      </w:tr>
      <w:tr w:rsidR="00D21393" w:rsidRPr="003C6DBD" w14:paraId="68B55006" w14:textId="77777777" w:rsidTr="003117FC">
        <w:trPr>
          <w:trHeight w:val="311"/>
        </w:trPr>
        <w:tc>
          <w:tcPr>
            <w:tcW w:w="4110" w:type="dxa"/>
          </w:tcPr>
          <w:p w14:paraId="0332056D"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ROI</w:t>
            </w:r>
          </w:p>
        </w:tc>
        <w:tc>
          <w:tcPr>
            <w:tcW w:w="2768" w:type="dxa"/>
          </w:tcPr>
          <w:p w14:paraId="3106D5CE"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0.290</w:t>
            </w:r>
          </w:p>
        </w:tc>
        <w:tc>
          <w:tcPr>
            <w:tcW w:w="2482" w:type="dxa"/>
            <w:vAlign w:val="bottom"/>
          </w:tcPr>
          <w:p w14:paraId="6E4503F2"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0.025</w:t>
            </w:r>
          </w:p>
        </w:tc>
      </w:tr>
      <w:tr w:rsidR="00D21393" w:rsidRPr="003C6DBD" w14:paraId="051C91C9" w14:textId="77777777" w:rsidTr="003117FC">
        <w:trPr>
          <w:trHeight w:val="311"/>
        </w:trPr>
        <w:tc>
          <w:tcPr>
            <w:tcW w:w="4110" w:type="dxa"/>
          </w:tcPr>
          <w:p w14:paraId="0ECBF2CA"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Net income margin</w:t>
            </w:r>
          </w:p>
        </w:tc>
        <w:tc>
          <w:tcPr>
            <w:tcW w:w="2768" w:type="dxa"/>
          </w:tcPr>
          <w:p w14:paraId="412DE57B"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0.014**</w:t>
            </w:r>
          </w:p>
        </w:tc>
        <w:tc>
          <w:tcPr>
            <w:tcW w:w="2482" w:type="dxa"/>
            <w:vAlign w:val="bottom"/>
          </w:tcPr>
          <w:p w14:paraId="18C97F12"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0.035</w:t>
            </w:r>
          </w:p>
        </w:tc>
      </w:tr>
      <w:tr w:rsidR="00D21393" w:rsidRPr="003C6DBD" w14:paraId="51C33523" w14:textId="77777777" w:rsidTr="003117FC">
        <w:trPr>
          <w:trHeight w:val="311"/>
        </w:trPr>
        <w:tc>
          <w:tcPr>
            <w:tcW w:w="4110" w:type="dxa"/>
          </w:tcPr>
          <w:p w14:paraId="341180FF"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EBITDA margin</w:t>
            </w:r>
          </w:p>
        </w:tc>
        <w:tc>
          <w:tcPr>
            <w:tcW w:w="2768" w:type="dxa"/>
          </w:tcPr>
          <w:p w14:paraId="1E8E7A39"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0.514</w:t>
            </w:r>
          </w:p>
        </w:tc>
        <w:tc>
          <w:tcPr>
            <w:tcW w:w="2482" w:type="dxa"/>
            <w:vAlign w:val="bottom"/>
          </w:tcPr>
          <w:p w14:paraId="5AF3B067"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-0.015</w:t>
            </w:r>
          </w:p>
        </w:tc>
      </w:tr>
      <w:tr w:rsidR="00D21393" w:rsidRPr="003C6DBD" w14:paraId="7971565C" w14:textId="77777777" w:rsidTr="003117FC">
        <w:trPr>
          <w:trHeight w:val="311"/>
        </w:trPr>
        <w:tc>
          <w:tcPr>
            <w:tcW w:w="4110" w:type="dxa"/>
          </w:tcPr>
          <w:p w14:paraId="48DA51C3"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Current ratio</w:t>
            </w:r>
          </w:p>
        </w:tc>
        <w:tc>
          <w:tcPr>
            <w:tcW w:w="2768" w:type="dxa"/>
          </w:tcPr>
          <w:p w14:paraId="7A7F7BB4"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0.000***</w:t>
            </w:r>
          </w:p>
        </w:tc>
        <w:tc>
          <w:tcPr>
            <w:tcW w:w="2482" w:type="dxa"/>
            <w:vAlign w:val="bottom"/>
          </w:tcPr>
          <w:p w14:paraId="07B9AEBE"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1.76</w:t>
            </w:r>
          </w:p>
        </w:tc>
      </w:tr>
      <w:tr w:rsidR="00D21393" w:rsidRPr="003C6DBD" w14:paraId="42BEEF6C" w14:textId="77777777" w:rsidTr="003117FC">
        <w:trPr>
          <w:trHeight w:val="311"/>
        </w:trPr>
        <w:tc>
          <w:tcPr>
            <w:tcW w:w="4110" w:type="dxa"/>
          </w:tcPr>
          <w:p w14:paraId="0C0AEF20"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Asset turnover</w:t>
            </w:r>
          </w:p>
        </w:tc>
        <w:tc>
          <w:tcPr>
            <w:tcW w:w="2768" w:type="dxa"/>
          </w:tcPr>
          <w:p w14:paraId="1A846117"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0.033**</w:t>
            </w:r>
          </w:p>
        </w:tc>
        <w:tc>
          <w:tcPr>
            <w:tcW w:w="2482" w:type="dxa"/>
            <w:vAlign w:val="bottom"/>
          </w:tcPr>
          <w:p w14:paraId="638D6740"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0.505</w:t>
            </w:r>
          </w:p>
        </w:tc>
      </w:tr>
      <w:tr w:rsidR="00D21393" w:rsidRPr="003C6DBD" w14:paraId="4D2C4BD3" w14:textId="77777777" w:rsidTr="003117FC">
        <w:trPr>
          <w:trHeight w:val="300"/>
        </w:trPr>
        <w:tc>
          <w:tcPr>
            <w:tcW w:w="4110" w:type="dxa"/>
          </w:tcPr>
          <w:p w14:paraId="31F3CEAA"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Inventory turnover</w:t>
            </w:r>
          </w:p>
        </w:tc>
        <w:tc>
          <w:tcPr>
            <w:tcW w:w="2768" w:type="dxa"/>
          </w:tcPr>
          <w:p w14:paraId="714C0DB9"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0.079*</w:t>
            </w:r>
          </w:p>
        </w:tc>
        <w:tc>
          <w:tcPr>
            <w:tcW w:w="2482" w:type="dxa"/>
            <w:vAlign w:val="bottom"/>
          </w:tcPr>
          <w:p w14:paraId="0DB7545E"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1.89</w:t>
            </w:r>
          </w:p>
        </w:tc>
      </w:tr>
      <w:tr w:rsidR="00D21393" w:rsidRPr="003C6DBD" w14:paraId="59A6DD77" w14:textId="77777777" w:rsidTr="003117FC">
        <w:trPr>
          <w:trHeight w:val="311"/>
        </w:trPr>
        <w:tc>
          <w:tcPr>
            <w:tcW w:w="4110" w:type="dxa"/>
          </w:tcPr>
          <w:p w14:paraId="3765C7E7"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Total debt to equity</w:t>
            </w:r>
          </w:p>
        </w:tc>
        <w:tc>
          <w:tcPr>
            <w:tcW w:w="2768" w:type="dxa"/>
          </w:tcPr>
          <w:p w14:paraId="56B2B21F"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0.000***</w:t>
            </w:r>
          </w:p>
        </w:tc>
        <w:tc>
          <w:tcPr>
            <w:tcW w:w="2482" w:type="dxa"/>
            <w:vAlign w:val="bottom"/>
          </w:tcPr>
          <w:p w14:paraId="20683ADC"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-0.65</w:t>
            </w:r>
          </w:p>
        </w:tc>
      </w:tr>
      <w:tr w:rsidR="00D21393" w:rsidRPr="003C6DBD" w14:paraId="6C53EAD8" w14:textId="77777777" w:rsidTr="003117FC">
        <w:trPr>
          <w:trHeight w:val="311"/>
        </w:trPr>
        <w:tc>
          <w:tcPr>
            <w:tcW w:w="4110" w:type="dxa"/>
          </w:tcPr>
          <w:p w14:paraId="718B0C5F"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Assets to equity</w:t>
            </w:r>
          </w:p>
        </w:tc>
        <w:tc>
          <w:tcPr>
            <w:tcW w:w="2768" w:type="dxa"/>
          </w:tcPr>
          <w:p w14:paraId="7E669929"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0.000***</w:t>
            </w:r>
          </w:p>
        </w:tc>
        <w:tc>
          <w:tcPr>
            <w:tcW w:w="2482" w:type="dxa"/>
            <w:vAlign w:val="bottom"/>
          </w:tcPr>
          <w:p w14:paraId="410EB574"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-1.23</w:t>
            </w:r>
          </w:p>
        </w:tc>
      </w:tr>
      <w:tr w:rsidR="00D21393" w:rsidRPr="003C6DBD" w14:paraId="3C833D52" w14:textId="77777777" w:rsidTr="003117FC">
        <w:trPr>
          <w:trHeight w:val="311"/>
        </w:trPr>
        <w:tc>
          <w:tcPr>
            <w:tcW w:w="4110" w:type="dxa"/>
          </w:tcPr>
          <w:p w14:paraId="6A655A26"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P/E ratio</w:t>
            </w:r>
          </w:p>
        </w:tc>
        <w:tc>
          <w:tcPr>
            <w:tcW w:w="2768" w:type="dxa"/>
          </w:tcPr>
          <w:p w14:paraId="4D406368"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0.182</w:t>
            </w:r>
          </w:p>
        </w:tc>
        <w:tc>
          <w:tcPr>
            <w:tcW w:w="2482" w:type="dxa"/>
            <w:vAlign w:val="bottom"/>
          </w:tcPr>
          <w:p w14:paraId="3A32736F"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-5.24</w:t>
            </w:r>
          </w:p>
        </w:tc>
      </w:tr>
      <w:tr w:rsidR="00D21393" w:rsidRPr="003C6DBD" w14:paraId="3CC26B35" w14:textId="77777777" w:rsidTr="003117FC">
        <w:trPr>
          <w:trHeight w:val="311"/>
        </w:trPr>
        <w:tc>
          <w:tcPr>
            <w:tcW w:w="4110" w:type="dxa"/>
          </w:tcPr>
          <w:p w14:paraId="11D43E05"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EPS</w:t>
            </w:r>
          </w:p>
        </w:tc>
        <w:tc>
          <w:tcPr>
            <w:tcW w:w="2768" w:type="dxa"/>
          </w:tcPr>
          <w:p w14:paraId="165C0762"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0.833</w:t>
            </w:r>
          </w:p>
        </w:tc>
        <w:tc>
          <w:tcPr>
            <w:tcW w:w="2482" w:type="dxa"/>
            <w:vAlign w:val="bottom"/>
          </w:tcPr>
          <w:p w14:paraId="6393EB9A"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0.319</w:t>
            </w:r>
          </w:p>
        </w:tc>
      </w:tr>
      <w:tr w:rsidR="00D21393" w:rsidRPr="003C6DBD" w14:paraId="408F6D9C" w14:textId="77777777" w:rsidTr="003117FC">
        <w:trPr>
          <w:trHeight w:val="311"/>
        </w:trPr>
        <w:tc>
          <w:tcPr>
            <w:tcW w:w="4110" w:type="dxa"/>
          </w:tcPr>
          <w:p w14:paraId="09979830"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Altman Z</w:t>
            </w:r>
          </w:p>
        </w:tc>
        <w:tc>
          <w:tcPr>
            <w:tcW w:w="2768" w:type="dxa"/>
          </w:tcPr>
          <w:p w14:paraId="17B62B4D"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0.000***</w:t>
            </w:r>
          </w:p>
        </w:tc>
        <w:tc>
          <w:tcPr>
            <w:tcW w:w="2482" w:type="dxa"/>
            <w:vAlign w:val="bottom"/>
          </w:tcPr>
          <w:p w14:paraId="42A7F5D9"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3.35</w:t>
            </w:r>
          </w:p>
        </w:tc>
      </w:tr>
      <w:tr w:rsidR="00D21393" w:rsidRPr="003C6DBD" w14:paraId="413C18C1" w14:textId="77777777" w:rsidTr="003117FC">
        <w:trPr>
          <w:trHeight w:val="311"/>
        </w:trPr>
        <w:tc>
          <w:tcPr>
            <w:tcW w:w="4110" w:type="dxa"/>
          </w:tcPr>
          <w:p w14:paraId="596CC31A"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CFO to CAPEX</w:t>
            </w:r>
          </w:p>
        </w:tc>
        <w:tc>
          <w:tcPr>
            <w:tcW w:w="2768" w:type="dxa"/>
          </w:tcPr>
          <w:p w14:paraId="3C859696"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0.000***</w:t>
            </w:r>
          </w:p>
        </w:tc>
        <w:tc>
          <w:tcPr>
            <w:tcW w:w="2482" w:type="dxa"/>
            <w:vAlign w:val="bottom"/>
          </w:tcPr>
          <w:p w14:paraId="6BEEBFAC"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3.595</w:t>
            </w:r>
          </w:p>
        </w:tc>
      </w:tr>
      <w:tr w:rsidR="00D21393" w:rsidRPr="003C6DBD" w14:paraId="4E865632" w14:textId="77777777" w:rsidTr="003117FC">
        <w:trPr>
          <w:trHeight w:val="300"/>
        </w:trPr>
        <w:tc>
          <w:tcPr>
            <w:tcW w:w="4110" w:type="dxa"/>
          </w:tcPr>
          <w:p w14:paraId="398E73EA"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CAPEX to D&amp;A</w:t>
            </w:r>
          </w:p>
        </w:tc>
        <w:tc>
          <w:tcPr>
            <w:tcW w:w="2768" w:type="dxa"/>
          </w:tcPr>
          <w:p w14:paraId="29019CA5"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0.012**</w:t>
            </w:r>
          </w:p>
        </w:tc>
        <w:tc>
          <w:tcPr>
            <w:tcW w:w="2482" w:type="dxa"/>
            <w:vAlign w:val="bottom"/>
          </w:tcPr>
          <w:p w14:paraId="3DE3281B"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-0.35</w:t>
            </w:r>
          </w:p>
        </w:tc>
      </w:tr>
    </w:tbl>
    <w:p w14:paraId="3761F05B" w14:textId="77777777" w:rsidR="00C77855" w:rsidRDefault="00C77855" w:rsidP="00C3000E">
      <w:pPr>
        <w:autoSpaceDE w:val="0"/>
        <w:autoSpaceDN w:val="0"/>
        <w:adjustRightInd w:val="0"/>
        <w:spacing w:after="0" w:line="480" w:lineRule="auto"/>
        <w:rPr>
          <w:rFonts w:ascii="Times New Roman" w:hAnsi="Times New Roman" w:cs="Times New Roman"/>
          <w:color w:val="0D0D0D" w:themeColor="text1" w:themeTint="F2"/>
          <w:sz w:val="24"/>
          <w:szCs w:val="24"/>
        </w:rPr>
      </w:pPr>
    </w:p>
    <w:p w14:paraId="3BE729C1" w14:textId="77777777" w:rsidR="00C77855" w:rsidRDefault="00C77855" w:rsidP="00C3000E">
      <w:pPr>
        <w:autoSpaceDE w:val="0"/>
        <w:autoSpaceDN w:val="0"/>
        <w:adjustRightInd w:val="0"/>
        <w:spacing w:after="0" w:line="480" w:lineRule="auto"/>
        <w:rPr>
          <w:rFonts w:ascii="Times New Roman" w:hAnsi="Times New Roman" w:cs="Times New Roman"/>
          <w:color w:val="0D0D0D" w:themeColor="text1" w:themeTint="F2"/>
          <w:sz w:val="24"/>
          <w:szCs w:val="24"/>
        </w:rPr>
      </w:pPr>
    </w:p>
    <w:p w14:paraId="73ED54FE" w14:textId="77777777" w:rsidR="00C77855" w:rsidRDefault="00C77855" w:rsidP="00C3000E">
      <w:pPr>
        <w:autoSpaceDE w:val="0"/>
        <w:autoSpaceDN w:val="0"/>
        <w:adjustRightInd w:val="0"/>
        <w:spacing w:after="0" w:line="480" w:lineRule="auto"/>
        <w:rPr>
          <w:rFonts w:ascii="Times New Roman" w:hAnsi="Times New Roman" w:cs="Times New Roman"/>
          <w:color w:val="0D0D0D" w:themeColor="text1" w:themeTint="F2"/>
          <w:sz w:val="24"/>
          <w:szCs w:val="24"/>
        </w:rPr>
      </w:pPr>
    </w:p>
    <w:p w14:paraId="7883C835" w14:textId="77777777" w:rsidR="00C77855" w:rsidRDefault="00C77855" w:rsidP="00C3000E">
      <w:pPr>
        <w:autoSpaceDE w:val="0"/>
        <w:autoSpaceDN w:val="0"/>
        <w:adjustRightInd w:val="0"/>
        <w:spacing w:after="0" w:line="480" w:lineRule="auto"/>
        <w:rPr>
          <w:rFonts w:ascii="Times New Roman" w:hAnsi="Times New Roman" w:cs="Times New Roman"/>
          <w:color w:val="0D0D0D" w:themeColor="text1" w:themeTint="F2"/>
          <w:sz w:val="24"/>
          <w:szCs w:val="24"/>
        </w:rPr>
      </w:pPr>
    </w:p>
    <w:p w14:paraId="2C9D91E9" w14:textId="77777777" w:rsidR="00C77855" w:rsidRDefault="00C77855" w:rsidP="00C3000E">
      <w:pPr>
        <w:autoSpaceDE w:val="0"/>
        <w:autoSpaceDN w:val="0"/>
        <w:adjustRightInd w:val="0"/>
        <w:spacing w:after="0" w:line="480" w:lineRule="auto"/>
        <w:rPr>
          <w:rFonts w:ascii="Times New Roman" w:hAnsi="Times New Roman" w:cs="Times New Roman"/>
          <w:color w:val="0D0D0D" w:themeColor="text1" w:themeTint="F2"/>
          <w:sz w:val="24"/>
          <w:szCs w:val="24"/>
        </w:rPr>
      </w:pPr>
    </w:p>
    <w:p w14:paraId="1D1BF64F" w14:textId="77777777" w:rsidR="00C77855" w:rsidRDefault="00C77855" w:rsidP="00C3000E">
      <w:pPr>
        <w:autoSpaceDE w:val="0"/>
        <w:autoSpaceDN w:val="0"/>
        <w:adjustRightInd w:val="0"/>
        <w:spacing w:after="0" w:line="480" w:lineRule="auto"/>
        <w:rPr>
          <w:rFonts w:ascii="Times New Roman" w:hAnsi="Times New Roman" w:cs="Times New Roman"/>
          <w:color w:val="0D0D0D" w:themeColor="text1" w:themeTint="F2"/>
          <w:sz w:val="24"/>
          <w:szCs w:val="24"/>
        </w:rPr>
      </w:pPr>
    </w:p>
    <w:p w14:paraId="21D50EF8" w14:textId="77777777" w:rsidR="00C77855" w:rsidRDefault="00C77855" w:rsidP="00C3000E">
      <w:pPr>
        <w:autoSpaceDE w:val="0"/>
        <w:autoSpaceDN w:val="0"/>
        <w:adjustRightInd w:val="0"/>
        <w:spacing w:after="0" w:line="480" w:lineRule="auto"/>
        <w:rPr>
          <w:rFonts w:ascii="Times New Roman" w:hAnsi="Times New Roman" w:cs="Times New Roman"/>
          <w:color w:val="0D0D0D" w:themeColor="text1" w:themeTint="F2"/>
          <w:sz w:val="24"/>
          <w:szCs w:val="24"/>
        </w:rPr>
      </w:pPr>
    </w:p>
    <w:p w14:paraId="335DDAAC" w14:textId="77777777" w:rsidR="00C77855" w:rsidRDefault="00C77855" w:rsidP="00C3000E">
      <w:pPr>
        <w:autoSpaceDE w:val="0"/>
        <w:autoSpaceDN w:val="0"/>
        <w:adjustRightInd w:val="0"/>
        <w:spacing w:after="0" w:line="480" w:lineRule="auto"/>
        <w:rPr>
          <w:rFonts w:ascii="Times New Roman" w:hAnsi="Times New Roman" w:cs="Times New Roman"/>
          <w:color w:val="0D0D0D" w:themeColor="text1" w:themeTint="F2"/>
          <w:sz w:val="24"/>
          <w:szCs w:val="24"/>
        </w:rPr>
      </w:pPr>
    </w:p>
    <w:p w14:paraId="12A59375" w14:textId="05AC058E" w:rsidR="00C3000E" w:rsidRPr="003C6DBD" w:rsidRDefault="00E87EE0" w:rsidP="00C3000E">
      <w:pPr>
        <w:autoSpaceDE w:val="0"/>
        <w:autoSpaceDN w:val="0"/>
        <w:adjustRightInd w:val="0"/>
        <w:spacing w:after="0"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 xml:space="preserve">Note: </w:t>
      </w:r>
      <w:r w:rsidR="00C3000E" w:rsidRPr="003C6DBD">
        <w:rPr>
          <w:rFonts w:ascii="Times New Roman" w:hAnsi="Times New Roman" w:cs="Times New Roman"/>
          <w:color w:val="0D0D0D" w:themeColor="text1" w:themeTint="F2"/>
          <w:sz w:val="24"/>
          <w:szCs w:val="24"/>
        </w:rPr>
        <w:t xml:space="preserve">PB is the portfolio of companies in primary biofuel category and SB is the portfolio of companies in others category. *** represents 1% level of significance, ** represents 5% level of significance, and * represents 10% level of significance.  </w:t>
      </w:r>
    </w:p>
    <w:p w14:paraId="7516BA6E" w14:textId="77777777" w:rsidR="00C3000E" w:rsidRPr="003C6DBD" w:rsidRDefault="00C3000E" w:rsidP="00C3000E">
      <w:pPr>
        <w:autoSpaceDE w:val="0"/>
        <w:autoSpaceDN w:val="0"/>
        <w:adjustRightInd w:val="0"/>
        <w:spacing w:after="0" w:line="480" w:lineRule="auto"/>
        <w:rPr>
          <w:rFonts w:ascii="Times New Roman" w:hAnsi="Times New Roman" w:cs="Times New Roman"/>
          <w:color w:val="0D0D0D" w:themeColor="text1" w:themeTint="F2"/>
          <w:sz w:val="24"/>
          <w:szCs w:val="24"/>
        </w:rPr>
      </w:pPr>
    </w:p>
    <w:p w14:paraId="03FB0061" w14:textId="77777777" w:rsidR="00C3000E" w:rsidRPr="003C6DBD" w:rsidRDefault="00C3000E" w:rsidP="00C3000E">
      <w:pPr>
        <w:spacing w:line="480" w:lineRule="auto"/>
        <w:rPr>
          <w:rFonts w:ascii="Times New Roman" w:hAnsi="Times New Roman" w:cs="Times New Roman"/>
          <w:color w:val="0D0D0D" w:themeColor="text1" w:themeTint="F2"/>
          <w:sz w:val="24"/>
          <w:szCs w:val="24"/>
        </w:rPr>
        <w:sectPr w:rsidR="00C3000E" w:rsidRPr="003C6DBD" w:rsidSect="00471D3B">
          <w:pgSz w:w="12240" w:h="15840"/>
          <w:pgMar w:top="1440" w:right="1440" w:bottom="1440" w:left="1440" w:header="720" w:footer="720" w:gutter="0"/>
          <w:cols w:space="720"/>
          <w:docGrid w:linePitch="360"/>
        </w:sectPr>
      </w:pPr>
    </w:p>
    <w:p w14:paraId="4F4A4ACD" w14:textId="77777777" w:rsidR="00C3000E" w:rsidRPr="003C6DBD" w:rsidRDefault="00C3000E" w:rsidP="00C3000E">
      <w:pPr>
        <w:tabs>
          <w:tab w:val="left" w:pos="870"/>
        </w:tabs>
        <w:rPr>
          <w:rFonts w:ascii="Times New Roman" w:hAnsi="Times New Roman" w:cs="Times New Roman"/>
          <w:color w:val="0D0D0D" w:themeColor="text1" w:themeTint="F2"/>
          <w:sz w:val="24"/>
          <w:szCs w:val="24"/>
        </w:rPr>
      </w:pPr>
    </w:p>
    <w:p w14:paraId="702471D6" w14:textId="77777777" w:rsidR="00C3000E" w:rsidRPr="003C6DBD" w:rsidRDefault="00C3000E" w:rsidP="00C3000E">
      <w:pPr>
        <w:pStyle w:val="Caption"/>
        <w:keepNext/>
        <w:rPr>
          <w:rFonts w:ascii="Times New Roman" w:hAnsi="Times New Roman" w:cs="Times New Roman"/>
          <w:color w:val="0D0D0D" w:themeColor="text1" w:themeTint="F2"/>
          <w:sz w:val="24"/>
          <w:szCs w:val="24"/>
        </w:rPr>
      </w:pPr>
    </w:p>
    <w:p w14:paraId="41301701" w14:textId="38B01C29" w:rsidR="00C3000E" w:rsidRPr="003C6DBD" w:rsidRDefault="00C3000E" w:rsidP="00C3000E">
      <w:pPr>
        <w:pStyle w:val="Caption"/>
        <w:keepNext/>
        <w:rPr>
          <w:rFonts w:ascii="Times New Roman" w:hAnsi="Times New Roman" w:cs="Times New Roman"/>
          <w:color w:val="0D0D0D" w:themeColor="text1" w:themeTint="F2"/>
          <w:sz w:val="24"/>
          <w:szCs w:val="24"/>
        </w:rPr>
      </w:pPr>
      <w:bookmarkStart w:id="94" w:name="_Toc132671832"/>
      <w:r w:rsidRPr="003C6DBD">
        <w:rPr>
          <w:rFonts w:ascii="Times New Roman" w:hAnsi="Times New Roman" w:cs="Times New Roman"/>
          <w:color w:val="0D0D0D" w:themeColor="text1" w:themeTint="F2"/>
          <w:sz w:val="24"/>
          <w:szCs w:val="24"/>
        </w:rPr>
        <w:t xml:space="preserve">Table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Table \* ARABIC </w:instrText>
      </w:r>
      <w:r w:rsidRPr="003C6DBD">
        <w:rPr>
          <w:rFonts w:ascii="Times New Roman" w:hAnsi="Times New Roman" w:cs="Times New Roman"/>
          <w:color w:val="0D0D0D" w:themeColor="text1" w:themeTint="F2"/>
          <w:sz w:val="24"/>
          <w:szCs w:val="24"/>
        </w:rPr>
        <w:fldChar w:fldCharType="separate"/>
      </w:r>
      <w:r w:rsidR="00154E66" w:rsidRPr="003C6DBD">
        <w:rPr>
          <w:rFonts w:ascii="Times New Roman" w:hAnsi="Times New Roman" w:cs="Times New Roman"/>
          <w:noProof/>
          <w:color w:val="0D0D0D" w:themeColor="text1" w:themeTint="F2"/>
          <w:sz w:val="24"/>
          <w:szCs w:val="24"/>
        </w:rPr>
        <w:t>18</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Correlation analysis of profitability and risk estimates of sample biofuel companies from 2018 to 2021.</w:t>
      </w:r>
      <w:bookmarkEnd w:id="94"/>
    </w:p>
    <w:tbl>
      <w:tblPr>
        <w:tblW w:w="11160" w:type="dxa"/>
        <w:tblBorders>
          <w:top w:val="single" w:sz="4" w:space="0" w:color="auto"/>
          <w:bottom w:val="single" w:sz="4" w:space="0" w:color="auto"/>
        </w:tblBorders>
        <w:tblLook w:val="04A0" w:firstRow="1" w:lastRow="0" w:firstColumn="1" w:lastColumn="0" w:noHBand="0" w:noVBand="1"/>
      </w:tblPr>
      <w:tblGrid>
        <w:gridCol w:w="2251"/>
        <w:gridCol w:w="1259"/>
        <w:gridCol w:w="1170"/>
        <w:gridCol w:w="1260"/>
        <w:gridCol w:w="2160"/>
        <w:gridCol w:w="1440"/>
        <w:gridCol w:w="1620"/>
      </w:tblGrid>
      <w:tr w:rsidR="00471D3B" w:rsidRPr="003C6DBD" w14:paraId="4DDE2D29" w14:textId="77777777" w:rsidTr="00471D3B">
        <w:trPr>
          <w:trHeight w:val="336"/>
        </w:trPr>
        <w:tc>
          <w:tcPr>
            <w:tcW w:w="2251" w:type="dxa"/>
            <w:tcBorders>
              <w:top w:val="single" w:sz="4" w:space="0" w:color="auto"/>
              <w:bottom w:val="single" w:sz="4" w:space="0" w:color="auto"/>
            </w:tcBorders>
            <w:shd w:val="clear" w:color="auto" w:fill="auto"/>
            <w:noWrap/>
            <w:vAlign w:val="center"/>
            <w:hideMark/>
          </w:tcPr>
          <w:p w14:paraId="6CEF495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w:t>
            </w:r>
          </w:p>
        </w:tc>
        <w:tc>
          <w:tcPr>
            <w:tcW w:w="1259" w:type="dxa"/>
            <w:tcBorders>
              <w:top w:val="single" w:sz="4" w:space="0" w:color="auto"/>
              <w:bottom w:val="single" w:sz="4" w:space="0" w:color="auto"/>
            </w:tcBorders>
            <w:shd w:val="clear" w:color="auto" w:fill="auto"/>
            <w:noWrap/>
            <w:vAlign w:val="center"/>
            <w:hideMark/>
          </w:tcPr>
          <w:p w14:paraId="32DE8A5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ROA</w:t>
            </w:r>
          </w:p>
        </w:tc>
        <w:tc>
          <w:tcPr>
            <w:tcW w:w="1170" w:type="dxa"/>
            <w:tcBorders>
              <w:top w:val="single" w:sz="4" w:space="0" w:color="auto"/>
              <w:bottom w:val="single" w:sz="4" w:space="0" w:color="auto"/>
            </w:tcBorders>
            <w:shd w:val="clear" w:color="auto" w:fill="auto"/>
            <w:noWrap/>
            <w:vAlign w:val="center"/>
            <w:hideMark/>
          </w:tcPr>
          <w:p w14:paraId="1E6E1AB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ROE</w:t>
            </w:r>
          </w:p>
        </w:tc>
        <w:tc>
          <w:tcPr>
            <w:tcW w:w="1260" w:type="dxa"/>
            <w:tcBorders>
              <w:top w:val="single" w:sz="4" w:space="0" w:color="auto"/>
              <w:bottom w:val="single" w:sz="4" w:space="0" w:color="auto"/>
            </w:tcBorders>
            <w:shd w:val="clear" w:color="auto" w:fill="auto"/>
            <w:noWrap/>
            <w:vAlign w:val="center"/>
            <w:hideMark/>
          </w:tcPr>
          <w:p w14:paraId="0104135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ROI</w:t>
            </w:r>
          </w:p>
        </w:tc>
        <w:tc>
          <w:tcPr>
            <w:tcW w:w="2160" w:type="dxa"/>
            <w:tcBorders>
              <w:top w:val="single" w:sz="4" w:space="0" w:color="auto"/>
              <w:bottom w:val="single" w:sz="4" w:space="0" w:color="auto"/>
            </w:tcBorders>
            <w:shd w:val="clear" w:color="auto" w:fill="auto"/>
            <w:noWrap/>
            <w:vAlign w:val="center"/>
            <w:hideMark/>
          </w:tcPr>
          <w:p w14:paraId="1467765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Total debt to equity</w:t>
            </w:r>
          </w:p>
        </w:tc>
        <w:tc>
          <w:tcPr>
            <w:tcW w:w="1440" w:type="dxa"/>
            <w:tcBorders>
              <w:top w:val="single" w:sz="4" w:space="0" w:color="auto"/>
              <w:bottom w:val="single" w:sz="4" w:space="0" w:color="auto"/>
            </w:tcBorders>
            <w:shd w:val="clear" w:color="auto" w:fill="auto"/>
            <w:noWrap/>
            <w:vAlign w:val="center"/>
            <w:hideMark/>
          </w:tcPr>
          <w:p w14:paraId="6033606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Political risk</w:t>
            </w:r>
          </w:p>
        </w:tc>
        <w:tc>
          <w:tcPr>
            <w:tcW w:w="1620" w:type="dxa"/>
            <w:tcBorders>
              <w:top w:val="single" w:sz="4" w:space="0" w:color="auto"/>
              <w:bottom w:val="single" w:sz="4" w:space="0" w:color="auto"/>
            </w:tcBorders>
            <w:shd w:val="clear" w:color="auto" w:fill="auto"/>
            <w:noWrap/>
            <w:vAlign w:val="center"/>
            <w:hideMark/>
          </w:tcPr>
          <w:p w14:paraId="2E06971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Economic risk</w:t>
            </w:r>
          </w:p>
        </w:tc>
      </w:tr>
      <w:tr w:rsidR="00471D3B" w:rsidRPr="003C6DBD" w14:paraId="528ADEC1" w14:textId="77777777" w:rsidTr="00471D3B">
        <w:trPr>
          <w:cantSplit/>
          <w:trHeight w:val="336"/>
        </w:trPr>
        <w:tc>
          <w:tcPr>
            <w:tcW w:w="2251" w:type="dxa"/>
            <w:tcBorders>
              <w:top w:val="single" w:sz="4" w:space="0" w:color="auto"/>
            </w:tcBorders>
            <w:shd w:val="clear" w:color="auto" w:fill="auto"/>
            <w:noWrap/>
            <w:vAlign w:val="center"/>
            <w:hideMark/>
          </w:tcPr>
          <w:p w14:paraId="5F774A6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ROA</w:t>
            </w:r>
          </w:p>
        </w:tc>
        <w:tc>
          <w:tcPr>
            <w:tcW w:w="1259" w:type="dxa"/>
            <w:tcBorders>
              <w:top w:val="single" w:sz="4" w:space="0" w:color="auto"/>
            </w:tcBorders>
            <w:shd w:val="clear" w:color="auto" w:fill="auto"/>
            <w:noWrap/>
            <w:vAlign w:val="bottom"/>
            <w:hideMark/>
          </w:tcPr>
          <w:p w14:paraId="7E6DEFF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1.000</w:t>
            </w:r>
          </w:p>
        </w:tc>
        <w:tc>
          <w:tcPr>
            <w:tcW w:w="1170" w:type="dxa"/>
            <w:tcBorders>
              <w:top w:val="single" w:sz="4" w:space="0" w:color="auto"/>
            </w:tcBorders>
            <w:shd w:val="clear" w:color="auto" w:fill="auto"/>
            <w:noWrap/>
            <w:vAlign w:val="bottom"/>
            <w:hideMark/>
          </w:tcPr>
          <w:p w14:paraId="5A9C9AF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260" w:type="dxa"/>
            <w:tcBorders>
              <w:top w:val="single" w:sz="4" w:space="0" w:color="auto"/>
            </w:tcBorders>
            <w:shd w:val="clear" w:color="auto" w:fill="auto"/>
            <w:noWrap/>
            <w:vAlign w:val="bottom"/>
            <w:hideMark/>
          </w:tcPr>
          <w:p w14:paraId="44F10E4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2160" w:type="dxa"/>
            <w:tcBorders>
              <w:top w:val="single" w:sz="4" w:space="0" w:color="auto"/>
            </w:tcBorders>
            <w:shd w:val="clear" w:color="auto" w:fill="auto"/>
            <w:noWrap/>
            <w:vAlign w:val="bottom"/>
            <w:hideMark/>
          </w:tcPr>
          <w:p w14:paraId="6EBCB35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440" w:type="dxa"/>
            <w:tcBorders>
              <w:top w:val="single" w:sz="4" w:space="0" w:color="auto"/>
            </w:tcBorders>
            <w:shd w:val="clear" w:color="auto" w:fill="auto"/>
            <w:noWrap/>
            <w:vAlign w:val="bottom"/>
            <w:hideMark/>
          </w:tcPr>
          <w:p w14:paraId="583A229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620" w:type="dxa"/>
            <w:tcBorders>
              <w:top w:val="single" w:sz="4" w:space="0" w:color="auto"/>
            </w:tcBorders>
            <w:shd w:val="clear" w:color="auto" w:fill="auto"/>
            <w:noWrap/>
            <w:vAlign w:val="bottom"/>
            <w:hideMark/>
          </w:tcPr>
          <w:p w14:paraId="494E0E64"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r>
      <w:tr w:rsidR="00471D3B" w:rsidRPr="003C6DBD" w14:paraId="55ABE5A8" w14:textId="77777777" w:rsidTr="00471D3B">
        <w:trPr>
          <w:cantSplit/>
          <w:trHeight w:val="336"/>
        </w:trPr>
        <w:tc>
          <w:tcPr>
            <w:tcW w:w="2251" w:type="dxa"/>
            <w:shd w:val="clear" w:color="auto" w:fill="auto"/>
            <w:noWrap/>
            <w:vAlign w:val="center"/>
            <w:hideMark/>
          </w:tcPr>
          <w:p w14:paraId="3490767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ROE</w:t>
            </w:r>
          </w:p>
        </w:tc>
        <w:tc>
          <w:tcPr>
            <w:tcW w:w="1259" w:type="dxa"/>
            <w:shd w:val="clear" w:color="auto" w:fill="auto"/>
            <w:noWrap/>
            <w:vAlign w:val="bottom"/>
            <w:hideMark/>
          </w:tcPr>
          <w:p w14:paraId="251CAF3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0.869***</w:t>
            </w:r>
          </w:p>
        </w:tc>
        <w:tc>
          <w:tcPr>
            <w:tcW w:w="1170" w:type="dxa"/>
            <w:shd w:val="clear" w:color="auto" w:fill="auto"/>
            <w:noWrap/>
            <w:vAlign w:val="bottom"/>
            <w:hideMark/>
          </w:tcPr>
          <w:p w14:paraId="587A5C2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1.000</w:t>
            </w:r>
          </w:p>
        </w:tc>
        <w:tc>
          <w:tcPr>
            <w:tcW w:w="1260" w:type="dxa"/>
            <w:shd w:val="clear" w:color="auto" w:fill="auto"/>
            <w:noWrap/>
            <w:vAlign w:val="bottom"/>
            <w:hideMark/>
          </w:tcPr>
          <w:p w14:paraId="692DD3C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2160" w:type="dxa"/>
            <w:shd w:val="clear" w:color="auto" w:fill="auto"/>
            <w:noWrap/>
            <w:vAlign w:val="bottom"/>
            <w:hideMark/>
          </w:tcPr>
          <w:p w14:paraId="1E21649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440" w:type="dxa"/>
            <w:shd w:val="clear" w:color="auto" w:fill="auto"/>
            <w:noWrap/>
            <w:vAlign w:val="bottom"/>
            <w:hideMark/>
          </w:tcPr>
          <w:p w14:paraId="021BACC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620" w:type="dxa"/>
            <w:shd w:val="clear" w:color="auto" w:fill="auto"/>
            <w:noWrap/>
            <w:vAlign w:val="bottom"/>
            <w:hideMark/>
          </w:tcPr>
          <w:p w14:paraId="7AC0E8B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r>
      <w:tr w:rsidR="00471D3B" w:rsidRPr="003C6DBD" w14:paraId="662AE765" w14:textId="77777777" w:rsidTr="00471D3B">
        <w:trPr>
          <w:cantSplit/>
          <w:trHeight w:val="336"/>
        </w:trPr>
        <w:tc>
          <w:tcPr>
            <w:tcW w:w="2251" w:type="dxa"/>
            <w:shd w:val="clear" w:color="auto" w:fill="auto"/>
            <w:noWrap/>
            <w:vAlign w:val="center"/>
            <w:hideMark/>
          </w:tcPr>
          <w:p w14:paraId="3E964BA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ROI</w:t>
            </w:r>
          </w:p>
        </w:tc>
        <w:tc>
          <w:tcPr>
            <w:tcW w:w="1259" w:type="dxa"/>
            <w:shd w:val="clear" w:color="auto" w:fill="auto"/>
            <w:noWrap/>
            <w:vAlign w:val="bottom"/>
            <w:hideMark/>
          </w:tcPr>
          <w:p w14:paraId="26E1158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0.976***</w:t>
            </w:r>
          </w:p>
        </w:tc>
        <w:tc>
          <w:tcPr>
            <w:tcW w:w="1170" w:type="dxa"/>
            <w:shd w:val="clear" w:color="auto" w:fill="auto"/>
            <w:noWrap/>
            <w:vAlign w:val="bottom"/>
            <w:hideMark/>
          </w:tcPr>
          <w:p w14:paraId="2404411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0.895***</w:t>
            </w:r>
          </w:p>
        </w:tc>
        <w:tc>
          <w:tcPr>
            <w:tcW w:w="1260" w:type="dxa"/>
            <w:shd w:val="clear" w:color="auto" w:fill="auto"/>
            <w:noWrap/>
            <w:vAlign w:val="bottom"/>
            <w:hideMark/>
          </w:tcPr>
          <w:p w14:paraId="5242407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1.000</w:t>
            </w:r>
          </w:p>
        </w:tc>
        <w:tc>
          <w:tcPr>
            <w:tcW w:w="2160" w:type="dxa"/>
            <w:shd w:val="clear" w:color="auto" w:fill="auto"/>
            <w:noWrap/>
            <w:vAlign w:val="bottom"/>
            <w:hideMark/>
          </w:tcPr>
          <w:p w14:paraId="52B0BE2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440" w:type="dxa"/>
            <w:shd w:val="clear" w:color="auto" w:fill="auto"/>
            <w:noWrap/>
            <w:vAlign w:val="bottom"/>
            <w:hideMark/>
          </w:tcPr>
          <w:p w14:paraId="617C71C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620" w:type="dxa"/>
            <w:shd w:val="clear" w:color="auto" w:fill="auto"/>
            <w:noWrap/>
            <w:vAlign w:val="bottom"/>
            <w:hideMark/>
          </w:tcPr>
          <w:p w14:paraId="7E24D5C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r>
      <w:tr w:rsidR="00471D3B" w:rsidRPr="003C6DBD" w14:paraId="11768FE3" w14:textId="77777777" w:rsidTr="00471D3B">
        <w:trPr>
          <w:cantSplit/>
          <w:trHeight w:val="336"/>
        </w:trPr>
        <w:tc>
          <w:tcPr>
            <w:tcW w:w="2251" w:type="dxa"/>
            <w:shd w:val="clear" w:color="auto" w:fill="auto"/>
            <w:noWrap/>
            <w:vAlign w:val="center"/>
            <w:hideMark/>
          </w:tcPr>
          <w:p w14:paraId="16FC0A4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Total debt to equity</w:t>
            </w:r>
          </w:p>
        </w:tc>
        <w:tc>
          <w:tcPr>
            <w:tcW w:w="1259" w:type="dxa"/>
            <w:shd w:val="clear" w:color="auto" w:fill="auto"/>
            <w:noWrap/>
            <w:vAlign w:val="bottom"/>
            <w:hideMark/>
          </w:tcPr>
          <w:p w14:paraId="5E23E21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-0.112</w:t>
            </w:r>
          </w:p>
        </w:tc>
        <w:tc>
          <w:tcPr>
            <w:tcW w:w="1170" w:type="dxa"/>
            <w:shd w:val="clear" w:color="auto" w:fill="auto"/>
            <w:noWrap/>
            <w:vAlign w:val="bottom"/>
            <w:hideMark/>
          </w:tcPr>
          <w:p w14:paraId="21A4ABE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-0.070</w:t>
            </w:r>
          </w:p>
        </w:tc>
        <w:tc>
          <w:tcPr>
            <w:tcW w:w="1260" w:type="dxa"/>
            <w:shd w:val="clear" w:color="auto" w:fill="auto"/>
            <w:noWrap/>
            <w:vAlign w:val="bottom"/>
            <w:hideMark/>
          </w:tcPr>
          <w:p w14:paraId="45645F5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-0.040</w:t>
            </w:r>
          </w:p>
        </w:tc>
        <w:tc>
          <w:tcPr>
            <w:tcW w:w="2160" w:type="dxa"/>
            <w:shd w:val="clear" w:color="auto" w:fill="auto"/>
            <w:noWrap/>
            <w:vAlign w:val="bottom"/>
            <w:hideMark/>
          </w:tcPr>
          <w:p w14:paraId="36AA67F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1.000</w:t>
            </w:r>
          </w:p>
        </w:tc>
        <w:tc>
          <w:tcPr>
            <w:tcW w:w="1440" w:type="dxa"/>
            <w:shd w:val="clear" w:color="auto" w:fill="auto"/>
            <w:noWrap/>
            <w:vAlign w:val="bottom"/>
            <w:hideMark/>
          </w:tcPr>
          <w:p w14:paraId="4262728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620" w:type="dxa"/>
            <w:shd w:val="clear" w:color="auto" w:fill="auto"/>
            <w:noWrap/>
            <w:vAlign w:val="bottom"/>
            <w:hideMark/>
          </w:tcPr>
          <w:p w14:paraId="55CF6C3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r>
      <w:tr w:rsidR="00471D3B" w:rsidRPr="003C6DBD" w14:paraId="4DE2523F" w14:textId="77777777" w:rsidTr="00471D3B">
        <w:trPr>
          <w:trHeight w:val="336"/>
        </w:trPr>
        <w:tc>
          <w:tcPr>
            <w:tcW w:w="2251" w:type="dxa"/>
            <w:shd w:val="clear" w:color="auto" w:fill="auto"/>
            <w:noWrap/>
            <w:vAlign w:val="center"/>
            <w:hideMark/>
          </w:tcPr>
          <w:p w14:paraId="0C7AA32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Political risk</w:t>
            </w:r>
          </w:p>
        </w:tc>
        <w:tc>
          <w:tcPr>
            <w:tcW w:w="1259" w:type="dxa"/>
            <w:shd w:val="clear" w:color="auto" w:fill="auto"/>
            <w:noWrap/>
            <w:vAlign w:val="bottom"/>
            <w:hideMark/>
          </w:tcPr>
          <w:p w14:paraId="57D1BEA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0.124</w:t>
            </w:r>
          </w:p>
        </w:tc>
        <w:tc>
          <w:tcPr>
            <w:tcW w:w="1170" w:type="dxa"/>
            <w:shd w:val="clear" w:color="auto" w:fill="auto"/>
            <w:noWrap/>
            <w:vAlign w:val="bottom"/>
            <w:hideMark/>
          </w:tcPr>
          <w:p w14:paraId="248CAC7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0.105</w:t>
            </w:r>
          </w:p>
        </w:tc>
        <w:tc>
          <w:tcPr>
            <w:tcW w:w="1260" w:type="dxa"/>
            <w:shd w:val="clear" w:color="auto" w:fill="auto"/>
            <w:noWrap/>
            <w:vAlign w:val="bottom"/>
            <w:hideMark/>
          </w:tcPr>
          <w:p w14:paraId="43C1453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0.161**</w:t>
            </w:r>
          </w:p>
        </w:tc>
        <w:tc>
          <w:tcPr>
            <w:tcW w:w="2160" w:type="dxa"/>
            <w:shd w:val="clear" w:color="auto" w:fill="auto"/>
            <w:noWrap/>
            <w:vAlign w:val="bottom"/>
            <w:hideMark/>
          </w:tcPr>
          <w:p w14:paraId="68895613"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0.032</w:t>
            </w:r>
          </w:p>
        </w:tc>
        <w:tc>
          <w:tcPr>
            <w:tcW w:w="1440" w:type="dxa"/>
            <w:shd w:val="clear" w:color="auto" w:fill="auto"/>
            <w:noWrap/>
            <w:vAlign w:val="bottom"/>
            <w:hideMark/>
          </w:tcPr>
          <w:p w14:paraId="77B803D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1.000</w:t>
            </w:r>
          </w:p>
        </w:tc>
        <w:tc>
          <w:tcPr>
            <w:tcW w:w="1620" w:type="dxa"/>
            <w:shd w:val="clear" w:color="auto" w:fill="auto"/>
            <w:noWrap/>
            <w:vAlign w:val="bottom"/>
            <w:hideMark/>
          </w:tcPr>
          <w:p w14:paraId="697879B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r>
      <w:tr w:rsidR="00471D3B" w:rsidRPr="003C6DBD" w14:paraId="2E989DEE" w14:textId="77777777" w:rsidTr="00471D3B">
        <w:trPr>
          <w:cantSplit/>
          <w:trHeight w:val="336"/>
        </w:trPr>
        <w:tc>
          <w:tcPr>
            <w:tcW w:w="2251" w:type="dxa"/>
            <w:shd w:val="clear" w:color="auto" w:fill="auto"/>
            <w:noWrap/>
            <w:vAlign w:val="center"/>
            <w:hideMark/>
          </w:tcPr>
          <w:p w14:paraId="7E7A22E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Economic risk</w:t>
            </w:r>
          </w:p>
        </w:tc>
        <w:tc>
          <w:tcPr>
            <w:tcW w:w="1259" w:type="dxa"/>
            <w:shd w:val="clear" w:color="auto" w:fill="auto"/>
            <w:noWrap/>
            <w:vAlign w:val="bottom"/>
            <w:hideMark/>
          </w:tcPr>
          <w:p w14:paraId="2E993CC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-0.280***</w:t>
            </w:r>
          </w:p>
        </w:tc>
        <w:tc>
          <w:tcPr>
            <w:tcW w:w="1170" w:type="dxa"/>
            <w:shd w:val="clear" w:color="auto" w:fill="auto"/>
            <w:noWrap/>
            <w:vAlign w:val="bottom"/>
            <w:hideMark/>
          </w:tcPr>
          <w:p w14:paraId="47BE5253"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-0.190**</w:t>
            </w:r>
          </w:p>
        </w:tc>
        <w:tc>
          <w:tcPr>
            <w:tcW w:w="1260" w:type="dxa"/>
            <w:shd w:val="clear" w:color="auto" w:fill="auto"/>
            <w:noWrap/>
            <w:vAlign w:val="bottom"/>
            <w:hideMark/>
          </w:tcPr>
          <w:p w14:paraId="6B69096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-0.295***</w:t>
            </w:r>
          </w:p>
        </w:tc>
        <w:tc>
          <w:tcPr>
            <w:tcW w:w="2160" w:type="dxa"/>
            <w:shd w:val="clear" w:color="auto" w:fill="auto"/>
            <w:noWrap/>
            <w:vAlign w:val="bottom"/>
            <w:hideMark/>
          </w:tcPr>
          <w:p w14:paraId="379B7B2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-0.115</w:t>
            </w:r>
          </w:p>
        </w:tc>
        <w:tc>
          <w:tcPr>
            <w:tcW w:w="1440" w:type="dxa"/>
            <w:shd w:val="clear" w:color="auto" w:fill="auto"/>
            <w:noWrap/>
            <w:vAlign w:val="bottom"/>
            <w:hideMark/>
          </w:tcPr>
          <w:p w14:paraId="62D172C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-0.177**</w:t>
            </w:r>
          </w:p>
        </w:tc>
        <w:tc>
          <w:tcPr>
            <w:tcW w:w="1620" w:type="dxa"/>
            <w:shd w:val="clear" w:color="auto" w:fill="auto"/>
            <w:noWrap/>
            <w:vAlign w:val="bottom"/>
            <w:hideMark/>
          </w:tcPr>
          <w:p w14:paraId="182DC2D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1.000</w:t>
            </w:r>
          </w:p>
        </w:tc>
      </w:tr>
      <w:tr w:rsidR="00471D3B" w:rsidRPr="003C6DBD" w14:paraId="3E4B46F8" w14:textId="77777777" w:rsidTr="00471D3B">
        <w:trPr>
          <w:cantSplit/>
          <w:trHeight w:val="336"/>
        </w:trPr>
        <w:tc>
          <w:tcPr>
            <w:tcW w:w="2251" w:type="dxa"/>
            <w:shd w:val="clear" w:color="auto" w:fill="auto"/>
            <w:noWrap/>
            <w:vAlign w:val="center"/>
            <w:hideMark/>
          </w:tcPr>
          <w:p w14:paraId="2FEF758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Social risk</w:t>
            </w:r>
          </w:p>
        </w:tc>
        <w:tc>
          <w:tcPr>
            <w:tcW w:w="1259" w:type="dxa"/>
            <w:shd w:val="clear" w:color="auto" w:fill="auto"/>
            <w:noWrap/>
            <w:vAlign w:val="bottom"/>
            <w:hideMark/>
          </w:tcPr>
          <w:p w14:paraId="107D5DA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0.116</w:t>
            </w:r>
          </w:p>
        </w:tc>
        <w:tc>
          <w:tcPr>
            <w:tcW w:w="1170" w:type="dxa"/>
            <w:shd w:val="clear" w:color="auto" w:fill="auto"/>
            <w:noWrap/>
            <w:vAlign w:val="bottom"/>
            <w:hideMark/>
          </w:tcPr>
          <w:p w14:paraId="347E37F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0.026</w:t>
            </w:r>
          </w:p>
        </w:tc>
        <w:tc>
          <w:tcPr>
            <w:tcW w:w="1260" w:type="dxa"/>
            <w:shd w:val="clear" w:color="auto" w:fill="auto"/>
            <w:noWrap/>
            <w:vAlign w:val="bottom"/>
            <w:hideMark/>
          </w:tcPr>
          <w:p w14:paraId="6936D5D3"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0.077</w:t>
            </w:r>
          </w:p>
        </w:tc>
        <w:tc>
          <w:tcPr>
            <w:tcW w:w="2160" w:type="dxa"/>
            <w:shd w:val="clear" w:color="auto" w:fill="auto"/>
            <w:noWrap/>
            <w:vAlign w:val="bottom"/>
            <w:hideMark/>
          </w:tcPr>
          <w:p w14:paraId="77B5F596"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-0.334***</w:t>
            </w:r>
          </w:p>
        </w:tc>
        <w:tc>
          <w:tcPr>
            <w:tcW w:w="1440" w:type="dxa"/>
            <w:shd w:val="clear" w:color="auto" w:fill="auto"/>
            <w:noWrap/>
            <w:vAlign w:val="bottom"/>
            <w:hideMark/>
          </w:tcPr>
          <w:p w14:paraId="1A9B77F3"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0.323***</w:t>
            </w:r>
          </w:p>
        </w:tc>
        <w:tc>
          <w:tcPr>
            <w:tcW w:w="1620" w:type="dxa"/>
            <w:shd w:val="clear" w:color="auto" w:fill="auto"/>
            <w:noWrap/>
            <w:vAlign w:val="bottom"/>
            <w:hideMark/>
          </w:tcPr>
          <w:p w14:paraId="595573E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-0.310***</w:t>
            </w:r>
          </w:p>
        </w:tc>
      </w:tr>
      <w:tr w:rsidR="00471D3B" w:rsidRPr="003C6DBD" w14:paraId="769DD10D" w14:textId="77777777" w:rsidTr="00471D3B">
        <w:trPr>
          <w:cantSplit/>
          <w:trHeight w:val="336"/>
        </w:trPr>
        <w:tc>
          <w:tcPr>
            <w:tcW w:w="2251" w:type="dxa"/>
            <w:shd w:val="clear" w:color="auto" w:fill="auto"/>
            <w:noWrap/>
            <w:vAlign w:val="center"/>
            <w:hideMark/>
          </w:tcPr>
          <w:p w14:paraId="68EE75D4"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Technological risk</w:t>
            </w:r>
          </w:p>
        </w:tc>
        <w:tc>
          <w:tcPr>
            <w:tcW w:w="1259" w:type="dxa"/>
            <w:shd w:val="clear" w:color="auto" w:fill="auto"/>
            <w:noWrap/>
            <w:vAlign w:val="bottom"/>
            <w:hideMark/>
          </w:tcPr>
          <w:p w14:paraId="1F2B28C6"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0.096</w:t>
            </w:r>
          </w:p>
        </w:tc>
        <w:tc>
          <w:tcPr>
            <w:tcW w:w="1170" w:type="dxa"/>
            <w:shd w:val="clear" w:color="auto" w:fill="auto"/>
            <w:noWrap/>
            <w:vAlign w:val="bottom"/>
            <w:hideMark/>
          </w:tcPr>
          <w:p w14:paraId="55C7F6D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0.022</w:t>
            </w:r>
          </w:p>
        </w:tc>
        <w:tc>
          <w:tcPr>
            <w:tcW w:w="1260" w:type="dxa"/>
            <w:shd w:val="clear" w:color="auto" w:fill="auto"/>
            <w:noWrap/>
            <w:vAlign w:val="bottom"/>
            <w:hideMark/>
          </w:tcPr>
          <w:p w14:paraId="735577C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0.026</w:t>
            </w:r>
          </w:p>
        </w:tc>
        <w:tc>
          <w:tcPr>
            <w:tcW w:w="2160" w:type="dxa"/>
            <w:shd w:val="clear" w:color="auto" w:fill="auto"/>
            <w:noWrap/>
            <w:vAlign w:val="bottom"/>
            <w:hideMark/>
          </w:tcPr>
          <w:p w14:paraId="30E23B0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-0.529***</w:t>
            </w:r>
          </w:p>
        </w:tc>
        <w:tc>
          <w:tcPr>
            <w:tcW w:w="1440" w:type="dxa"/>
            <w:shd w:val="clear" w:color="auto" w:fill="auto"/>
            <w:noWrap/>
            <w:vAlign w:val="bottom"/>
            <w:hideMark/>
          </w:tcPr>
          <w:p w14:paraId="71FE8A7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-0.261***</w:t>
            </w:r>
          </w:p>
        </w:tc>
        <w:tc>
          <w:tcPr>
            <w:tcW w:w="1620" w:type="dxa"/>
            <w:shd w:val="clear" w:color="auto" w:fill="auto"/>
            <w:noWrap/>
            <w:vAlign w:val="bottom"/>
            <w:hideMark/>
          </w:tcPr>
          <w:p w14:paraId="4D13407D"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0.014</w:t>
            </w:r>
          </w:p>
        </w:tc>
      </w:tr>
      <w:tr w:rsidR="00471D3B" w:rsidRPr="003C6DBD" w14:paraId="578FEB54" w14:textId="77777777" w:rsidTr="00471D3B">
        <w:trPr>
          <w:cantSplit/>
          <w:trHeight w:val="336"/>
        </w:trPr>
        <w:tc>
          <w:tcPr>
            <w:tcW w:w="2251" w:type="dxa"/>
            <w:shd w:val="clear" w:color="auto" w:fill="auto"/>
            <w:noWrap/>
            <w:vAlign w:val="center"/>
            <w:hideMark/>
          </w:tcPr>
          <w:p w14:paraId="1F69D12B"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Primary activities risk</w:t>
            </w:r>
          </w:p>
        </w:tc>
        <w:tc>
          <w:tcPr>
            <w:tcW w:w="1259" w:type="dxa"/>
            <w:shd w:val="clear" w:color="auto" w:fill="auto"/>
            <w:noWrap/>
            <w:vAlign w:val="bottom"/>
            <w:hideMark/>
          </w:tcPr>
          <w:p w14:paraId="398A1266"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0.080</w:t>
            </w:r>
          </w:p>
        </w:tc>
        <w:tc>
          <w:tcPr>
            <w:tcW w:w="1170" w:type="dxa"/>
            <w:shd w:val="clear" w:color="auto" w:fill="auto"/>
            <w:noWrap/>
            <w:vAlign w:val="bottom"/>
            <w:hideMark/>
          </w:tcPr>
          <w:p w14:paraId="00F09A3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0.096</w:t>
            </w:r>
          </w:p>
        </w:tc>
        <w:tc>
          <w:tcPr>
            <w:tcW w:w="1260" w:type="dxa"/>
            <w:shd w:val="clear" w:color="auto" w:fill="auto"/>
            <w:noWrap/>
            <w:vAlign w:val="bottom"/>
            <w:hideMark/>
          </w:tcPr>
          <w:p w14:paraId="2959DF1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0.079</w:t>
            </w:r>
          </w:p>
        </w:tc>
        <w:tc>
          <w:tcPr>
            <w:tcW w:w="2160" w:type="dxa"/>
            <w:shd w:val="clear" w:color="auto" w:fill="auto"/>
            <w:noWrap/>
            <w:vAlign w:val="bottom"/>
            <w:hideMark/>
          </w:tcPr>
          <w:p w14:paraId="77CF5EE6"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0.076</w:t>
            </w:r>
          </w:p>
        </w:tc>
        <w:tc>
          <w:tcPr>
            <w:tcW w:w="1440" w:type="dxa"/>
            <w:shd w:val="clear" w:color="auto" w:fill="auto"/>
            <w:noWrap/>
            <w:vAlign w:val="bottom"/>
            <w:hideMark/>
          </w:tcPr>
          <w:p w14:paraId="69788D1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-0.462***</w:t>
            </w:r>
          </w:p>
        </w:tc>
        <w:tc>
          <w:tcPr>
            <w:tcW w:w="1620" w:type="dxa"/>
            <w:shd w:val="clear" w:color="auto" w:fill="auto"/>
            <w:noWrap/>
            <w:vAlign w:val="bottom"/>
            <w:hideMark/>
          </w:tcPr>
          <w:p w14:paraId="50C95A0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-0.159**</w:t>
            </w:r>
          </w:p>
        </w:tc>
      </w:tr>
      <w:tr w:rsidR="00471D3B" w:rsidRPr="003C6DBD" w14:paraId="47FA6625" w14:textId="77777777" w:rsidTr="00471D3B">
        <w:trPr>
          <w:trHeight w:val="336"/>
        </w:trPr>
        <w:tc>
          <w:tcPr>
            <w:tcW w:w="2251" w:type="dxa"/>
            <w:shd w:val="clear" w:color="auto" w:fill="auto"/>
            <w:noWrap/>
            <w:vAlign w:val="center"/>
            <w:hideMark/>
          </w:tcPr>
          <w:p w14:paraId="4743CA1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Support activities risk</w:t>
            </w:r>
          </w:p>
        </w:tc>
        <w:tc>
          <w:tcPr>
            <w:tcW w:w="1259" w:type="dxa"/>
            <w:shd w:val="clear" w:color="auto" w:fill="auto"/>
            <w:noWrap/>
            <w:vAlign w:val="bottom"/>
            <w:hideMark/>
          </w:tcPr>
          <w:p w14:paraId="0EAD70C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0.069</w:t>
            </w:r>
          </w:p>
        </w:tc>
        <w:tc>
          <w:tcPr>
            <w:tcW w:w="1170" w:type="dxa"/>
            <w:shd w:val="clear" w:color="auto" w:fill="auto"/>
            <w:noWrap/>
            <w:vAlign w:val="bottom"/>
            <w:hideMark/>
          </w:tcPr>
          <w:p w14:paraId="2ECC95F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0.031</w:t>
            </w:r>
          </w:p>
        </w:tc>
        <w:tc>
          <w:tcPr>
            <w:tcW w:w="1260" w:type="dxa"/>
            <w:shd w:val="clear" w:color="auto" w:fill="auto"/>
            <w:noWrap/>
            <w:vAlign w:val="bottom"/>
            <w:hideMark/>
          </w:tcPr>
          <w:p w14:paraId="79A2722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0.093</w:t>
            </w:r>
          </w:p>
        </w:tc>
        <w:tc>
          <w:tcPr>
            <w:tcW w:w="2160" w:type="dxa"/>
            <w:shd w:val="clear" w:color="auto" w:fill="auto"/>
            <w:noWrap/>
            <w:vAlign w:val="bottom"/>
            <w:hideMark/>
          </w:tcPr>
          <w:p w14:paraId="6803512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0.330***</w:t>
            </w:r>
          </w:p>
        </w:tc>
        <w:tc>
          <w:tcPr>
            <w:tcW w:w="1440" w:type="dxa"/>
            <w:shd w:val="clear" w:color="auto" w:fill="auto"/>
            <w:noWrap/>
            <w:vAlign w:val="bottom"/>
            <w:hideMark/>
          </w:tcPr>
          <w:p w14:paraId="624D74D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-0.247***</w:t>
            </w:r>
          </w:p>
        </w:tc>
        <w:tc>
          <w:tcPr>
            <w:tcW w:w="1620" w:type="dxa"/>
            <w:shd w:val="clear" w:color="auto" w:fill="auto"/>
            <w:noWrap/>
            <w:vAlign w:val="bottom"/>
            <w:hideMark/>
          </w:tcPr>
          <w:p w14:paraId="50898D3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-0.714***</w:t>
            </w:r>
          </w:p>
        </w:tc>
      </w:tr>
      <w:tr w:rsidR="00471D3B" w:rsidRPr="003C6DBD" w14:paraId="7E2C5C6A" w14:textId="77777777" w:rsidTr="00471D3B">
        <w:trPr>
          <w:cantSplit/>
          <w:trHeight w:val="336"/>
        </w:trPr>
        <w:tc>
          <w:tcPr>
            <w:tcW w:w="2251" w:type="dxa"/>
            <w:shd w:val="clear" w:color="auto" w:fill="auto"/>
            <w:noWrap/>
            <w:vAlign w:val="center"/>
            <w:hideMark/>
          </w:tcPr>
          <w:p w14:paraId="6C2D6F0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Altman Z </w:t>
            </w:r>
          </w:p>
        </w:tc>
        <w:tc>
          <w:tcPr>
            <w:tcW w:w="1259" w:type="dxa"/>
            <w:shd w:val="clear" w:color="auto" w:fill="auto"/>
            <w:noWrap/>
            <w:vAlign w:val="bottom"/>
            <w:hideMark/>
          </w:tcPr>
          <w:p w14:paraId="26088A34"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0.082</w:t>
            </w:r>
          </w:p>
        </w:tc>
        <w:tc>
          <w:tcPr>
            <w:tcW w:w="1170" w:type="dxa"/>
            <w:shd w:val="clear" w:color="auto" w:fill="auto"/>
            <w:noWrap/>
            <w:vAlign w:val="bottom"/>
            <w:hideMark/>
          </w:tcPr>
          <w:p w14:paraId="30AAA4B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0.072</w:t>
            </w:r>
          </w:p>
        </w:tc>
        <w:tc>
          <w:tcPr>
            <w:tcW w:w="1260" w:type="dxa"/>
            <w:shd w:val="clear" w:color="auto" w:fill="auto"/>
            <w:noWrap/>
            <w:vAlign w:val="bottom"/>
            <w:hideMark/>
          </w:tcPr>
          <w:p w14:paraId="1D7DC05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0.022</w:t>
            </w:r>
          </w:p>
        </w:tc>
        <w:tc>
          <w:tcPr>
            <w:tcW w:w="2160" w:type="dxa"/>
            <w:shd w:val="clear" w:color="auto" w:fill="auto"/>
            <w:noWrap/>
            <w:vAlign w:val="bottom"/>
            <w:hideMark/>
          </w:tcPr>
          <w:p w14:paraId="7C47DA5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-0.688***</w:t>
            </w:r>
          </w:p>
        </w:tc>
        <w:tc>
          <w:tcPr>
            <w:tcW w:w="1440" w:type="dxa"/>
            <w:shd w:val="clear" w:color="auto" w:fill="auto"/>
            <w:noWrap/>
            <w:vAlign w:val="bottom"/>
            <w:hideMark/>
          </w:tcPr>
          <w:p w14:paraId="6B8FF93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0.114</w:t>
            </w:r>
          </w:p>
        </w:tc>
        <w:tc>
          <w:tcPr>
            <w:tcW w:w="1620" w:type="dxa"/>
            <w:shd w:val="clear" w:color="auto" w:fill="auto"/>
            <w:noWrap/>
            <w:vAlign w:val="bottom"/>
            <w:hideMark/>
          </w:tcPr>
          <w:p w14:paraId="0D57D8F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0.262***</w:t>
            </w:r>
          </w:p>
        </w:tc>
      </w:tr>
    </w:tbl>
    <w:p w14:paraId="06E24E0A" w14:textId="77777777" w:rsidR="00C3000E" w:rsidRPr="003C6DBD" w:rsidRDefault="00C3000E" w:rsidP="00C3000E">
      <w:pPr>
        <w:tabs>
          <w:tab w:val="left" w:pos="870"/>
        </w:tabs>
        <w:rPr>
          <w:rFonts w:ascii="Times New Roman" w:hAnsi="Times New Roman" w:cs="Times New Roman"/>
          <w:color w:val="0D0D0D" w:themeColor="text1" w:themeTint="F2"/>
          <w:sz w:val="24"/>
          <w:szCs w:val="24"/>
        </w:rPr>
      </w:pPr>
    </w:p>
    <w:p w14:paraId="32D88F1B" w14:textId="493254F0" w:rsidR="00C3000E" w:rsidRPr="003C6DBD" w:rsidRDefault="00C3000E" w:rsidP="00C3000E">
      <w:pPr>
        <w:pStyle w:val="Caption"/>
        <w:keepNext/>
        <w:rPr>
          <w:rFonts w:ascii="Times New Roman" w:hAnsi="Times New Roman" w:cs="Times New Roman"/>
          <w:color w:val="0D0D0D" w:themeColor="text1" w:themeTint="F2"/>
          <w:sz w:val="24"/>
          <w:szCs w:val="24"/>
        </w:rPr>
      </w:pPr>
      <w:bookmarkStart w:id="95" w:name="_Toc132671833"/>
      <w:r w:rsidRPr="003C6DBD">
        <w:rPr>
          <w:rFonts w:ascii="Times New Roman" w:hAnsi="Times New Roman" w:cs="Times New Roman"/>
          <w:color w:val="0D0D0D" w:themeColor="text1" w:themeTint="F2"/>
          <w:sz w:val="24"/>
          <w:szCs w:val="24"/>
        </w:rPr>
        <w:t xml:space="preserve">Table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Table \* ARABIC </w:instrText>
      </w:r>
      <w:r w:rsidRPr="003C6DBD">
        <w:rPr>
          <w:rFonts w:ascii="Times New Roman" w:hAnsi="Times New Roman" w:cs="Times New Roman"/>
          <w:color w:val="0D0D0D" w:themeColor="text1" w:themeTint="F2"/>
          <w:sz w:val="24"/>
          <w:szCs w:val="24"/>
        </w:rPr>
        <w:fldChar w:fldCharType="separate"/>
      </w:r>
      <w:r w:rsidR="00154E66" w:rsidRPr="003C6DBD">
        <w:rPr>
          <w:rFonts w:ascii="Times New Roman" w:hAnsi="Times New Roman" w:cs="Times New Roman"/>
          <w:noProof/>
          <w:color w:val="0D0D0D" w:themeColor="text1" w:themeTint="F2"/>
          <w:sz w:val="24"/>
          <w:szCs w:val="24"/>
        </w:rPr>
        <w:t>19</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xml:space="preserve">: It is continuation of Table </w:t>
      </w:r>
      <w:r w:rsidR="00216943" w:rsidRPr="003C6DBD">
        <w:rPr>
          <w:rFonts w:ascii="Times New Roman" w:hAnsi="Times New Roman" w:cs="Times New Roman"/>
          <w:color w:val="0D0D0D" w:themeColor="text1" w:themeTint="F2"/>
          <w:sz w:val="24"/>
          <w:szCs w:val="24"/>
        </w:rPr>
        <w:t>18</w:t>
      </w:r>
      <w:r w:rsidRPr="003C6DBD">
        <w:rPr>
          <w:rFonts w:ascii="Times New Roman" w:hAnsi="Times New Roman" w:cs="Times New Roman"/>
          <w:color w:val="0D0D0D" w:themeColor="text1" w:themeTint="F2"/>
          <w:sz w:val="24"/>
          <w:szCs w:val="24"/>
        </w:rPr>
        <w:t>.</w:t>
      </w:r>
      <w:bookmarkEnd w:id="95"/>
    </w:p>
    <w:tbl>
      <w:tblPr>
        <w:tblW w:w="12023" w:type="dxa"/>
        <w:tblBorders>
          <w:top w:val="single" w:sz="4" w:space="0" w:color="auto"/>
          <w:bottom w:val="single" w:sz="4" w:space="0" w:color="auto"/>
        </w:tblBorders>
        <w:tblLook w:val="04A0" w:firstRow="1" w:lastRow="0" w:firstColumn="1" w:lastColumn="0" w:noHBand="0" w:noVBand="1"/>
      </w:tblPr>
      <w:tblGrid>
        <w:gridCol w:w="2422"/>
        <w:gridCol w:w="1309"/>
        <w:gridCol w:w="2051"/>
        <w:gridCol w:w="2422"/>
        <w:gridCol w:w="2401"/>
        <w:gridCol w:w="1418"/>
      </w:tblGrid>
      <w:tr w:rsidR="00D21393" w:rsidRPr="003C6DBD" w14:paraId="56E91A8D" w14:textId="77777777" w:rsidTr="00471D3B">
        <w:trPr>
          <w:trHeight w:val="331"/>
        </w:trPr>
        <w:tc>
          <w:tcPr>
            <w:tcW w:w="2422" w:type="dxa"/>
            <w:tcBorders>
              <w:top w:val="single" w:sz="4" w:space="0" w:color="auto"/>
              <w:bottom w:val="single" w:sz="4" w:space="0" w:color="auto"/>
            </w:tcBorders>
            <w:shd w:val="clear" w:color="auto" w:fill="auto"/>
            <w:noWrap/>
            <w:vAlign w:val="bottom"/>
            <w:hideMark/>
          </w:tcPr>
          <w:p w14:paraId="38F6BE8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309" w:type="dxa"/>
            <w:tcBorders>
              <w:top w:val="single" w:sz="4" w:space="0" w:color="auto"/>
              <w:bottom w:val="single" w:sz="4" w:space="0" w:color="auto"/>
            </w:tcBorders>
            <w:shd w:val="clear" w:color="auto" w:fill="auto"/>
            <w:vAlign w:val="center"/>
            <w:hideMark/>
          </w:tcPr>
          <w:p w14:paraId="6CF6F71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Social risk</w:t>
            </w:r>
          </w:p>
        </w:tc>
        <w:tc>
          <w:tcPr>
            <w:tcW w:w="2051" w:type="dxa"/>
            <w:tcBorders>
              <w:top w:val="single" w:sz="4" w:space="0" w:color="auto"/>
              <w:bottom w:val="single" w:sz="4" w:space="0" w:color="auto"/>
            </w:tcBorders>
            <w:shd w:val="clear" w:color="auto" w:fill="auto"/>
            <w:noWrap/>
            <w:vAlign w:val="center"/>
            <w:hideMark/>
          </w:tcPr>
          <w:p w14:paraId="5972D95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Technological risk</w:t>
            </w:r>
          </w:p>
        </w:tc>
        <w:tc>
          <w:tcPr>
            <w:tcW w:w="2422" w:type="dxa"/>
            <w:tcBorders>
              <w:top w:val="single" w:sz="4" w:space="0" w:color="auto"/>
              <w:bottom w:val="single" w:sz="4" w:space="0" w:color="auto"/>
            </w:tcBorders>
            <w:shd w:val="clear" w:color="auto" w:fill="auto"/>
            <w:noWrap/>
            <w:vAlign w:val="center"/>
            <w:hideMark/>
          </w:tcPr>
          <w:p w14:paraId="2609D014"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Primary activities risk</w:t>
            </w:r>
          </w:p>
        </w:tc>
        <w:tc>
          <w:tcPr>
            <w:tcW w:w="2401" w:type="dxa"/>
            <w:tcBorders>
              <w:top w:val="single" w:sz="4" w:space="0" w:color="auto"/>
              <w:bottom w:val="single" w:sz="4" w:space="0" w:color="auto"/>
            </w:tcBorders>
            <w:shd w:val="clear" w:color="auto" w:fill="auto"/>
            <w:noWrap/>
            <w:vAlign w:val="center"/>
            <w:hideMark/>
          </w:tcPr>
          <w:p w14:paraId="61805C7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Support activities risk</w:t>
            </w:r>
          </w:p>
        </w:tc>
        <w:tc>
          <w:tcPr>
            <w:tcW w:w="1418" w:type="dxa"/>
            <w:tcBorders>
              <w:top w:val="single" w:sz="4" w:space="0" w:color="auto"/>
              <w:bottom w:val="single" w:sz="4" w:space="0" w:color="auto"/>
            </w:tcBorders>
            <w:shd w:val="clear" w:color="auto" w:fill="auto"/>
            <w:noWrap/>
            <w:vAlign w:val="center"/>
            <w:hideMark/>
          </w:tcPr>
          <w:p w14:paraId="1467385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Altman Z </w:t>
            </w:r>
          </w:p>
        </w:tc>
      </w:tr>
      <w:tr w:rsidR="00D21393" w:rsidRPr="003C6DBD" w14:paraId="3788B284" w14:textId="77777777" w:rsidTr="00471D3B">
        <w:trPr>
          <w:trHeight w:val="331"/>
        </w:trPr>
        <w:tc>
          <w:tcPr>
            <w:tcW w:w="2422" w:type="dxa"/>
            <w:shd w:val="clear" w:color="auto" w:fill="auto"/>
            <w:noWrap/>
            <w:vAlign w:val="center"/>
            <w:hideMark/>
          </w:tcPr>
          <w:p w14:paraId="47AC6ED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Social risk</w:t>
            </w:r>
          </w:p>
        </w:tc>
        <w:tc>
          <w:tcPr>
            <w:tcW w:w="1309" w:type="dxa"/>
            <w:shd w:val="clear" w:color="auto" w:fill="auto"/>
            <w:vAlign w:val="bottom"/>
            <w:hideMark/>
          </w:tcPr>
          <w:p w14:paraId="3D25CD6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1.000</w:t>
            </w:r>
          </w:p>
        </w:tc>
        <w:tc>
          <w:tcPr>
            <w:tcW w:w="2051" w:type="dxa"/>
            <w:shd w:val="clear" w:color="auto" w:fill="auto"/>
            <w:noWrap/>
            <w:vAlign w:val="bottom"/>
            <w:hideMark/>
          </w:tcPr>
          <w:p w14:paraId="6E44EBC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2422" w:type="dxa"/>
            <w:shd w:val="clear" w:color="auto" w:fill="auto"/>
            <w:noWrap/>
            <w:vAlign w:val="bottom"/>
            <w:hideMark/>
          </w:tcPr>
          <w:p w14:paraId="651761C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2401" w:type="dxa"/>
            <w:shd w:val="clear" w:color="auto" w:fill="auto"/>
            <w:noWrap/>
            <w:vAlign w:val="bottom"/>
            <w:hideMark/>
          </w:tcPr>
          <w:p w14:paraId="4D0EF99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418" w:type="dxa"/>
            <w:shd w:val="clear" w:color="auto" w:fill="auto"/>
            <w:noWrap/>
            <w:vAlign w:val="bottom"/>
            <w:hideMark/>
          </w:tcPr>
          <w:p w14:paraId="528AF29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r>
      <w:tr w:rsidR="00D21393" w:rsidRPr="003C6DBD" w14:paraId="57F27CC2" w14:textId="77777777" w:rsidTr="00471D3B">
        <w:trPr>
          <w:trHeight w:val="331"/>
        </w:trPr>
        <w:tc>
          <w:tcPr>
            <w:tcW w:w="2422" w:type="dxa"/>
            <w:shd w:val="clear" w:color="auto" w:fill="auto"/>
            <w:noWrap/>
            <w:vAlign w:val="center"/>
            <w:hideMark/>
          </w:tcPr>
          <w:p w14:paraId="123545E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Technological risk</w:t>
            </w:r>
          </w:p>
        </w:tc>
        <w:tc>
          <w:tcPr>
            <w:tcW w:w="1309" w:type="dxa"/>
            <w:shd w:val="clear" w:color="auto" w:fill="auto"/>
            <w:vAlign w:val="bottom"/>
            <w:hideMark/>
          </w:tcPr>
          <w:p w14:paraId="20C666A3"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-0.193**</w:t>
            </w:r>
          </w:p>
        </w:tc>
        <w:tc>
          <w:tcPr>
            <w:tcW w:w="2051" w:type="dxa"/>
            <w:shd w:val="clear" w:color="auto" w:fill="auto"/>
            <w:noWrap/>
            <w:vAlign w:val="bottom"/>
            <w:hideMark/>
          </w:tcPr>
          <w:p w14:paraId="765C40E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1.000</w:t>
            </w:r>
          </w:p>
        </w:tc>
        <w:tc>
          <w:tcPr>
            <w:tcW w:w="2422" w:type="dxa"/>
            <w:shd w:val="clear" w:color="auto" w:fill="auto"/>
            <w:noWrap/>
            <w:vAlign w:val="bottom"/>
            <w:hideMark/>
          </w:tcPr>
          <w:p w14:paraId="4C328E8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2401" w:type="dxa"/>
            <w:shd w:val="clear" w:color="auto" w:fill="auto"/>
            <w:noWrap/>
            <w:vAlign w:val="bottom"/>
            <w:hideMark/>
          </w:tcPr>
          <w:p w14:paraId="4A93665A"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418" w:type="dxa"/>
            <w:shd w:val="clear" w:color="auto" w:fill="auto"/>
            <w:noWrap/>
            <w:vAlign w:val="bottom"/>
            <w:hideMark/>
          </w:tcPr>
          <w:p w14:paraId="13CA6E34"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r>
      <w:tr w:rsidR="00D21393" w:rsidRPr="003C6DBD" w14:paraId="769E2251" w14:textId="77777777" w:rsidTr="00471D3B">
        <w:trPr>
          <w:trHeight w:val="331"/>
        </w:trPr>
        <w:tc>
          <w:tcPr>
            <w:tcW w:w="2422" w:type="dxa"/>
            <w:shd w:val="clear" w:color="auto" w:fill="auto"/>
            <w:noWrap/>
            <w:vAlign w:val="center"/>
            <w:hideMark/>
          </w:tcPr>
          <w:p w14:paraId="0CA8FD5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Primary activities risk</w:t>
            </w:r>
          </w:p>
        </w:tc>
        <w:tc>
          <w:tcPr>
            <w:tcW w:w="1309" w:type="dxa"/>
            <w:shd w:val="clear" w:color="auto" w:fill="auto"/>
            <w:vAlign w:val="bottom"/>
            <w:hideMark/>
          </w:tcPr>
          <w:p w14:paraId="4A0BA46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-0.294***</w:t>
            </w:r>
          </w:p>
        </w:tc>
        <w:tc>
          <w:tcPr>
            <w:tcW w:w="2051" w:type="dxa"/>
            <w:shd w:val="clear" w:color="auto" w:fill="auto"/>
            <w:noWrap/>
            <w:vAlign w:val="bottom"/>
            <w:hideMark/>
          </w:tcPr>
          <w:p w14:paraId="3BB00826"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-0.036</w:t>
            </w:r>
          </w:p>
        </w:tc>
        <w:tc>
          <w:tcPr>
            <w:tcW w:w="2422" w:type="dxa"/>
            <w:shd w:val="clear" w:color="auto" w:fill="auto"/>
            <w:noWrap/>
            <w:vAlign w:val="bottom"/>
            <w:hideMark/>
          </w:tcPr>
          <w:p w14:paraId="6B355AC4"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1.000</w:t>
            </w:r>
          </w:p>
        </w:tc>
        <w:tc>
          <w:tcPr>
            <w:tcW w:w="2401" w:type="dxa"/>
            <w:shd w:val="clear" w:color="auto" w:fill="auto"/>
            <w:noWrap/>
            <w:vAlign w:val="bottom"/>
            <w:hideMark/>
          </w:tcPr>
          <w:p w14:paraId="78E7FD8C"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c>
          <w:tcPr>
            <w:tcW w:w="1418" w:type="dxa"/>
            <w:shd w:val="clear" w:color="auto" w:fill="auto"/>
            <w:noWrap/>
            <w:vAlign w:val="bottom"/>
            <w:hideMark/>
          </w:tcPr>
          <w:p w14:paraId="76F6D6D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r>
      <w:tr w:rsidR="00D21393" w:rsidRPr="003C6DBD" w14:paraId="22057EC2" w14:textId="77777777" w:rsidTr="00471D3B">
        <w:trPr>
          <w:trHeight w:val="331"/>
        </w:trPr>
        <w:tc>
          <w:tcPr>
            <w:tcW w:w="2422" w:type="dxa"/>
            <w:shd w:val="clear" w:color="auto" w:fill="auto"/>
            <w:noWrap/>
            <w:vAlign w:val="center"/>
            <w:hideMark/>
          </w:tcPr>
          <w:p w14:paraId="2B9780A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Support activities risk</w:t>
            </w:r>
          </w:p>
        </w:tc>
        <w:tc>
          <w:tcPr>
            <w:tcW w:w="1309" w:type="dxa"/>
            <w:shd w:val="clear" w:color="auto" w:fill="auto"/>
            <w:vAlign w:val="bottom"/>
            <w:hideMark/>
          </w:tcPr>
          <w:p w14:paraId="6E2E560F"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0.106</w:t>
            </w:r>
          </w:p>
        </w:tc>
        <w:tc>
          <w:tcPr>
            <w:tcW w:w="2051" w:type="dxa"/>
            <w:shd w:val="clear" w:color="auto" w:fill="auto"/>
            <w:noWrap/>
            <w:vAlign w:val="bottom"/>
            <w:hideMark/>
          </w:tcPr>
          <w:p w14:paraId="02A878C9"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-0.139*</w:t>
            </w:r>
          </w:p>
        </w:tc>
        <w:tc>
          <w:tcPr>
            <w:tcW w:w="2422" w:type="dxa"/>
            <w:shd w:val="clear" w:color="auto" w:fill="auto"/>
            <w:noWrap/>
            <w:vAlign w:val="bottom"/>
            <w:hideMark/>
          </w:tcPr>
          <w:p w14:paraId="142E69E6"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-0.072</w:t>
            </w:r>
          </w:p>
        </w:tc>
        <w:tc>
          <w:tcPr>
            <w:tcW w:w="2401" w:type="dxa"/>
            <w:shd w:val="clear" w:color="auto" w:fill="auto"/>
            <w:noWrap/>
            <w:vAlign w:val="bottom"/>
            <w:hideMark/>
          </w:tcPr>
          <w:p w14:paraId="53A15CD8"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1.000</w:t>
            </w:r>
          </w:p>
        </w:tc>
        <w:tc>
          <w:tcPr>
            <w:tcW w:w="1418" w:type="dxa"/>
            <w:shd w:val="clear" w:color="auto" w:fill="auto"/>
            <w:noWrap/>
            <w:vAlign w:val="bottom"/>
            <w:hideMark/>
          </w:tcPr>
          <w:p w14:paraId="7073B577"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p>
        </w:tc>
      </w:tr>
      <w:tr w:rsidR="00471D3B" w:rsidRPr="003C6DBD" w14:paraId="219FCC10" w14:textId="77777777" w:rsidTr="00471D3B">
        <w:trPr>
          <w:trHeight w:val="331"/>
        </w:trPr>
        <w:tc>
          <w:tcPr>
            <w:tcW w:w="2422" w:type="dxa"/>
            <w:shd w:val="clear" w:color="auto" w:fill="auto"/>
            <w:noWrap/>
            <w:vAlign w:val="center"/>
            <w:hideMark/>
          </w:tcPr>
          <w:p w14:paraId="47DC9AF0"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eastAsia="Times New Roman" w:hAnsi="Times New Roman" w:cs="Times New Roman"/>
                <w:color w:val="0D0D0D" w:themeColor="text1" w:themeTint="F2"/>
                <w:sz w:val="24"/>
                <w:szCs w:val="24"/>
              </w:rPr>
              <w:t xml:space="preserve">Altman Z </w:t>
            </w:r>
          </w:p>
        </w:tc>
        <w:tc>
          <w:tcPr>
            <w:tcW w:w="1309" w:type="dxa"/>
            <w:shd w:val="clear" w:color="auto" w:fill="auto"/>
            <w:vAlign w:val="bottom"/>
            <w:hideMark/>
          </w:tcPr>
          <w:p w14:paraId="7530C772"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0.213***</w:t>
            </w:r>
          </w:p>
        </w:tc>
        <w:tc>
          <w:tcPr>
            <w:tcW w:w="2051" w:type="dxa"/>
            <w:shd w:val="clear" w:color="auto" w:fill="auto"/>
            <w:noWrap/>
            <w:vAlign w:val="bottom"/>
            <w:hideMark/>
          </w:tcPr>
          <w:p w14:paraId="6B604D95"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0.361***</w:t>
            </w:r>
          </w:p>
        </w:tc>
        <w:tc>
          <w:tcPr>
            <w:tcW w:w="2422" w:type="dxa"/>
            <w:shd w:val="clear" w:color="auto" w:fill="auto"/>
            <w:noWrap/>
            <w:vAlign w:val="bottom"/>
            <w:hideMark/>
          </w:tcPr>
          <w:p w14:paraId="688D3FFE"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-0.189**</w:t>
            </w:r>
          </w:p>
        </w:tc>
        <w:tc>
          <w:tcPr>
            <w:tcW w:w="2401" w:type="dxa"/>
            <w:shd w:val="clear" w:color="auto" w:fill="auto"/>
            <w:noWrap/>
            <w:vAlign w:val="bottom"/>
            <w:hideMark/>
          </w:tcPr>
          <w:p w14:paraId="0DDCDEA6"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-0.433***</w:t>
            </w:r>
          </w:p>
        </w:tc>
        <w:tc>
          <w:tcPr>
            <w:tcW w:w="1418" w:type="dxa"/>
            <w:shd w:val="clear" w:color="auto" w:fill="auto"/>
            <w:noWrap/>
            <w:vAlign w:val="bottom"/>
            <w:hideMark/>
          </w:tcPr>
          <w:p w14:paraId="6D5644F1" w14:textId="77777777" w:rsidR="00C3000E" w:rsidRPr="003C6DBD" w:rsidRDefault="00C3000E" w:rsidP="003117FC">
            <w:pPr>
              <w:spacing w:after="0" w:line="480" w:lineRule="auto"/>
              <w:rPr>
                <w:rFonts w:ascii="Times New Roman" w:eastAsia="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1.000</w:t>
            </w:r>
          </w:p>
        </w:tc>
      </w:tr>
    </w:tbl>
    <w:p w14:paraId="0A6434B1" w14:textId="77777777" w:rsidR="00C3000E" w:rsidRPr="003C6DBD" w:rsidRDefault="00C3000E" w:rsidP="00C3000E">
      <w:pPr>
        <w:tabs>
          <w:tab w:val="left" w:pos="870"/>
        </w:tabs>
        <w:rPr>
          <w:rFonts w:ascii="Times New Roman" w:hAnsi="Times New Roman" w:cs="Times New Roman"/>
          <w:color w:val="0D0D0D" w:themeColor="text1" w:themeTint="F2"/>
          <w:sz w:val="24"/>
          <w:szCs w:val="24"/>
        </w:rPr>
      </w:pPr>
    </w:p>
    <w:p w14:paraId="41462A97" w14:textId="0DF14756" w:rsidR="00C3000E" w:rsidRPr="003C6DBD" w:rsidRDefault="00C3000E" w:rsidP="00C3000E">
      <w:pPr>
        <w:tabs>
          <w:tab w:val="left" w:pos="870"/>
        </w:tabs>
        <w:spacing w:line="480" w:lineRule="auto"/>
        <w:rPr>
          <w:rFonts w:ascii="Times New Roman" w:hAnsi="Times New Roman" w:cs="Times New Roman"/>
          <w:color w:val="0D0D0D" w:themeColor="text1" w:themeTint="F2"/>
          <w:sz w:val="24"/>
          <w:szCs w:val="24"/>
        </w:rPr>
        <w:sectPr w:rsidR="00C3000E" w:rsidRPr="003C6DBD" w:rsidSect="005733AE">
          <w:pgSz w:w="15840" w:h="12240" w:orient="landscape"/>
          <w:pgMar w:top="1440" w:right="1440" w:bottom="1440" w:left="1440" w:header="720" w:footer="720" w:gutter="0"/>
          <w:cols w:space="720"/>
          <w:docGrid w:linePitch="360"/>
        </w:sectPr>
      </w:pPr>
      <w:bookmarkStart w:id="96" w:name="_Hlk128041861"/>
      <w:r w:rsidRPr="003C6DBD">
        <w:rPr>
          <w:rFonts w:ascii="Times New Roman" w:hAnsi="Times New Roman" w:cs="Times New Roman"/>
          <w:color w:val="0D0D0D" w:themeColor="text1" w:themeTint="F2"/>
          <w:sz w:val="24"/>
          <w:szCs w:val="24"/>
        </w:rPr>
        <w:t>*, **, *** represents statistically significant result at 10%, 5%, and 1% level of significance respectively</w:t>
      </w:r>
    </w:p>
    <w:bookmarkEnd w:id="96"/>
    <w:p w14:paraId="73E36DB1" w14:textId="76469C90" w:rsidR="00C3000E" w:rsidRDefault="00C3000E" w:rsidP="00C3000E">
      <w:pPr>
        <w:pStyle w:val="Caption"/>
        <w:keepNext/>
        <w:rPr>
          <w:rFonts w:ascii="Times New Roman" w:hAnsi="Times New Roman" w:cs="Times New Roman"/>
          <w:color w:val="0D0D0D" w:themeColor="text1" w:themeTint="F2"/>
          <w:sz w:val="24"/>
          <w:szCs w:val="24"/>
        </w:rPr>
      </w:pPr>
    </w:p>
    <w:p w14:paraId="268D9A83" w14:textId="77777777" w:rsidR="002437D0" w:rsidRPr="002437D0" w:rsidRDefault="002437D0" w:rsidP="002437D0"/>
    <w:tbl>
      <w:tblPr>
        <w:tblStyle w:val="TableGrid"/>
        <w:tblW w:w="105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6"/>
        <w:gridCol w:w="5256"/>
      </w:tblGrid>
      <w:tr w:rsidR="00D21393" w:rsidRPr="003C6DBD" w14:paraId="7AFC850F" w14:textId="77777777" w:rsidTr="003117FC">
        <w:trPr>
          <w:trHeight w:val="3788"/>
        </w:trPr>
        <w:tc>
          <w:tcPr>
            <w:tcW w:w="5256" w:type="dxa"/>
          </w:tcPr>
          <w:p w14:paraId="76F421AC"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anchor distT="0" distB="0" distL="114300" distR="114300" simplePos="0" relativeHeight="251659264" behindDoc="0" locked="0" layoutInCell="1" allowOverlap="1" wp14:anchorId="2B1E90BA" wp14:editId="4EA2FB66">
                  <wp:simplePos x="0" y="0"/>
                  <wp:positionH relativeFrom="column">
                    <wp:posOffset>0</wp:posOffset>
                  </wp:positionH>
                  <wp:positionV relativeFrom="paragraph">
                    <wp:posOffset>2540</wp:posOffset>
                  </wp:positionV>
                  <wp:extent cx="3133838" cy="2286000"/>
                  <wp:effectExtent l="0" t="0" r="9525" b="0"/>
                  <wp:wrapNone/>
                  <wp:docPr id="1559242953" name="Picture 1559242953">
                    <a:extLst xmlns:a="http://schemas.openxmlformats.org/drawingml/2006/main">
                      <a:ext uri="{FF2B5EF4-FFF2-40B4-BE49-F238E27FC236}">
                        <a16:creationId xmlns:a16="http://schemas.microsoft.com/office/drawing/2014/main" id="{590C2326-16CE-0F56-0841-9CDD73B967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590C2326-16CE-0F56-0841-9CDD73B967BB}"/>
                              </a:ext>
                            </a:extLst>
                          </pic:cNvPr>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3133838"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tc>
        <w:tc>
          <w:tcPr>
            <w:tcW w:w="5256" w:type="dxa"/>
          </w:tcPr>
          <w:p w14:paraId="0EBCC5CA"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anchor distT="0" distB="0" distL="114300" distR="114300" simplePos="0" relativeHeight="251660288" behindDoc="0" locked="0" layoutInCell="1" allowOverlap="1" wp14:anchorId="5D934B00" wp14:editId="76B11BC2">
                  <wp:simplePos x="0" y="0"/>
                  <wp:positionH relativeFrom="column">
                    <wp:posOffset>2540</wp:posOffset>
                  </wp:positionH>
                  <wp:positionV relativeFrom="paragraph">
                    <wp:posOffset>2540</wp:posOffset>
                  </wp:positionV>
                  <wp:extent cx="3133838" cy="2286000"/>
                  <wp:effectExtent l="0" t="0" r="9525" b="0"/>
                  <wp:wrapNone/>
                  <wp:docPr id="4" name="Picture 3">
                    <a:extLst xmlns:a="http://schemas.openxmlformats.org/drawingml/2006/main">
                      <a:ext uri="{FF2B5EF4-FFF2-40B4-BE49-F238E27FC236}">
                        <a16:creationId xmlns:a16="http://schemas.microsoft.com/office/drawing/2014/main" id="{4CDD5F49-9238-B383-41C6-C3138006BA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CDD5F49-9238-B383-41C6-C3138006BAF9}"/>
                              </a:ext>
                            </a:extLst>
                          </pic:cNvPr>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3133838"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tc>
      </w:tr>
      <w:tr w:rsidR="00D21393" w:rsidRPr="003C6DBD" w14:paraId="26157FAA" w14:textId="77777777" w:rsidTr="003117FC">
        <w:trPr>
          <w:trHeight w:val="562"/>
        </w:trPr>
        <w:tc>
          <w:tcPr>
            <w:tcW w:w="5256" w:type="dxa"/>
          </w:tcPr>
          <w:p w14:paraId="448996DF"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0382DCBD" wp14:editId="4E5AEA7E">
                  <wp:extent cx="3133838" cy="2286000"/>
                  <wp:effectExtent l="0" t="0" r="9525" b="0"/>
                  <wp:docPr id="5" name="Picture 4">
                    <a:extLst xmlns:a="http://schemas.openxmlformats.org/drawingml/2006/main">
                      <a:ext uri="{FF2B5EF4-FFF2-40B4-BE49-F238E27FC236}">
                        <a16:creationId xmlns:a16="http://schemas.microsoft.com/office/drawing/2014/main" id="{7976D3A2-48C0-716B-6681-703825241F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976D3A2-48C0-716B-6681-703825241F27}"/>
                              </a:ext>
                            </a:extLst>
                          </pic:cNvPr>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3133838"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5256" w:type="dxa"/>
          </w:tcPr>
          <w:p w14:paraId="6D6DBDC1"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10E2C795" wp14:editId="670F5081">
                  <wp:extent cx="3133838" cy="2286000"/>
                  <wp:effectExtent l="0" t="0" r="9525" b="0"/>
                  <wp:docPr id="6" name="Picture 5">
                    <a:extLst xmlns:a="http://schemas.openxmlformats.org/drawingml/2006/main">
                      <a:ext uri="{FF2B5EF4-FFF2-40B4-BE49-F238E27FC236}">
                        <a16:creationId xmlns:a16="http://schemas.microsoft.com/office/drawing/2014/main" id="{C6E85DA6-5AC8-F73B-1AA1-FF138FB88E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C6E85DA6-5AC8-F73B-1AA1-FF138FB88E3F}"/>
                              </a:ext>
                            </a:extLst>
                          </pic:cNvPr>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3133838"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r>
      <w:tr w:rsidR="002437D0" w:rsidRPr="003C6DBD" w14:paraId="2A5CE8F3" w14:textId="77777777" w:rsidTr="00F558E8">
        <w:trPr>
          <w:trHeight w:val="562"/>
        </w:trPr>
        <w:tc>
          <w:tcPr>
            <w:tcW w:w="10512" w:type="dxa"/>
            <w:gridSpan w:val="2"/>
          </w:tcPr>
          <w:p w14:paraId="7A269E75" w14:textId="77777777" w:rsidR="002437D0" w:rsidRPr="003C6DBD" w:rsidRDefault="002437D0" w:rsidP="002437D0">
            <w:pPr>
              <w:pStyle w:val="Caption"/>
              <w:rPr>
                <w:rFonts w:ascii="Times New Roman" w:hAnsi="Times New Roman" w:cs="Times New Roman"/>
                <w:color w:val="0D0D0D" w:themeColor="text1" w:themeTint="F2"/>
                <w:sz w:val="24"/>
                <w:szCs w:val="24"/>
              </w:rPr>
            </w:pPr>
            <w:bookmarkStart w:id="97" w:name="_Toc132974502"/>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noProof/>
                <w:color w:val="0D0D0D" w:themeColor="text1" w:themeTint="F2"/>
                <w:sz w:val="24"/>
                <w:szCs w:val="24"/>
              </w:rPr>
              <w:t>14</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Trend analysis of financial ratios, median values from 2018 to 2021.</w:t>
            </w:r>
            <w:bookmarkEnd w:id="97"/>
          </w:p>
          <w:p w14:paraId="2626677D" w14:textId="77777777" w:rsidR="002437D0" w:rsidRPr="003C6DBD" w:rsidRDefault="002437D0" w:rsidP="003117FC">
            <w:pPr>
              <w:spacing w:line="480" w:lineRule="auto"/>
              <w:rPr>
                <w:rFonts w:ascii="Times New Roman" w:hAnsi="Times New Roman" w:cs="Times New Roman"/>
                <w:noProof/>
                <w:color w:val="0D0D0D" w:themeColor="text1" w:themeTint="F2"/>
                <w:sz w:val="24"/>
                <w:szCs w:val="24"/>
              </w:rPr>
            </w:pPr>
          </w:p>
        </w:tc>
      </w:tr>
      <w:tr w:rsidR="00D21393" w:rsidRPr="003C6DBD" w14:paraId="7269B75C" w14:textId="77777777" w:rsidTr="003117FC">
        <w:trPr>
          <w:trHeight w:val="562"/>
        </w:trPr>
        <w:tc>
          <w:tcPr>
            <w:tcW w:w="5256" w:type="dxa"/>
          </w:tcPr>
          <w:p w14:paraId="21CF5BA0"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lastRenderedPageBreak/>
              <w:drawing>
                <wp:inline distT="0" distB="0" distL="0" distR="0" wp14:anchorId="5190599A" wp14:editId="29CA42A3">
                  <wp:extent cx="3133838" cy="2286000"/>
                  <wp:effectExtent l="0" t="0" r="9525" b="0"/>
                  <wp:docPr id="7" name="Picture 6">
                    <a:extLst xmlns:a="http://schemas.openxmlformats.org/drawingml/2006/main">
                      <a:ext uri="{FF2B5EF4-FFF2-40B4-BE49-F238E27FC236}">
                        <a16:creationId xmlns:a16="http://schemas.microsoft.com/office/drawing/2014/main" id="{83ECD171-70D1-4F9C-C9E7-3B5AAFAD04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3ECD171-70D1-4F9C-C9E7-3B5AAFAD04A3}"/>
                              </a:ext>
                            </a:extLst>
                          </pic:cNvPr>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3133838"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5256" w:type="dxa"/>
          </w:tcPr>
          <w:p w14:paraId="2AFACBD0"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4F6B2AF3" wp14:editId="5D5B8DE8">
                  <wp:extent cx="3133838" cy="2286000"/>
                  <wp:effectExtent l="0" t="0" r="9525" b="0"/>
                  <wp:docPr id="8" name="Picture 7">
                    <a:extLst xmlns:a="http://schemas.openxmlformats.org/drawingml/2006/main">
                      <a:ext uri="{FF2B5EF4-FFF2-40B4-BE49-F238E27FC236}">
                        <a16:creationId xmlns:a16="http://schemas.microsoft.com/office/drawing/2014/main" id="{82D877B3-8747-7B69-D38B-74919B558D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82D877B3-8747-7B69-D38B-74919B558D0C}"/>
                              </a:ext>
                            </a:extLst>
                          </pic:cNvPr>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3133838"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r>
      <w:tr w:rsidR="00D21393" w:rsidRPr="003C6DBD" w14:paraId="2AB50655" w14:textId="77777777" w:rsidTr="003117FC">
        <w:trPr>
          <w:trHeight w:val="562"/>
        </w:trPr>
        <w:tc>
          <w:tcPr>
            <w:tcW w:w="5256" w:type="dxa"/>
          </w:tcPr>
          <w:p w14:paraId="5CAC4B97"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1C5FF11F" wp14:editId="27B2050F">
                  <wp:extent cx="3133838" cy="2286000"/>
                  <wp:effectExtent l="0" t="0" r="9525" b="0"/>
                  <wp:docPr id="9" name="Picture 8">
                    <a:extLst xmlns:a="http://schemas.openxmlformats.org/drawingml/2006/main">
                      <a:ext uri="{FF2B5EF4-FFF2-40B4-BE49-F238E27FC236}">
                        <a16:creationId xmlns:a16="http://schemas.microsoft.com/office/drawing/2014/main" id="{5BF24B88-540B-6E8D-C6C3-C3872D1029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5BF24B88-540B-6E8D-C6C3-C3872D1029FF}"/>
                              </a:ext>
                            </a:extLst>
                          </pic:cNvPr>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3133838"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5256" w:type="dxa"/>
          </w:tcPr>
          <w:p w14:paraId="58DCD3C5"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7378DF45" wp14:editId="7F1A5D90">
                  <wp:extent cx="3133838" cy="2286000"/>
                  <wp:effectExtent l="0" t="0" r="9525" b="0"/>
                  <wp:docPr id="10" name="Picture 9">
                    <a:extLst xmlns:a="http://schemas.openxmlformats.org/drawingml/2006/main">
                      <a:ext uri="{FF2B5EF4-FFF2-40B4-BE49-F238E27FC236}">
                        <a16:creationId xmlns:a16="http://schemas.microsoft.com/office/drawing/2014/main" id="{9420D264-5ED3-5832-DB2B-E400E4C491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9420D264-5ED3-5832-DB2B-E400E4C491E7}"/>
                              </a:ext>
                            </a:extLst>
                          </pic:cNvPr>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3133838"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r>
      <w:tr w:rsidR="002437D0" w:rsidRPr="003C6DBD" w14:paraId="148D6336" w14:textId="77777777" w:rsidTr="009268DD">
        <w:trPr>
          <w:trHeight w:val="562"/>
        </w:trPr>
        <w:tc>
          <w:tcPr>
            <w:tcW w:w="10512" w:type="dxa"/>
            <w:gridSpan w:val="2"/>
          </w:tcPr>
          <w:p w14:paraId="2E433356" w14:textId="70C912F4" w:rsidR="002437D0" w:rsidRPr="003C6DBD" w:rsidRDefault="002437D0" w:rsidP="002437D0">
            <w:pPr>
              <w:pStyle w:val="Caption"/>
              <w:rPr>
                <w:rFonts w:ascii="Times New Roman" w:hAnsi="Times New Roman" w:cs="Times New Roman"/>
                <w:color w:val="0D0D0D" w:themeColor="text1" w:themeTint="F2"/>
                <w:sz w:val="24"/>
                <w:szCs w:val="24"/>
              </w:rPr>
            </w:pPr>
            <w:bookmarkStart w:id="98" w:name="_Toc132974503"/>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noProof/>
                <w:color w:val="0D0D0D" w:themeColor="text1" w:themeTint="F2"/>
                <w:sz w:val="24"/>
                <w:szCs w:val="24"/>
              </w:rPr>
              <w:t>14</w:t>
            </w:r>
            <w:r w:rsidRPr="003C6DBD">
              <w:rPr>
                <w:rFonts w:ascii="Times New Roman" w:hAnsi="Times New Roman" w:cs="Times New Roman"/>
                <w:color w:val="0D0D0D" w:themeColor="text1" w:themeTint="F2"/>
                <w:sz w:val="24"/>
                <w:szCs w:val="24"/>
              </w:rPr>
              <w:fldChar w:fldCharType="end"/>
            </w:r>
            <w:r>
              <w:rPr>
                <w:rFonts w:ascii="Times New Roman" w:hAnsi="Times New Roman" w:cs="Times New Roman"/>
                <w:color w:val="0D0D0D" w:themeColor="text1" w:themeTint="F2"/>
                <w:sz w:val="24"/>
                <w:szCs w:val="24"/>
              </w:rPr>
              <w:t xml:space="preserve"> continued</w:t>
            </w:r>
            <w:r w:rsidRPr="003C6DBD">
              <w:rPr>
                <w:rFonts w:ascii="Times New Roman" w:hAnsi="Times New Roman" w:cs="Times New Roman"/>
                <w:color w:val="0D0D0D" w:themeColor="text1" w:themeTint="F2"/>
                <w:sz w:val="24"/>
                <w:szCs w:val="24"/>
              </w:rPr>
              <w:t>.</w:t>
            </w:r>
            <w:bookmarkEnd w:id="98"/>
          </w:p>
          <w:p w14:paraId="38EA6E11" w14:textId="77777777" w:rsidR="002437D0" w:rsidRPr="003C6DBD" w:rsidRDefault="002437D0" w:rsidP="003117FC">
            <w:pPr>
              <w:spacing w:line="480" w:lineRule="auto"/>
              <w:rPr>
                <w:rFonts w:ascii="Times New Roman" w:hAnsi="Times New Roman" w:cs="Times New Roman"/>
                <w:noProof/>
                <w:color w:val="0D0D0D" w:themeColor="text1" w:themeTint="F2"/>
                <w:sz w:val="24"/>
                <w:szCs w:val="24"/>
              </w:rPr>
            </w:pPr>
          </w:p>
        </w:tc>
      </w:tr>
      <w:tr w:rsidR="00D21393" w:rsidRPr="003C6DBD" w14:paraId="3D234B6E" w14:textId="77777777" w:rsidTr="003117FC">
        <w:trPr>
          <w:trHeight w:val="562"/>
        </w:trPr>
        <w:tc>
          <w:tcPr>
            <w:tcW w:w="5256" w:type="dxa"/>
          </w:tcPr>
          <w:p w14:paraId="7DC0B594"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lastRenderedPageBreak/>
              <w:drawing>
                <wp:inline distT="0" distB="0" distL="0" distR="0" wp14:anchorId="31845520" wp14:editId="3CC2712F">
                  <wp:extent cx="3133838" cy="2286000"/>
                  <wp:effectExtent l="0" t="0" r="9525" b="0"/>
                  <wp:docPr id="11" name="Picture 10">
                    <a:extLst xmlns:a="http://schemas.openxmlformats.org/drawingml/2006/main">
                      <a:ext uri="{FF2B5EF4-FFF2-40B4-BE49-F238E27FC236}">
                        <a16:creationId xmlns:a16="http://schemas.microsoft.com/office/drawing/2014/main" id="{252FE9E4-8AF4-6ED2-716A-B118D9AE28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252FE9E4-8AF4-6ED2-716A-B118D9AE28F5}"/>
                              </a:ext>
                            </a:extLst>
                          </pic:cNvPr>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3133838"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5256" w:type="dxa"/>
          </w:tcPr>
          <w:p w14:paraId="6502F2A3"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0A7CF9A2" wp14:editId="7781825B">
                  <wp:extent cx="3133838" cy="2286000"/>
                  <wp:effectExtent l="0" t="0" r="9525" b="0"/>
                  <wp:docPr id="12" name="Picture 11">
                    <a:extLst xmlns:a="http://schemas.openxmlformats.org/drawingml/2006/main">
                      <a:ext uri="{FF2B5EF4-FFF2-40B4-BE49-F238E27FC236}">
                        <a16:creationId xmlns:a16="http://schemas.microsoft.com/office/drawing/2014/main" id="{845498CC-24C7-7BA3-29E4-31E80A4E85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845498CC-24C7-7BA3-29E4-31E80A4E8517}"/>
                              </a:ext>
                            </a:extLst>
                          </pic:cNvPr>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3133838"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r>
      <w:tr w:rsidR="00D21393" w:rsidRPr="003C6DBD" w14:paraId="25A86840" w14:textId="77777777" w:rsidTr="003117FC">
        <w:trPr>
          <w:trHeight w:val="562"/>
        </w:trPr>
        <w:tc>
          <w:tcPr>
            <w:tcW w:w="5256" w:type="dxa"/>
          </w:tcPr>
          <w:p w14:paraId="0E118A3D"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3E72DA57" wp14:editId="572F0A0E">
                  <wp:extent cx="3133838" cy="2286000"/>
                  <wp:effectExtent l="0" t="0" r="9525" b="0"/>
                  <wp:docPr id="13" name="Picture 12">
                    <a:extLst xmlns:a="http://schemas.openxmlformats.org/drawingml/2006/main">
                      <a:ext uri="{FF2B5EF4-FFF2-40B4-BE49-F238E27FC236}">
                        <a16:creationId xmlns:a16="http://schemas.microsoft.com/office/drawing/2014/main" id="{2999E208-8ED8-1CA9-7F77-6FA22F953F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999E208-8ED8-1CA9-7F77-6FA22F953FEF}"/>
                              </a:ext>
                            </a:extLst>
                          </pic:cNvPr>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3133838"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5256" w:type="dxa"/>
          </w:tcPr>
          <w:p w14:paraId="51F10061"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42A19BBE" wp14:editId="4CE0AE00">
                  <wp:extent cx="3133838" cy="2286000"/>
                  <wp:effectExtent l="0" t="0" r="9525" b="0"/>
                  <wp:docPr id="124376583" name="Picture 124376583">
                    <a:extLst xmlns:a="http://schemas.openxmlformats.org/drawingml/2006/main">
                      <a:ext uri="{FF2B5EF4-FFF2-40B4-BE49-F238E27FC236}">
                        <a16:creationId xmlns:a16="http://schemas.microsoft.com/office/drawing/2014/main" id="{3C140987-DC44-3D34-13D7-9E0F12BE3A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3C140987-DC44-3D34-13D7-9E0F12BE3AA9}"/>
                              </a:ext>
                            </a:extLst>
                          </pic:cNvPr>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3133838"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r>
      <w:tr w:rsidR="002437D0" w:rsidRPr="003C6DBD" w14:paraId="39D7D1D7" w14:textId="77777777" w:rsidTr="001D33F9">
        <w:trPr>
          <w:trHeight w:val="562"/>
        </w:trPr>
        <w:tc>
          <w:tcPr>
            <w:tcW w:w="10512" w:type="dxa"/>
            <w:gridSpan w:val="2"/>
          </w:tcPr>
          <w:p w14:paraId="10F50121" w14:textId="77777777" w:rsidR="002437D0" w:rsidRPr="003C6DBD" w:rsidRDefault="002437D0" w:rsidP="002437D0">
            <w:pPr>
              <w:pStyle w:val="Caption"/>
              <w:rPr>
                <w:rFonts w:ascii="Times New Roman" w:hAnsi="Times New Roman" w:cs="Times New Roman"/>
                <w:color w:val="0D0D0D" w:themeColor="text1" w:themeTint="F2"/>
                <w:sz w:val="24"/>
                <w:szCs w:val="24"/>
              </w:rPr>
            </w:pPr>
            <w:bookmarkStart w:id="99" w:name="_Toc132974504"/>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noProof/>
                <w:color w:val="0D0D0D" w:themeColor="text1" w:themeTint="F2"/>
                <w:sz w:val="24"/>
                <w:szCs w:val="24"/>
              </w:rPr>
              <w:t>14</w:t>
            </w:r>
            <w:r w:rsidRPr="003C6DBD">
              <w:rPr>
                <w:rFonts w:ascii="Times New Roman" w:hAnsi="Times New Roman" w:cs="Times New Roman"/>
                <w:color w:val="0D0D0D" w:themeColor="text1" w:themeTint="F2"/>
                <w:sz w:val="24"/>
                <w:szCs w:val="24"/>
              </w:rPr>
              <w:fldChar w:fldCharType="end"/>
            </w:r>
            <w:r>
              <w:rPr>
                <w:rFonts w:ascii="Times New Roman" w:hAnsi="Times New Roman" w:cs="Times New Roman"/>
                <w:color w:val="0D0D0D" w:themeColor="text1" w:themeTint="F2"/>
                <w:sz w:val="24"/>
                <w:szCs w:val="24"/>
              </w:rPr>
              <w:t xml:space="preserve"> continued</w:t>
            </w:r>
            <w:r w:rsidRPr="003C6DBD">
              <w:rPr>
                <w:rFonts w:ascii="Times New Roman" w:hAnsi="Times New Roman" w:cs="Times New Roman"/>
                <w:color w:val="0D0D0D" w:themeColor="text1" w:themeTint="F2"/>
                <w:sz w:val="24"/>
                <w:szCs w:val="24"/>
              </w:rPr>
              <w:t>.</w:t>
            </w:r>
            <w:bookmarkEnd w:id="99"/>
          </w:p>
          <w:p w14:paraId="6D218428" w14:textId="77777777" w:rsidR="002437D0" w:rsidRPr="003C6DBD" w:rsidRDefault="002437D0" w:rsidP="003117FC">
            <w:pPr>
              <w:spacing w:line="480" w:lineRule="auto"/>
              <w:rPr>
                <w:rFonts w:ascii="Times New Roman" w:hAnsi="Times New Roman" w:cs="Times New Roman"/>
                <w:noProof/>
                <w:color w:val="0D0D0D" w:themeColor="text1" w:themeTint="F2"/>
                <w:sz w:val="24"/>
                <w:szCs w:val="24"/>
              </w:rPr>
            </w:pPr>
          </w:p>
        </w:tc>
      </w:tr>
      <w:tr w:rsidR="00D21393" w:rsidRPr="003C6DBD" w14:paraId="1CEC68FC" w14:textId="77777777" w:rsidTr="003117FC">
        <w:trPr>
          <w:trHeight w:val="562"/>
        </w:trPr>
        <w:tc>
          <w:tcPr>
            <w:tcW w:w="5256" w:type="dxa"/>
          </w:tcPr>
          <w:p w14:paraId="48B41F04"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lastRenderedPageBreak/>
              <w:drawing>
                <wp:inline distT="0" distB="0" distL="0" distR="0" wp14:anchorId="62801801" wp14:editId="6725CEAE">
                  <wp:extent cx="3133838" cy="2286000"/>
                  <wp:effectExtent l="0" t="0" r="9525" b="0"/>
                  <wp:docPr id="1870276495" name="Picture 1870276495">
                    <a:extLst xmlns:a="http://schemas.openxmlformats.org/drawingml/2006/main">
                      <a:ext uri="{FF2B5EF4-FFF2-40B4-BE49-F238E27FC236}">
                        <a16:creationId xmlns:a16="http://schemas.microsoft.com/office/drawing/2014/main" id="{8E70170F-C89D-9FC9-BA00-0A5C3BACEE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8E70170F-C89D-9FC9-BA00-0A5C3BACEE17}"/>
                              </a:ext>
                            </a:extLst>
                          </pic:cNvPr>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3133838"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5256" w:type="dxa"/>
          </w:tcPr>
          <w:p w14:paraId="4116A608"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3076CDC4" wp14:editId="58C0A8E6">
                  <wp:extent cx="3133838" cy="2286000"/>
                  <wp:effectExtent l="0" t="0" r="9525" b="0"/>
                  <wp:docPr id="16" name="Picture 15">
                    <a:extLst xmlns:a="http://schemas.openxmlformats.org/drawingml/2006/main">
                      <a:ext uri="{FF2B5EF4-FFF2-40B4-BE49-F238E27FC236}">
                        <a16:creationId xmlns:a16="http://schemas.microsoft.com/office/drawing/2014/main" id="{88B84A7D-F72F-8AE1-F144-700697B16B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88B84A7D-F72F-8AE1-F144-700697B16B30}"/>
                              </a:ext>
                            </a:extLst>
                          </pic:cNvPr>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3133838"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r>
      <w:tr w:rsidR="00D21393" w:rsidRPr="003C6DBD" w14:paraId="3FC0BFDB" w14:textId="77777777" w:rsidTr="003117FC">
        <w:trPr>
          <w:trHeight w:val="562"/>
        </w:trPr>
        <w:tc>
          <w:tcPr>
            <w:tcW w:w="5256" w:type="dxa"/>
          </w:tcPr>
          <w:p w14:paraId="34844A7D"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721C7171" wp14:editId="4838FFD9">
                  <wp:extent cx="3133838" cy="2286000"/>
                  <wp:effectExtent l="0" t="0" r="9525" b="0"/>
                  <wp:docPr id="17" name="Picture 16">
                    <a:extLst xmlns:a="http://schemas.openxmlformats.org/drawingml/2006/main">
                      <a:ext uri="{FF2B5EF4-FFF2-40B4-BE49-F238E27FC236}">
                        <a16:creationId xmlns:a16="http://schemas.microsoft.com/office/drawing/2014/main" id="{AC1A66B3-7281-61B8-F87A-7DD681985B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AC1A66B3-7281-61B8-F87A-7DD681985B01}"/>
                              </a:ext>
                            </a:extLst>
                          </pic:cNvPr>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3133838"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5256" w:type="dxa"/>
          </w:tcPr>
          <w:p w14:paraId="522A6710" w14:textId="77777777" w:rsidR="00C3000E" w:rsidRPr="003C6DBD" w:rsidRDefault="00C3000E" w:rsidP="00E94FA5">
            <w:pPr>
              <w:keepNext/>
              <w:spacing w:line="480" w:lineRule="auto"/>
              <w:rPr>
                <w:rFonts w:ascii="Times New Roman" w:hAnsi="Times New Roman" w:cs="Times New Roman"/>
                <w:color w:val="0D0D0D" w:themeColor="text1" w:themeTint="F2"/>
                <w:sz w:val="24"/>
                <w:szCs w:val="24"/>
              </w:rPr>
            </w:pPr>
          </w:p>
        </w:tc>
      </w:tr>
    </w:tbl>
    <w:p w14:paraId="608D15BD" w14:textId="4937588E" w:rsidR="00C3000E" w:rsidRPr="003C6DBD" w:rsidRDefault="00E94FA5" w:rsidP="00E94FA5">
      <w:pPr>
        <w:pStyle w:val="Caption"/>
        <w:rPr>
          <w:rFonts w:ascii="Times New Roman" w:hAnsi="Times New Roman" w:cs="Times New Roman"/>
          <w:color w:val="0D0D0D" w:themeColor="text1" w:themeTint="F2"/>
          <w:sz w:val="24"/>
          <w:szCs w:val="24"/>
        </w:rPr>
      </w:pPr>
      <w:bookmarkStart w:id="100" w:name="_Toc132974505"/>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noProof/>
          <w:color w:val="0D0D0D" w:themeColor="text1" w:themeTint="F2"/>
          <w:sz w:val="24"/>
          <w:szCs w:val="24"/>
        </w:rPr>
        <w:t>14</w:t>
      </w:r>
      <w:r w:rsidRPr="003C6DBD">
        <w:rPr>
          <w:rFonts w:ascii="Times New Roman" w:hAnsi="Times New Roman" w:cs="Times New Roman"/>
          <w:color w:val="0D0D0D" w:themeColor="text1" w:themeTint="F2"/>
          <w:sz w:val="24"/>
          <w:szCs w:val="24"/>
        </w:rPr>
        <w:fldChar w:fldCharType="end"/>
      </w:r>
      <w:r w:rsidR="002437D0">
        <w:rPr>
          <w:rFonts w:ascii="Times New Roman" w:hAnsi="Times New Roman" w:cs="Times New Roman"/>
          <w:color w:val="0D0D0D" w:themeColor="text1" w:themeTint="F2"/>
          <w:sz w:val="24"/>
          <w:szCs w:val="24"/>
        </w:rPr>
        <w:t xml:space="preserve"> continued</w:t>
      </w:r>
      <w:r w:rsidRPr="003C6DBD">
        <w:rPr>
          <w:rFonts w:ascii="Times New Roman" w:hAnsi="Times New Roman" w:cs="Times New Roman"/>
          <w:color w:val="0D0D0D" w:themeColor="text1" w:themeTint="F2"/>
          <w:sz w:val="24"/>
          <w:szCs w:val="24"/>
        </w:rPr>
        <w:t>.</w:t>
      </w:r>
      <w:bookmarkEnd w:id="100"/>
    </w:p>
    <w:p w14:paraId="11F4083E" w14:textId="23E0FB0E" w:rsidR="00C3000E" w:rsidRPr="003C6DBD" w:rsidRDefault="00C3000E" w:rsidP="00C3000E">
      <w:pPr>
        <w:pStyle w:val="Caption"/>
        <w:keepNext/>
        <w:rPr>
          <w:rFonts w:ascii="Times New Roman" w:hAnsi="Times New Roman" w:cs="Times New Roman"/>
          <w:color w:val="0D0D0D" w:themeColor="text1" w:themeTint="F2"/>
          <w:sz w:val="24"/>
          <w:szCs w:val="24"/>
        </w:rPr>
      </w:pPr>
    </w:p>
    <w:p w14:paraId="3BFA124F" w14:textId="77777777" w:rsidR="00E94FA5" w:rsidRPr="003C6DBD" w:rsidRDefault="00E94FA5" w:rsidP="00E94FA5">
      <w:pPr>
        <w:rPr>
          <w:rFonts w:ascii="Times New Roman" w:hAnsi="Times New Roman" w:cs="Times New Roman"/>
          <w:color w:val="0D0D0D" w:themeColor="text1" w:themeTint="F2"/>
          <w:sz w:val="24"/>
          <w:szCs w:val="24"/>
        </w:rPr>
      </w:pPr>
    </w:p>
    <w:p w14:paraId="40F26045" w14:textId="77777777" w:rsidR="00E94FA5" w:rsidRPr="003C6DBD" w:rsidRDefault="00E94FA5" w:rsidP="00E94FA5">
      <w:pPr>
        <w:rPr>
          <w:rFonts w:ascii="Times New Roman" w:hAnsi="Times New Roman" w:cs="Times New Roman"/>
          <w:color w:val="0D0D0D" w:themeColor="text1" w:themeTint="F2"/>
          <w:sz w:val="24"/>
          <w:szCs w:val="24"/>
        </w:rPr>
      </w:pPr>
    </w:p>
    <w:tbl>
      <w:tblPr>
        <w:tblStyle w:val="TableGrid"/>
        <w:tblW w:w="105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6"/>
        <w:gridCol w:w="5256"/>
      </w:tblGrid>
      <w:tr w:rsidR="00D21393" w:rsidRPr="003C6DBD" w14:paraId="53611746" w14:textId="77777777" w:rsidTr="003117FC">
        <w:trPr>
          <w:trHeight w:val="3788"/>
        </w:trPr>
        <w:tc>
          <w:tcPr>
            <w:tcW w:w="5256" w:type="dxa"/>
          </w:tcPr>
          <w:p w14:paraId="59ECDAC2"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4DBC1527" wp14:editId="43845388">
                  <wp:extent cx="3133841" cy="2286000"/>
                  <wp:effectExtent l="0" t="0" r="9525" b="0"/>
                  <wp:docPr id="34" name="Picture 14">
                    <a:extLst xmlns:a="http://schemas.openxmlformats.org/drawingml/2006/main">
                      <a:ext uri="{FF2B5EF4-FFF2-40B4-BE49-F238E27FC236}">
                        <a16:creationId xmlns:a16="http://schemas.microsoft.com/office/drawing/2014/main" id="{3062C9CF-9247-6A27-4313-A28581B3B7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3062C9CF-9247-6A27-4313-A28581B3B7F5}"/>
                              </a:ext>
                            </a:extLst>
                          </pic:cNvPr>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3133841"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5256" w:type="dxa"/>
          </w:tcPr>
          <w:p w14:paraId="6E913311"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4685647E" wp14:editId="066D18AF">
                  <wp:extent cx="3133841" cy="2286000"/>
                  <wp:effectExtent l="0" t="0" r="9525" b="0"/>
                  <wp:docPr id="35" name="Picture 15">
                    <a:extLst xmlns:a="http://schemas.openxmlformats.org/drawingml/2006/main">
                      <a:ext uri="{FF2B5EF4-FFF2-40B4-BE49-F238E27FC236}">
                        <a16:creationId xmlns:a16="http://schemas.microsoft.com/office/drawing/2014/main" id="{8CE9062C-5DC7-6617-CEE2-2839A28276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8CE9062C-5DC7-6617-CEE2-2839A28276E7}"/>
                              </a:ext>
                            </a:extLst>
                          </pic:cNvPr>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3133841"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r>
      <w:tr w:rsidR="00D21393" w:rsidRPr="003C6DBD" w14:paraId="6CF018ED" w14:textId="77777777" w:rsidTr="003117FC">
        <w:trPr>
          <w:trHeight w:val="562"/>
        </w:trPr>
        <w:tc>
          <w:tcPr>
            <w:tcW w:w="5256" w:type="dxa"/>
          </w:tcPr>
          <w:p w14:paraId="4EC6BB42"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22589C10" wp14:editId="3C67C4EA">
                  <wp:extent cx="3133841" cy="2286000"/>
                  <wp:effectExtent l="0" t="0" r="9525" b="0"/>
                  <wp:docPr id="36" name="Picture 16">
                    <a:extLst xmlns:a="http://schemas.openxmlformats.org/drawingml/2006/main">
                      <a:ext uri="{FF2B5EF4-FFF2-40B4-BE49-F238E27FC236}">
                        <a16:creationId xmlns:a16="http://schemas.microsoft.com/office/drawing/2014/main" id="{221D8F77-9C10-76B8-E11C-E1DCF42EAF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221D8F77-9C10-76B8-E11C-E1DCF42EAF07}"/>
                              </a:ext>
                            </a:extLst>
                          </pic:cNvPr>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3133841"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5256" w:type="dxa"/>
          </w:tcPr>
          <w:p w14:paraId="390AC338"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drawing>
                <wp:inline distT="0" distB="0" distL="0" distR="0" wp14:anchorId="73FA1A33" wp14:editId="5CCC0485">
                  <wp:extent cx="3133841" cy="2286000"/>
                  <wp:effectExtent l="0" t="0" r="9525" b="0"/>
                  <wp:docPr id="37" name="Picture 17">
                    <a:extLst xmlns:a="http://schemas.openxmlformats.org/drawingml/2006/main">
                      <a:ext uri="{FF2B5EF4-FFF2-40B4-BE49-F238E27FC236}">
                        <a16:creationId xmlns:a16="http://schemas.microsoft.com/office/drawing/2014/main" id="{1BCC9A2F-862B-F522-A6A2-57C2D3704D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a16="http://schemas.microsoft.com/office/drawing/2014/main" id="{1BCC9A2F-862B-F522-A6A2-57C2D3704DB2}"/>
                              </a:ext>
                            </a:extLst>
                          </pic:cNvPr>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3133841"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r>
      <w:tr w:rsidR="00BF17D6" w:rsidRPr="003C6DBD" w14:paraId="283A3B8F" w14:textId="77777777" w:rsidTr="00A31131">
        <w:trPr>
          <w:trHeight w:val="562"/>
        </w:trPr>
        <w:tc>
          <w:tcPr>
            <w:tcW w:w="10512" w:type="dxa"/>
            <w:gridSpan w:val="2"/>
          </w:tcPr>
          <w:p w14:paraId="3532EEC1" w14:textId="77777777" w:rsidR="00BF17D6" w:rsidRDefault="00BF17D6" w:rsidP="00BF17D6">
            <w:pPr>
              <w:pStyle w:val="Caption"/>
              <w:rPr>
                <w:rFonts w:ascii="Times New Roman" w:hAnsi="Times New Roman" w:cs="Times New Roman"/>
                <w:color w:val="0D0D0D" w:themeColor="text1" w:themeTint="F2"/>
                <w:sz w:val="24"/>
                <w:szCs w:val="24"/>
              </w:rPr>
            </w:pPr>
            <w:bookmarkStart w:id="101" w:name="_Toc132974506"/>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noProof/>
                <w:color w:val="0D0D0D" w:themeColor="text1" w:themeTint="F2"/>
                <w:sz w:val="24"/>
                <w:szCs w:val="24"/>
              </w:rPr>
              <w:t>15</w:t>
            </w:r>
            <w:r w:rsidRPr="003C6DBD">
              <w:rPr>
                <w:rFonts w:ascii="Times New Roman" w:hAnsi="Times New Roman" w:cs="Times New Roman"/>
                <w:color w:val="0D0D0D" w:themeColor="text1" w:themeTint="F2"/>
                <w:sz w:val="24"/>
                <w:szCs w:val="24"/>
              </w:rPr>
              <w:fldChar w:fldCharType="end"/>
            </w:r>
            <w:r w:rsidRPr="003C6DBD">
              <w:rPr>
                <w:rFonts w:ascii="Times New Roman" w:hAnsi="Times New Roman" w:cs="Times New Roman"/>
                <w:color w:val="0D0D0D" w:themeColor="text1" w:themeTint="F2"/>
                <w:sz w:val="24"/>
                <w:szCs w:val="24"/>
              </w:rPr>
              <w:t>: Average stock returns of PB, SB, ALL portfolio compared to S&amp;P500 from 2018 to 2021.</w:t>
            </w:r>
            <w:bookmarkEnd w:id="101"/>
          </w:p>
          <w:p w14:paraId="7C035E01" w14:textId="77777777" w:rsidR="00BF17D6" w:rsidRPr="003C6DBD" w:rsidRDefault="00BF17D6" w:rsidP="003117FC">
            <w:pPr>
              <w:spacing w:line="480" w:lineRule="auto"/>
              <w:rPr>
                <w:rFonts w:ascii="Times New Roman" w:hAnsi="Times New Roman" w:cs="Times New Roman"/>
                <w:noProof/>
                <w:color w:val="0D0D0D" w:themeColor="text1" w:themeTint="F2"/>
                <w:sz w:val="24"/>
                <w:szCs w:val="24"/>
              </w:rPr>
            </w:pPr>
          </w:p>
        </w:tc>
      </w:tr>
      <w:tr w:rsidR="00D21393" w:rsidRPr="003C6DBD" w14:paraId="560F07A8" w14:textId="77777777" w:rsidTr="003117FC">
        <w:trPr>
          <w:trHeight w:val="562"/>
        </w:trPr>
        <w:tc>
          <w:tcPr>
            <w:tcW w:w="5256" w:type="dxa"/>
          </w:tcPr>
          <w:p w14:paraId="51F93747" w14:textId="77777777" w:rsidR="00C3000E" w:rsidRPr="003C6DBD" w:rsidRDefault="00C3000E" w:rsidP="003117FC">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noProof/>
                <w:color w:val="0D0D0D" w:themeColor="text1" w:themeTint="F2"/>
                <w:sz w:val="24"/>
                <w:szCs w:val="24"/>
              </w:rPr>
              <w:lastRenderedPageBreak/>
              <w:drawing>
                <wp:inline distT="0" distB="0" distL="0" distR="0" wp14:anchorId="19D65509" wp14:editId="4E88F144">
                  <wp:extent cx="3133841" cy="2286000"/>
                  <wp:effectExtent l="0" t="0" r="9525" b="0"/>
                  <wp:docPr id="38" name="Picture 18">
                    <a:extLst xmlns:a="http://schemas.openxmlformats.org/drawingml/2006/main">
                      <a:ext uri="{FF2B5EF4-FFF2-40B4-BE49-F238E27FC236}">
                        <a16:creationId xmlns:a16="http://schemas.microsoft.com/office/drawing/2014/main" id="{784B2848-B6C7-B2FB-5ACA-0231390525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784B2848-B6C7-B2FB-5ACA-023139052581}"/>
                              </a:ext>
                            </a:extLst>
                          </pic:cNvPr>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3133841" cy="2286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5256" w:type="dxa"/>
          </w:tcPr>
          <w:p w14:paraId="60CA904F" w14:textId="77777777" w:rsidR="00C3000E" w:rsidRPr="003C6DBD" w:rsidRDefault="00C3000E" w:rsidP="00E94FA5">
            <w:pPr>
              <w:keepNext/>
              <w:spacing w:line="480" w:lineRule="auto"/>
              <w:rPr>
                <w:rFonts w:ascii="Times New Roman" w:hAnsi="Times New Roman" w:cs="Times New Roman"/>
                <w:color w:val="0D0D0D" w:themeColor="text1" w:themeTint="F2"/>
                <w:sz w:val="24"/>
                <w:szCs w:val="24"/>
              </w:rPr>
            </w:pPr>
          </w:p>
        </w:tc>
      </w:tr>
    </w:tbl>
    <w:p w14:paraId="49366ABD" w14:textId="3CCA8BDE" w:rsidR="000B4EE3" w:rsidRDefault="00E94FA5" w:rsidP="00FD5228">
      <w:pPr>
        <w:pStyle w:val="Caption"/>
        <w:rPr>
          <w:rFonts w:ascii="Times New Roman" w:hAnsi="Times New Roman" w:cs="Times New Roman"/>
          <w:color w:val="0D0D0D" w:themeColor="text1" w:themeTint="F2"/>
          <w:sz w:val="24"/>
          <w:szCs w:val="24"/>
        </w:rPr>
      </w:pPr>
      <w:bookmarkStart w:id="102" w:name="_Toc132974507"/>
      <w:r w:rsidRPr="003C6DBD">
        <w:rPr>
          <w:rFonts w:ascii="Times New Roman" w:hAnsi="Times New Roman" w:cs="Times New Roman"/>
          <w:color w:val="0D0D0D" w:themeColor="text1" w:themeTint="F2"/>
          <w:sz w:val="24"/>
          <w:szCs w:val="24"/>
        </w:rPr>
        <w:t xml:space="preserve">Figure </w:t>
      </w:r>
      <w:r w:rsidRPr="003C6DBD">
        <w:rPr>
          <w:rFonts w:ascii="Times New Roman" w:hAnsi="Times New Roman" w:cs="Times New Roman"/>
          <w:color w:val="0D0D0D" w:themeColor="text1" w:themeTint="F2"/>
          <w:sz w:val="24"/>
          <w:szCs w:val="24"/>
        </w:rPr>
        <w:fldChar w:fldCharType="begin"/>
      </w:r>
      <w:r w:rsidRPr="003C6DBD">
        <w:rPr>
          <w:rFonts w:ascii="Times New Roman" w:hAnsi="Times New Roman" w:cs="Times New Roman"/>
          <w:color w:val="0D0D0D" w:themeColor="text1" w:themeTint="F2"/>
          <w:sz w:val="24"/>
          <w:szCs w:val="24"/>
        </w:rPr>
        <w:instrText xml:space="preserve"> SEQ Figure \* ARABIC </w:instrText>
      </w:r>
      <w:r w:rsidRPr="003C6DBD">
        <w:rPr>
          <w:rFonts w:ascii="Times New Roman" w:hAnsi="Times New Roman" w:cs="Times New Roman"/>
          <w:color w:val="0D0D0D" w:themeColor="text1" w:themeTint="F2"/>
          <w:sz w:val="24"/>
          <w:szCs w:val="24"/>
        </w:rPr>
        <w:fldChar w:fldCharType="separate"/>
      </w:r>
      <w:r w:rsidRPr="003C6DBD">
        <w:rPr>
          <w:rFonts w:ascii="Times New Roman" w:hAnsi="Times New Roman" w:cs="Times New Roman"/>
          <w:noProof/>
          <w:color w:val="0D0D0D" w:themeColor="text1" w:themeTint="F2"/>
          <w:sz w:val="24"/>
          <w:szCs w:val="24"/>
        </w:rPr>
        <w:t>15</w:t>
      </w:r>
      <w:r w:rsidRPr="003C6DBD">
        <w:rPr>
          <w:rFonts w:ascii="Times New Roman" w:hAnsi="Times New Roman" w:cs="Times New Roman"/>
          <w:color w:val="0D0D0D" w:themeColor="text1" w:themeTint="F2"/>
          <w:sz w:val="24"/>
          <w:szCs w:val="24"/>
        </w:rPr>
        <w:fldChar w:fldCharType="end"/>
      </w:r>
      <w:r w:rsidR="00BF17D6">
        <w:rPr>
          <w:rFonts w:ascii="Times New Roman" w:hAnsi="Times New Roman" w:cs="Times New Roman"/>
          <w:color w:val="0D0D0D" w:themeColor="text1" w:themeTint="F2"/>
          <w:sz w:val="24"/>
          <w:szCs w:val="24"/>
        </w:rPr>
        <w:t xml:space="preserve"> continued</w:t>
      </w:r>
      <w:r w:rsidRPr="003C6DBD">
        <w:rPr>
          <w:rFonts w:ascii="Times New Roman" w:hAnsi="Times New Roman" w:cs="Times New Roman"/>
          <w:color w:val="0D0D0D" w:themeColor="text1" w:themeTint="F2"/>
          <w:sz w:val="24"/>
          <w:szCs w:val="24"/>
        </w:rPr>
        <w:t>.</w:t>
      </w:r>
      <w:bookmarkEnd w:id="102"/>
    </w:p>
    <w:p w14:paraId="7A79CFC1" w14:textId="77777777" w:rsidR="002437D0" w:rsidRDefault="002437D0" w:rsidP="002437D0"/>
    <w:p w14:paraId="44C0EB86" w14:textId="77777777" w:rsidR="002437D0" w:rsidRDefault="002437D0" w:rsidP="002437D0">
      <w:pPr>
        <w:sectPr w:rsidR="002437D0" w:rsidSect="002437D0">
          <w:pgSz w:w="15840" w:h="12240" w:orient="landscape"/>
          <w:pgMar w:top="1440" w:right="1440" w:bottom="1440" w:left="1440" w:header="720" w:footer="720" w:gutter="0"/>
          <w:cols w:space="720"/>
          <w:docGrid w:linePitch="360"/>
        </w:sectPr>
      </w:pPr>
    </w:p>
    <w:p w14:paraId="43D28E53" w14:textId="77777777" w:rsidR="002437D0" w:rsidRPr="002437D0" w:rsidRDefault="002437D0" w:rsidP="002437D0"/>
    <w:p w14:paraId="76DCEDA7" w14:textId="715A7D5C" w:rsidR="000B4EE3" w:rsidRPr="003C6DBD" w:rsidRDefault="000B4EE3" w:rsidP="00314359">
      <w:pPr>
        <w:pStyle w:val="Heading1"/>
        <w:spacing w:line="480" w:lineRule="auto"/>
        <w:rPr>
          <w:rFonts w:cs="Times New Roman"/>
          <w:color w:val="0D0D0D" w:themeColor="text1" w:themeTint="F2"/>
          <w:szCs w:val="24"/>
        </w:rPr>
      </w:pPr>
      <w:bookmarkStart w:id="103" w:name="_Toc132761856"/>
      <w:r w:rsidRPr="003C6DBD">
        <w:rPr>
          <w:rFonts w:cs="Times New Roman"/>
          <w:color w:val="0D0D0D" w:themeColor="text1" w:themeTint="F2"/>
          <w:szCs w:val="24"/>
        </w:rPr>
        <w:t>VITA</w:t>
      </w:r>
      <w:bookmarkEnd w:id="103"/>
    </w:p>
    <w:p w14:paraId="37882583" w14:textId="6A555EB5" w:rsidR="000B4EE3" w:rsidRPr="003C6DBD" w:rsidRDefault="000B4EE3" w:rsidP="00314359">
      <w:pPr>
        <w:spacing w:line="480" w:lineRule="auto"/>
        <w:rPr>
          <w:rFonts w:ascii="Times New Roman" w:hAnsi="Times New Roman" w:cs="Times New Roman"/>
          <w:color w:val="0D0D0D" w:themeColor="text1" w:themeTint="F2"/>
          <w:sz w:val="24"/>
          <w:szCs w:val="24"/>
        </w:rPr>
      </w:pPr>
      <w:r w:rsidRPr="003C6DBD">
        <w:rPr>
          <w:rFonts w:ascii="Times New Roman" w:hAnsi="Times New Roman" w:cs="Times New Roman"/>
          <w:color w:val="0D0D0D" w:themeColor="text1" w:themeTint="F2"/>
          <w:sz w:val="24"/>
          <w:szCs w:val="24"/>
        </w:rPr>
        <w:tab/>
      </w:r>
      <w:r w:rsidR="007D5E39" w:rsidRPr="003C6DBD">
        <w:rPr>
          <w:rFonts w:ascii="Times New Roman" w:hAnsi="Times New Roman" w:cs="Times New Roman"/>
          <w:color w:val="0D0D0D" w:themeColor="text1" w:themeTint="F2"/>
          <w:sz w:val="24"/>
          <w:szCs w:val="24"/>
        </w:rPr>
        <w:t xml:space="preserve">Bishal Bista </w:t>
      </w:r>
      <w:r w:rsidR="006553F5" w:rsidRPr="003C6DBD">
        <w:rPr>
          <w:rFonts w:ascii="Times New Roman" w:hAnsi="Times New Roman" w:cs="Times New Roman"/>
          <w:color w:val="0D0D0D" w:themeColor="text1" w:themeTint="F2"/>
          <w:sz w:val="24"/>
          <w:szCs w:val="24"/>
        </w:rPr>
        <w:t xml:space="preserve">is a master’s candidate at the University of Tennessee, Knoxville. He </w:t>
      </w:r>
      <w:r w:rsidR="007D5E39" w:rsidRPr="003C6DBD">
        <w:rPr>
          <w:rFonts w:ascii="Times New Roman" w:hAnsi="Times New Roman" w:cs="Times New Roman"/>
          <w:color w:val="0D0D0D" w:themeColor="text1" w:themeTint="F2"/>
          <w:sz w:val="24"/>
          <w:szCs w:val="24"/>
        </w:rPr>
        <w:t>w</w:t>
      </w:r>
      <w:r w:rsidR="00314359" w:rsidRPr="003C6DBD">
        <w:rPr>
          <w:rFonts w:ascii="Times New Roman" w:hAnsi="Times New Roman" w:cs="Times New Roman"/>
          <w:color w:val="0D0D0D" w:themeColor="text1" w:themeTint="F2"/>
          <w:sz w:val="24"/>
          <w:szCs w:val="24"/>
        </w:rPr>
        <w:t xml:space="preserve">as born in </w:t>
      </w:r>
      <w:proofErr w:type="spellStart"/>
      <w:r w:rsidR="00314359" w:rsidRPr="003C6DBD">
        <w:rPr>
          <w:rFonts w:ascii="Times New Roman" w:hAnsi="Times New Roman" w:cs="Times New Roman"/>
          <w:color w:val="0D0D0D" w:themeColor="text1" w:themeTint="F2"/>
          <w:sz w:val="24"/>
          <w:szCs w:val="24"/>
        </w:rPr>
        <w:t>Dailekh</w:t>
      </w:r>
      <w:proofErr w:type="spellEnd"/>
      <w:r w:rsidR="00314359" w:rsidRPr="003C6DBD">
        <w:rPr>
          <w:rFonts w:ascii="Times New Roman" w:hAnsi="Times New Roman" w:cs="Times New Roman"/>
          <w:color w:val="0D0D0D" w:themeColor="text1" w:themeTint="F2"/>
          <w:sz w:val="24"/>
          <w:szCs w:val="24"/>
        </w:rPr>
        <w:t>, Nepal, on July 14</w:t>
      </w:r>
      <w:r w:rsidR="00314359" w:rsidRPr="003C6DBD">
        <w:rPr>
          <w:rFonts w:ascii="Times New Roman" w:hAnsi="Times New Roman" w:cs="Times New Roman"/>
          <w:color w:val="0D0D0D" w:themeColor="text1" w:themeTint="F2"/>
          <w:sz w:val="24"/>
          <w:szCs w:val="24"/>
          <w:vertAlign w:val="superscript"/>
        </w:rPr>
        <w:t>th</w:t>
      </w:r>
      <w:r w:rsidR="00314359" w:rsidRPr="003C6DBD">
        <w:rPr>
          <w:rFonts w:ascii="Times New Roman" w:hAnsi="Times New Roman" w:cs="Times New Roman"/>
          <w:color w:val="0D0D0D" w:themeColor="text1" w:themeTint="F2"/>
          <w:sz w:val="24"/>
          <w:szCs w:val="24"/>
        </w:rPr>
        <w:t xml:space="preserve">, 1998. He has a Bachelor of Science in Agriculture from Agriculture and Forestry University, Nepal. </w:t>
      </w:r>
      <w:r w:rsidR="006553F5" w:rsidRPr="003C6DBD">
        <w:rPr>
          <w:rFonts w:ascii="Times New Roman" w:hAnsi="Times New Roman" w:cs="Times New Roman"/>
          <w:color w:val="0D0D0D" w:themeColor="text1" w:themeTint="F2"/>
          <w:sz w:val="24"/>
          <w:szCs w:val="24"/>
        </w:rPr>
        <w:t xml:space="preserve">After being motivated by his advisor and friends, he decided to pursue graduate school. </w:t>
      </w:r>
      <w:r w:rsidR="00314359" w:rsidRPr="003C6DBD">
        <w:rPr>
          <w:rFonts w:ascii="Times New Roman" w:hAnsi="Times New Roman" w:cs="Times New Roman"/>
          <w:color w:val="0D0D0D" w:themeColor="text1" w:themeTint="F2"/>
          <w:sz w:val="24"/>
          <w:szCs w:val="24"/>
        </w:rPr>
        <w:t xml:space="preserve">He was admitted as a graduate research assistant in the Department of Agricultural and Resource Economics in the University of Tennessee, Knoxville. </w:t>
      </w:r>
      <w:r w:rsidR="006553F5" w:rsidRPr="003C6DBD">
        <w:rPr>
          <w:rFonts w:ascii="Times New Roman" w:hAnsi="Times New Roman" w:cs="Times New Roman"/>
          <w:color w:val="0D0D0D" w:themeColor="text1" w:themeTint="F2"/>
          <w:sz w:val="24"/>
          <w:szCs w:val="24"/>
        </w:rPr>
        <w:t xml:space="preserve">His research </w:t>
      </w:r>
      <w:r w:rsidR="00224A7B" w:rsidRPr="003C6DBD">
        <w:rPr>
          <w:rFonts w:ascii="Times New Roman" w:hAnsi="Times New Roman" w:cs="Times New Roman"/>
          <w:color w:val="0D0D0D" w:themeColor="text1" w:themeTint="F2"/>
          <w:sz w:val="24"/>
          <w:szCs w:val="24"/>
        </w:rPr>
        <w:t>interests include</w:t>
      </w:r>
      <w:r w:rsidR="006553F5" w:rsidRPr="003C6DBD">
        <w:rPr>
          <w:rFonts w:ascii="Times New Roman" w:hAnsi="Times New Roman" w:cs="Times New Roman"/>
          <w:color w:val="0D0D0D" w:themeColor="text1" w:themeTint="F2"/>
          <w:sz w:val="24"/>
          <w:szCs w:val="24"/>
        </w:rPr>
        <w:t xml:space="preserve"> agribusiness finance, renewable fuels, and agribusiness management. </w:t>
      </w:r>
      <w:r w:rsidR="00314359" w:rsidRPr="003C6DBD">
        <w:rPr>
          <w:rFonts w:ascii="Times New Roman" w:hAnsi="Times New Roman" w:cs="Times New Roman"/>
          <w:color w:val="0D0D0D" w:themeColor="text1" w:themeTint="F2"/>
          <w:sz w:val="24"/>
          <w:szCs w:val="24"/>
        </w:rPr>
        <w:t>He fulfilled his course requirements with A’s in all the coursework and he is expected to graduate on May of 2023.</w:t>
      </w:r>
      <w:r w:rsidR="006553F5" w:rsidRPr="003C6DBD">
        <w:rPr>
          <w:rFonts w:ascii="Times New Roman" w:hAnsi="Times New Roman" w:cs="Times New Roman"/>
          <w:color w:val="0D0D0D" w:themeColor="text1" w:themeTint="F2"/>
          <w:sz w:val="24"/>
          <w:szCs w:val="24"/>
        </w:rPr>
        <w:t xml:space="preserve"> </w:t>
      </w:r>
    </w:p>
    <w:p w14:paraId="314DBB77" w14:textId="5ACFB393" w:rsidR="00314359" w:rsidRPr="003C6DBD" w:rsidRDefault="00314359" w:rsidP="000B4EE3">
      <w:pPr>
        <w:jc w:val="center"/>
        <w:rPr>
          <w:rFonts w:ascii="Times New Roman" w:hAnsi="Times New Roman" w:cs="Times New Roman"/>
          <w:color w:val="0D0D0D" w:themeColor="text1" w:themeTint="F2"/>
          <w:sz w:val="24"/>
          <w:szCs w:val="24"/>
        </w:rPr>
      </w:pPr>
    </w:p>
    <w:sectPr w:rsidR="00314359" w:rsidRPr="003C6DBD" w:rsidSect="002437D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78FE9" w14:textId="77777777" w:rsidR="00375219" w:rsidRDefault="00375219">
      <w:pPr>
        <w:spacing w:after="0" w:line="240" w:lineRule="auto"/>
      </w:pPr>
      <w:r>
        <w:separator/>
      </w:r>
    </w:p>
  </w:endnote>
  <w:endnote w:type="continuationSeparator" w:id="0">
    <w:p w14:paraId="363173D3" w14:textId="77777777" w:rsidR="00375219" w:rsidRDefault="00375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w Cen MT">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Berling Roman">
    <w:altName w:val="Cambria"/>
    <w:panose1 w:val="00000000000000000000"/>
    <w:charset w:val="00"/>
    <w:family w:val="roman"/>
    <w:notTrueType/>
    <w:pitch w:val="default"/>
    <w:sig w:usb0="00000003" w:usb1="00000000" w:usb2="00000000" w:usb3="00000000" w:csb0="00000001" w:csb1="00000000"/>
  </w:font>
  <w:font w:name="Kokila">
    <w:charset w:val="00"/>
    <w:family w:val="swiss"/>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4075356"/>
      <w:docPartObj>
        <w:docPartGallery w:val="Page Numbers (Bottom of Page)"/>
        <w:docPartUnique/>
      </w:docPartObj>
    </w:sdtPr>
    <w:sdtEndPr>
      <w:rPr>
        <w:rFonts w:ascii="Times New Roman" w:hAnsi="Times New Roman" w:cs="Times New Roman"/>
        <w:noProof/>
        <w:sz w:val="24"/>
        <w:szCs w:val="24"/>
      </w:rPr>
    </w:sdtEndPr>
    <w:sdtContent>
      <w:p w14:paraId="032CE43A" w14:textId="780271AC" w:rsidR="003C6DBD" w:rsidRPr="003C6DBD" w:rsidRDefault="003C6DBD">
        <w:pPr>
          <w:pStyle w:val="Footer"/>
          <w:jc w:val="right"/>
          <w:rPr>
            <w:rFonts w:ascii="Times New Roman" w:hAnsi="Times New Roman" w:cs="Times New Roman"/>
            <w:sz w:val="24"/>
            <w:szCs w:val="24"/>
          </w:rPr>
        </w:pPr>
        <w:r w:rsidRPr="003C6DBD">
          <w:rPr>
            <w:rFonts w:ascii="Times New Roman" w:hAnsi="Times New Roman" w:cs="Times New Roman"/>
            <w:sz w:val="24"/>
            <w:szCs w:val="24"/>
          </w:rPr>
          <w:fldChar w:fldCharType="begin"/>
        </w:r>
        <w:r w:rsidRPr="003C6DBD">
          <w:rPr>
            <w:rFonts w:ascii="Times New Roman" w:hAnsi="Times New Roman" w:cs="Times New Roman"/>
            <w:sz w:val="24"/>
            <w:szCs w:val="24"/>
          </w:rPr>
          <w:instrText xml:space="preserve"> PAGE   \* MERGEFORMAT </w:instrText>
        </w:r>
        <w:r w:rsidRPr="003C6DBD">
          <w:rPr>
            <w:rFonts w:ascii="Times New Roman" w:hAnsi="Times New Roman" w:cs="Times New Roman"/>
            <w:sz w:val="24"/>
            <w:szCs w:val="24"/>
          </w:rPr>
          <w:fldChar w:fldCharType="separate"/>
        </w:r>
        <w:r w:rsidRPr="003C6DBD">
          <w:rPr>
            <w:rFonts w:ascii="Times New Roman" w:hAnsi="Times New Roman" w:cs="Times New Roman"/>
            <w:noProof/>
            <w:sz w:val="24"/>
            <w:szCs w:val="24"/>
          </w:rPr>
          <w:t>2</w:t>
        </w:r>
        <w:r w:rsidRPr="003C6DBD">
          <w:rPr>
            <w:rFonts w:ascii="Times New Roman" w:hAnsi="Times New Roman" w:cs="Times New Roman"/>
            <w:noProof/>
            <w:sz w:val="24"/>
            <w:szCs w:val="24"/>
          </w:rPr>
          <w:fldChar w:fldCharType="end"/>
        </w:r>
      </w:p>
    </w:sdtContent>
  </w:sdt>
  <w:p w14:paraId="5F6A4C7D" w14:textId="77777777" w:rsidR="00B1460F" w:rsidRDefault="00B146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958A7" w14:textId="77777777" w:rsidR="00375219" w:rsidRDefault="00375219" w:rsidP="003069F9">
      <w:pPr>
        <w:spacing w:after="0" w:line="240" w:lineRule="auto"/>
      </w:pPr>
      <w:r>
        <w:separator/>
      </w:r>
    </w:p>
  </w:footnote>
  <w:footnote w:type="continuationSeparator" w:id="0">
    <w:p w14:paraId="5E90EA41" w14:textId="77777777" w:rsidR="00375219" w:rsidRDefault="00375219" w:rsidP="003069F9">
      <w:pPr>
        <w:spacing w:after="0" w:line="240" w:lineRule="auto"/>
      </w:pPr>
      <w:r>
        <w:continuationSeparator/>
      </w:r>
    </w:p>
  </w:footnote>
  <w:footnote w:id="1">
    <w:p w14:paraId="3AB4A18B" w14:textId="77777777" w:rsidR="007514BC" w:rsidRPr="00ED708E" w:rsidRDefault="007514BC" w:rsidP="007514BC">
      <w:pPr>
        <w:pStyle w:val="FootnoteText"/>
        <w:rPr>
          <w:rFonts w:ascii="Times New Roman" w:hAnsi="Times New Roman" w:cs="Times New Roman"/>
          <w:sz w:val="24"/>
          <w:szCs w:val="24"/>
        </w:rPr>
      </w:pPr>
      <w:r w:rsidRPr="00ED708E">
        <w:rPr>
          <w:rStyle w:val="FootnoteReference"/>
          <w:rFonts w:ascii="Times New Roman" w:hAnsi="Times New Roman" w:cs="Times New Roman"/>
          <w:sz w:val="24"/>
          <w:szCs w:val="24"/>
        </w:rPr>
        <w:footnoteRef/>
      </w:r>
      <w:r w:rsidRPr="00ED708E">
        <w:rPr>
          <w:rFonts w:ascii="Times New Roman" w:hAnsi="Times New Roman" w:cs="Times New Roman"/>
          <w:sz w:val="24"/>
          <w:szCs w:val="24"/>
        </w:rPr>
        <w:t xml:space="preserve"> Million gallons per year</w:t>
      </w:r>
    </w:p>
  </w:footnote>
  <w:footnote w:id="2">
    <w:p w14:paraId="7ACB84B0" w14:textId="5B5B351F" w:rsidR="00F02DF9" w:rsidRPr="003E53BA" w:rsidRDefault="00F02DF9" w:rsidP="00F02DF9">
      <w:pPr>
        <w:pStyle w:val="FootnoteText"/>
        <w:rPr>
          <w:rFonts w:ascii="Times New Roman" w:hAnsi="Times New Roman" w:cs="Times New Roman"/>
          <w:color w:val="111111"/>
          <w:spacing w:val="1"/>
          <w:sz w:val="24"/>
          <w:szCs w:val="24"/>
          <w:shd w:val="clear" w:color="auto" w:fill="FFFFFF"/>
        </w:rPr>
      </w:pPr>
      <w:r w:rsidRPr="002778BB">
        <w:rPr>
          <w:rStyle w:val="FootnoteReference"/>
          <w:rFonts w:ascii="Times New Roman" w:hAnsi="Times New Roman" w:cs="Times New Roman"/>
          <w:sz w:val="24"/>
          <w:szCs w:val="24"/>
        </w:rPr>
        <w:footnoteRef/>
      </w:r>
      <w:r w:rsidRPr="002778BB">
        <w:rPr>
          <w:rFonts w:ascii="Times New Roman" w:hAnsi="Times New Roman" w:cs="Times New Roman"/>
          <w:sz w:val="24"/>
          <w:szCs w:val="24"/>
        </w:rPr>
        <w:t xml:space="preserve"> </w:t>
      </w:r>
      <w:r w:rsidRPr="003E53BA">
        <w:rPr>
          <w:rFonts w:ascii="Times New Roman" w:hAnsi="Times New Roman" w:cs="Times New Roman"/>
          <w:sz w:val="24"/>
          <w:szCs w:val="24"/>
        </w:rPr>
        <w:t xml:space="preserve">Macro-economic conditions are those </w:t>
      </w:r>
      <w:r w:rsidRPr="003E53BA">
        <w:rPr>
          <w:rFonts w:ascii="Times New Roman" w:hAnsi="Times New Roman" w:cs="Times New Roman"/>
          <w:color w:val="111111"/>
          <w:spacing w:val="1"/>
          <w:sz w:val="24"/>
          <w:szCs w:val="24"/>
          <w:shd w:val="clear" w:color="auto" w:fill="FFFFFF"/>
        </w:rPr>
        <w:t>influential events that do not limit themselves to small scope but rather broadly affect a regional or national economy</w:t>
      </w:r>
      <w:r w:rsidR="00150C48" w:rsidRPr="003E53BA">
        <w:rPr>
          <w:rFonts w:ascii="Times New Roman" w:hAnsi="Times New Roman" w:cs="Times New Roman"/>
          <w:color w:val="111111"/>
          <w:spacing w:val="1"/>
          <w:sz w:val="24"/>
          <w:szCs w:val="24"/>
          <w:shd w:val="clear" w:color="auto" w:fill="FFFFFF"/>
        </w:rPr>
        <w:t>.</w:t>
      </w:r>
    </w:p>
  </w:footnote>
  <w:footnote w:id="3">
    <w:p w14:paraId="646C6FD0" w14:textId="77777777" w:rsidR="00FB7608" w:rsidRPr="007C2B8F" w:rsidRDefault="00FB7608" w:rsidP="00FB7608">
      <w:pPr>
        <w:pStyle w:val="FootnoteText"/>
        <w:rPr>
          <w:rFonts w:ascii="Times New Roman" w:hAnsi="Times New Roman" w:cs="Times New Roman"/>
          <w:sz w:val="24"/>
          <w:szCs w:val="24"/>
        </w:rPr>
      </w:pPr>
      <w:r w:rsidRPr="007C2B8F">
        <w:rPr>
          <w:rStyle w:val="FootnoteReference"/>
          <w:rFonts w:ascii="Times New Roman" w:hAnsi="Times New Roman" w:cs="Times New Roman"/>
          <w:sz w:val="24"/>
          <w:szCs w:val="24"/>
        </w:rPr>
        <w:footnoteRef/>
      </w:r>
      <w:r w:rsidRPr="007C2B8F">
        <w:rPr>
          <w:rFonts w:ascii="Times New Roman" w:hAnsi="Times New Roman" w:cs="Times New Roman"/>
          <w:sz w:val="24"/>
          <w:szCs w:val="24"/>
        </w:rPr>
        <w:t xml:space="preserve"> EBITDA margin is the earnings generated by the company before interest, taxes, depreciation, and amortization divided by the revenue.</w:t>
      </w:r>
    </w:p>
    <w:p w14:paraId="2F0A6571" w14:textId="77777777" w:rsidR="00FB7608" w:rsidRPr="007C2B8F" w:rsidRDefault="00FB7608" w:rsidP="00FB7608">
      <w:pPr>
        <w:pStyle w:val="FootnoteText"/>
        <w:rPr>
          <w:rFonts w:ascii="Times New Roman" w:hAnsi="Times New Roman" w:cs="Times New Roman"/>
          <w:sz w:val="24"/>
          <w:szCs w:val="24"/>
        </w:rPr>
      </w:pPr>
    </w:p>
  </w:footnote>
  <w:footnote w:id="4">
    <w:p w14:paraId="3CE26296" w14:textId="77777777" w:rsidR="00FB7608" w:rsidRDefault="00FB7608" w:rsidP="00FB7608">
      <w:pPr>
        <w:pStyle w:val="FootnoteText"/>
      </w:pPr>
      <w:r w:rsidRPr="007C2B8F">
        <w:rPr>
          <w:rStyle w:val="FootnoteReference"/>
          <w:rFonts w:ascii="Times New Roman" w:hAnsi="Times New Roman" w:cs="Times New Roman"/>
          <w:sz w:val="24"/>
          <w:szCs w:val="24"/>
        </w:rPr>
        <w:footnoteRef/>
      </w:r>
      <w:r w:rsidRPr="007C2B8F">
        <w:rPr>
          <w:rFonts w:ascii="Times New Roman" w:hAnsi="Times New Roman" w:cs="Times New Roman"/>
          <w:sz w:val="24"/>
          <w:szCs w:val="24"/>
        </w:rPr>
        <w:t xml:space="preserve"> EBIT is the earnings generated by the company before interest, taxes.</w:t>
      </w:r>
    </w:p>
  </w:footnote>
  <w:footnote w:id="5">
    <w:p w14:paraId="0248B17E" w14:textId="77777777" w:rsidR="00BB12EE" w:rsidRPr="00D21393" w:rsidRDefault="00BB12EE" w:rsidP="00BB12EE">
      <w:pPr>
        <w:pStyle w:val="FootnoteText"/>
        <w:rPr>
          <w:rFonts w:ascii="Times New Roman" w:hAnsi="Times New Roman" w:cs="Times New Roman"/>
          <w:sz w:val="24"/>
          <w:szCs w:val="24"/>
        </w:rPr>
      </w:pPr>
      <w:r w:rsidRPr="00D21393">
        <w:rPr>
          <w:rStyle w:val="FootnoteReference"/>
          <w:rFonts w:ascii="Times New Roman" w:hAnsi="Times New Roman" w:cs="Times New Roman"/>
          <w:sz w:val="24"/>
          <w:szCs w:val="24"/>
        </w:rPr>
        <w:footnoteRef/>
      </w:r>
      <w:r w:rsidRPr="00D21393">
        <w:rPr>
          <w:rFonts w:ascii="Times New Roman" w:hAnsi="Times New Roman" w:cs="Times New Roman"/>
          <w:sz w:val="24"/>
          <w:szCs w:val="24"/>
        </w:rPr>
        <w:t xml:space="preserve"> NAICS code is a six-digit code to categorize comparable industries.</w:t>
      </w:r>
    </w:p>
  </w:footnote>
  <w:footnote w:id="6">
    <w:p w14:paraId="39CDF01D" w14:textId="77777777" w:rsidR="00BB12EE" w:rsidRPr="00510DBC" w:rsidRDefault="00BB12EE" w:rsidP="00BB12EE">
      <w:pPr>
        <w:pStyle w:val="FootnoteText"/>
        <w:rPr>
          <w:rFonts w:ascii="Times New Roman" w:hAnsi="Times New Roman" w:cs="Times New Roman"/>
          <w:sz w:val="24"/>
          <w:szCs w:val="24"/>
        </w:rPr>
      </w:pPr>
      <w:r w:rsidRPr="00510DBC">
        <w:rPr>
          <w:rStyle w:val="FootnoteReference"/>
          <w:rFonts w:ascii="Times New Roman" w:hAnsi="Times New Roman" w:cs="Times New Roman"/>
          <w:sz w:val="24"/>
          <w:szCs w:val="24"/>
        </w:rPr>
        <w:footnoteRef/>
      </w:r>
      <w:r w:rsidRPr="00510DBC">
        <w:rPr>
          <w:rFonts w:ascii="Times New Roman" w:hAnsi="Times New Roman" w:cs="Times New Roman"/>
          <w:sz w:val="24"/>
          <w:szCs w:val="24"/>
        </w:rPr>
        <w:t xml:space="preserve"> A company </w:t>
      </w:r>
      <w:r w:rsidRPr="00510DBC">
        <w:rPr>
          <w:rFonts w:ascii="Times New Roman" w:hAnsi="Times New Roman" w:cs="Times New Roman"/>
          <w:sz w:val="24"/>
          <w:szCs w:val="24"/>
        </w:rPr>
        <w:t xml:space="preserve">tearsheet is a general summary of the business description of a company in Standard and Poor's Capital IQ. It was accessed through the University of Tennessee-Knoxville, library services. </w:t>
      </w:r>
    </w:p>
  </w:footnote>
  <w:footnote w:id="7">
    <w:p w14:paraId="2C814B00" w14:textId="77777777" w:rsidR="00BB12EE" w:rsidRDefault="00BB12EE" w:rsidP="00BB12EE">
      <w:pPr>
        <w:pStyle w:val="FootnoteText"/>
      </w:pPr>
      <w:r w:rsidRPr="00510DBC">
        <w:rPr>
          <w:rStyle w:val="FootnoteReference"/>
          <w:rFonts w:ascii="Times New Roman" w:hAnsi="Times New Roman" w:cs="Times New Roman"/>
          <w:sz w:val="24"/>
          <w:szCs w:val="24"/>
        </w:rPr>
        <w:footnoteRef/>
      </w:r>
      <w:r w:rsidRPr="00510DBC">
        <w:rPr>
          <w:rFonts w:ascii="Times New Roman" w:hAnsi="Times New Roman" w:cs="Times New Roman"/>
          <w:sz w:val="24"/>
          <w:szCs w:val="24"/>
        </w:rPr>
        <w:t xml:space="preserve"> The annual (10-K) and quarterly reports (10-Q) were obtained from the S&amp;P Capital IQ database (UT Library) under News, Events, and Filing section.</w:t>
      </w:r>
    </w:p>
  </w:footnote>
  <w:footnote w:id="8">
    <w:p w14:paraId="6042EE79" w14:textId="3BE1A615" w:rsidR="00615AEF" w:rsidRPr="00AF6B27" w:rsidRDefault="00615AEF">
      <w:pPr>
        <w:pStyle w:val="FootnoteText"/>
        <w:rPr>
          <w:rFonts w:ascii="Times New Roman" w:hAnsi="Times New Roman" w:cs="Times New Roman"/>
          <w:sz w:val="24"/>
          <w:szCs w:val="24"/>
        </w:rPr>
      </w:pPr>
      <w:r w:rsidRPr="00AF6B27">
        <w:rPr>
          <w:rStyle w:val="FootnoteReference"/>
          <w:rFonts w:ascii="Times New Roman" w:hAnsi="Times New Roman" w:cs="Times New Roman"/>
          <w:sz w:val="24"/>
          <w:szCs w:val="24"/>
        </w:rPr>
        <w:footnoteRef/>
      </w:r>
      <w:r w:rsidRPr="00AF6B27">
        <w:rPr>
          <w:rFonts w:ascii="Times New Roman" w:hAnsi="Times New Roman" w:cs="Times New Roman"/>
          <w:sz w:val="24"/>
          <w:szCs w:val="24"/>
        </w:rPr>
        <w:t xml:space="preserve"> </w:t>
      </w:r>
      <w:r w:rsidRPr="00AF6B27">
        <w:rPr>
          <w:rFonts w:ascii="Times New Roman" w:eastAsia="Times New Roman" w:hAnsi="Times New Roman" w:cs="Times New Roman"/>
          <w:color w:val="000000"/>
          <w:sz w:val="24"/>
          <w:szCs w:val="24"/>
        </w:rPr>
        <w:t xml:space="preserve">Adecoagro S.A., </w:t>
      </w:r>
      <w:r w:rsidRPr="00AF6B27">
        <w:rPr>
          <w:rFonts w:ascii="Times New Roman" w:eastAsia="Times New Roman" w:hAnsi="Times New Roman" w:cs="Times New Roman"/>
          <w:sz w:val="24"/>
          <w:szCs w:val="24"/>
        </w:rPr>
        <w:t xml:space="preserve">Aemetis Inc., </w:t>
      </w:r>
      <w:r w:rsidRPr="00AF6B27">
        <w:rPr>
          <w:rFonts w:ascii="Times New Roman" w:eastAsia="Times New Roman" w:hAnsi="Times New Roman" w:cs="Times New Roman"/>
          <w:color w:val="000000"/>
          <w:sz w:val="24"/>
          <w:szCs w:val="24"/>
        </w:rPr>
        <w:t>Alto Ingredients Inc., Archer-Daniels-Midland Company, Bunge Limited, Cardinal Ethanol LLC, Clean Energy Fuels Corp., Darling Ingredients Inc., Delek US Holdings Inc., Ecopetrol S.A., FutureFuel Corp., Gevo Inc., Granite Falls Energy LLC, Green Plains Inc., Green Plains Partners LP, Petróleo Brasileiro S.A. – Petrobras, Red Trail Energy LLC, Renewable Energy Group Inc., REX American Resources Corporation, Royal Dutch Shell plc, The Andersons Inc., Valero Energy Corporation.</w:t>
      </w:r>
    </w:p>
  </w:footnote>
  <w:footnote w:id="9">
    <w:p w14:paraId="238F4306" w14:textId="1B5A372E" w:rsidR="002D4A21" w:rsidRPr="00D42B13" w:rsidRDefault="002D4A21" w:rsidP="002D4A21">
      <w:pPr>
        <w:pStyle w:val="FootnoteText"/>
        <w:rPr>
          <w:rFonts w:ascii="Times New Roman" w:hAnsi="Times New Roman" w:cs="Times New Roman"/>
          <w:sz w:val="24"/>
          <w:szCs w:val="24"/>
        </w:rPr>
      </w:pPr>
      <w:r w:rsidRPr="00D42B13">
        <w:rPr>
          <w:rStyle w:val="FootnoteReference"/>
          <w:rFonts w:ascii="Times New Roman" w:hAnsi="Times New Roman" w:cs="Times New Roman"/>
          <w:sz w:val="24"/>
          <w:szCs w:val="24"/>
        </w:rPr>
        <w:footnoteRef/>
      </w:r>
      <w:r w:rsidRPr="00D42B13">
        <w:rPr>
          <w:rFonts w:ascii="Times New Roman" w:hAnsi="Times New Roman" w:cs="Times New Roman"/>
          <w:sz w:val="24"/>
          <w:szCs w:val="24"/>
        </w:rPr>
        <w:t xml:space="preserve"> Google finance and google sheet were used as a tool to retrieve the stock prices of the biofuel companies – </w:t>
      </w:r>
      <w:r w:rsidRPr="00D42B13">
        <w:rPr>
          <w:rFonts w:ascii="Times New Roman" w:hAnsi="Times New Roman" w:cs="Times New Roman"/>
          <w:sz w:val="24"/>
          <w:szCs w:val="24"/>
        </w:rPr>
        <w:t>Ecopetrol, Shell plc, and Verbio. The function used to retrieve the stock price was (=GOOGLEFINANCE(Ticker, “close”,  “date”)</w:t>
      </w:r>
      <w:r w:rsidR="005C1AE3" w:rsidRPr="00D42B13">
        <w:rPr>
          <w:rFonts w:ascii="Times New Roman" w:hAnsi="Times New Roman" w:cs="Times New Roman"/>
          <w:sz w:val="24"/>
          <w:szCs w:val="24"/>
        </w:rPr>
        <w:t xml:space="preserve"> in a google spreadsheet</w:t>
      </w:r>
      <w:r w:rsidRPr="00D42B13">
        <w:rPr>
          <w:rFonts w:ascii="Times New Roman" w:hAnsi="Times New Roman" w:cs="Times New Roman"/>
          <w:sz w:val="24"/>
          <w:szCs w:val="24"/>
        </w:rPr>
        <w:t>.</w:t>
      </w:r>
    </w:p>
  </w:footnote>
  <w:footnote w:id="10">
    <w:p w14:paraId="4A0B03E9" w14:textId="77777777" w:rsidR="002D4A21" w:rsidRPr="00D42B13" w:rsidRDefault="002D4A21" w:rsidP="002D4A21">
      <w:pPr>
        <w:pStyle w:val="FootnoteText"/>
        <w:rPr>
          <w:rFonts w:ascii="Times New Roman" w:hAnsi="Times New Roman" w:cs="Times New Roman"/>
          <w:sz w:val="24"/>
          <w:szCs w:val="24"/>
        </w:rPr>
      </w:pPr>
      <w:r w:rsidRPr="00D42B13">
        <w:rPr>
          <w:rStyle w:val="FootnoteReference"/>
          <w:rFonts w:ascii="Times New Roman" w:hAnsi="Times New Roman" w:cs="Times New Roman"/>
          <w:sz w:val="24"/>
          <w:szCs w:val="24"/>
        </w:rPr>
        <w:footnoteRef/>
      </w:r>
      <w:r w:rsidRPr="00D42B13">
        <w:rPr>
          <w:rFonts w:ascii="Times New Roman" w:hAnsi="Times New Roman" w:cs="Times New Roman"/>
          <w:sz w:val="24"/>
          <w:szCs w:val="24"/>
        </w:rPr>
        <w:t xml:space="preserve"> The business section of the annual report describes the major products and services of the company. The qualitative assessment involved analyzing this section carefully and classifying the company as primarily biofuel, or others. </w:t>
      </w:r>
    </w:p>
  </w:footnote>
  <w:footnote w:id="11">
    <w:p w14:paraId="32364889" w14:textId="0E1ABB0D" w:rsidR="003A0C22" w:rsidRPr="003A0C22" w:rsidRDefault="003A0C22">
      <w:pPr>
        <w:pStyle w:val="FootnoteText"/>
        <w:rPr>
          <w:rFonts w:ascii="Times New Roman" w:hAnsi="Times New Roman" w:cs="Times New Roman"/>
          <w:sz w:val="24"/>
          <w:szCs w:val="24"/>
        </w:rPr>
      </w:pPr>
      <w:r w:rsidRPr="003A0C22">
        <w:rPr>
          <w:rStyle w:val="FootnoteReference"/>
          <w:rFonts w:ascii="Times New Roman" w:hAnsi="Times New Roman" w:cs="Times New Roman"/>
          <w:sz w:val="24"/>
          <w:szCs w:val="24"/>
        </w:rPr>
        <w:footnoteRef/>
      </w:r>
      <w:r w:rsidRPr="003A0C22">
        <w:rPr>
          <w:rFonts w:ascii="Times New Roman" w:hAnsi="Times New Roman" w:cs="Times New Roman"/>
          <w:sz w:val="24"/>
          <w:szCs w:val="24"/>
        </w:rPr>
        <w:t xml:space="preserve"> Name and the year of IPO offering of the sample companies are in the parentheses. </w:t>
      </w:r>
      <w:r w:rsidRPr="003A0C22">
        <w:rPr>
          <w:rFonts w:ascii="Times New Roman" w:hAnsi="Times New Roman" w:cs="Times New Roman"/>
          <w:sz w:val="24"/>
          <w:szCs w:val="24"/>
        </w:rPr>
        <w:t>Adecoagro S.A. (2011), Aemetis Inc. (2006), Alto Ingredients Inc. (2005), Archer-Daniels-Midland Company (1980), Bunge Limited (2002), Cardinal Ethanol LLC (2014), Clean Energy Fuels Corp. (2007), Darling Ingredients Inc. (1994), Delek US Holdings Inc. (2006), Ecopetrol S.A. (2008), FutureFuel Corp. (2011), Gevo Inc. (2011), Granite Falls Energy LLC (2014), Green Plains Inc (2006), Green Plains Partners LP (2015), Petroleo Brasileiro S.A. – Petrobras (2000), Red Trail Energy LLC (2012), Renewable Energy Group Inc (2012), REX American Resources Corporation (1984), Royal Dutch Shell plc (1984), The Andersons Inc (1996), and Valero Energy Corporation (1982).</w:t>
      </w:r>
    </w:p>
  </w:footnote>
  <w:footnote w:id="12">
    <w:p w14:paraId="3E9061B0" w14:textId="31D44C6A" w:rsidR="00A672EA" w:rsidRPr="00A672EA" w:rsidRDefault="00A672EA">
      <w:pPr>
        <w:pStyle w:val="FootnoteText"/>
        <w:rPr>
          <w:rFonts w:ascii="Times New Roman" w:hAnsi="Times New Roman" w:cs="Times New Roman"/>
          <w:sz w:val="24"/>
          <w:szCs w:val="24"/>
        </w:rPr>
      </w:pPr>
      <w:r w:rsidRPr="00A672EA">
        <w:rPr>
          <w:rStyle w:val="FootnoteReference"/>
          <w:rFonts w:ascii="Times New Roman" w:hAnsi="Times New Roman" w:cs="Times New Roman"/>
          <w:sz w:val="24"/>
          <w:szCs w:val="24"/>
        </w:rPr>
        <w:footnoteRef/>
      </w:r>
      <w:r w:rsidRPr="00A672EA">
        <w:rPr>
          <w:rFonts w:ascii="Times New Roman" w:hAnsi="Times New Roman" w:cs="Times New Roman"/>
          <w:sz w:val="24"/>
          <w:szCs w:val="24"/>
        </w:rPr>
        <w:t xml:space="preserve"> The process in which a private company sells its shares to the public for the first time. </w:t>
      </w:r>
    </w:p>
  </w:footnote>
  <w:footnote w:id="13">
    <w:p w14:paraId="769CA3FA" w14:textId="77777777" w:rsidR="00C3000E" w:rsidRPr="00D21393" w:rsidRDefault="00C3000E" w:rsidP="00C3000E">
      <w:pPr>
        <w:pStyle w:val="FootnoteText"/>
        <w:rPr>
          <w:rFonts w:ascii="Times New Roman" w:hAnsi="Times New Roman" w:cs="Times New Roman"/>
          <w:sz w:val="24"/>
          <w:szCs w:val="24"/>
        </w:rPr>
      </w:pPr>
      <w:r w:rsidRPr="00D21393">
        <w:rPr>
          <w:rStyle w:val="FootnoteReference"/>
          <w:rFonts w:ascii="Times New Roman" w:hAnsi="Times New Roman" w:cs="Times New Roman"/>
          <w:sz w:val="24"/>
          <w:szCs w:val="24"/>
        </w:rPr>
        <w:footnoteRef/>
      </w:r>
      <w:r w:rsidRPr="00D21393">
        <w:rPr>
          <w:rFonts w:ascii="Times New Roman" w:hAnsi="Times New Roman" w:cs="Times New Roman"/>
          <w:sz w:val="24"/>
          <w:szCs w:val="24"/>
        </w:rPr>
        <w:t xml:space="preserve"> https://companiesmarketcap.com/biofuel/largest-companies-by-market-cap/</w:t>
      </w:r>
    </w:p>
  </w:footnote>
  <w:footnote w:id="14">
    <w:p w14:paraId="724BABB2" w14:textId="77777777" w:rsidR="00C3000E" w:rsidRDefault="00C3000E" w:rsidP="00C3000E">
      <w:pPr>
        <w:pStyle w:val="FootnoteText"/>
      </w:pPr>
      <w:r w:rsidRPr="00D21393">
        <w:rPr>
          <w:rStyle w:val="FootnoteReference"/>
          <w:rFonts w:ascii="Times New Roman" w:hAnsi="Times New Roman" w:cs="Times New Roman"/>
          <w:sz w:val="24"/>
          <w:szCs w:val="24"/>
        </w:rPr>
        <w:footnoteRef/>
      </w:r>
      <w:r w:rsidRPr="00D21393">
        <w:rPr>
          <w:rFonts w:ascii="Times New Roman" w:hAnsi="Times New Roman" w:cs="Times New Roman"/>
          <w:sz w:val="24"/>
          <w:szCs w:val="24"/>
        </w:rPr>
        <w:t xml:space="preserve"> https://companiesmarketcap.com/biofuel/largest-companies-by-market-cap/</w:t>
      </w:r>
    </w:p>
  </w:footnote>
  <w:footnote w:id="15">
    <w:p w14:paraId="5C06D1DC" w14:textId="09703549" w:rsidR="00C3000E" w:rsidRPr="00154E66" w:rsidRDefault="00C3000E" w:rsidP="00C3000E">
      <w:pPr>
        <w:pStyle w:val="FootnoteText"/>
        <w:rPr>
          <w:rFonts w:ascii="Times New Roman" w:hAnsi="Times New Roman" w:cs="Times New Roman"/>
          <w:sz w:val="24"/>
          <w:szCs w:val="24"/>
        </w:rPr>
      </w:pPr>
      <w:r w:rsidRPr="00154E66">
        <w:rPr>
          <w:rStyle w:val="FootnoteReference"/>
          <w:rFonts w:ascii="Times New Roman" w:hAnsi="Times New Roman" w:cs="Times New Roman"/>
          <w:sz w:val="24"/>
          <w:szCs w:val="24"/>
        </w:rPr>
        <w:footnoteRef/>
      </w:r>
      <w:r w:rsidRPr="00154E66">
        <w:rPr>
          <w:rFonts w:ascii="Times New Roman" w:hAnsi="Times New Roman" w:cs="Times New Roman"/>
          <w:sz w:val="24"/>
          <w:szCs w:val="24"/>
        </w:rPr>
        <w:t xml:space="preserve"> Earnings </w:t>
      </w:r>
      <w:r w:rsidR="001477C8">
        <w:rPr>
          <w:rFonts w:ascii="Times New Roman" w:hAnsi="Times New Roman" w:cs="Times New Roman"/>
          <w:sz w:val="24"/>
          <w:szCs w:val="24"/>
        </w:rPr>
        <w:t>B</w:t>
      </w:r>
      <w:r w:rsidR="001477C8" w:rsidRPr="00154E66">
        <w:rPr>
          <w:rFonts w:ascii="Times New Roman" w:hAnsi="Times New Roman" w:cs="Times New Roman"/>
          <w:sz w:val="24"/>
          <w:szCs w:val="24"/>
        </w:rPr>
        <w:t xml:space="preserve">efore </w:t>
      </w:r>
      <w:r w:rsidRPr="00154E66">
        <w:rPr>
          <w:rFonts w:ascii="Times New Roman" w:hAnsi="Times New Roman" w:cs="Times New Roman"/>
          <w:sz w:val="24"/>
          <w:szCs w:val="24"/>
        </w:rPr>
        <w:t xml:space="preserve">Interest and </w:t>
      </w:r>
      <w:r w:rsidR="001477C8">
        <w:rPr>
          <w:rFonts w:ascii="Times New Roman" w:hAnsi="Times New Roman" w:cs="Times New Roman"/>
          <w:sz w:val="24"/>
          <w:szCs w:val="24"/>
        </w:rPr>
        <w:t>T</w:t>
      </w:r>
      <w:r w:rsidR="001477C8" w:rsidRPr="00154E66">
        <w:rPr>
          <w:rFonts w:ascii="Times New Roman" w:hAnsi="Times New Roman" w:cs="Times New Roman"/>
          <w:sz w:val="24"/>
          <w:szCs w:val="24"/>
        </w:rPr>
        <w:t xml:space="preserve">axes </w:t>
      </w:r>
      <w:r w:rsidRPr="00154E66">
        <w:rPr>
          <w:rFonts w:ascii="Times New Roman" w:hAnsi="Times New Roman" w:cs="Times New Roman"/>
          <w:sz w:val="24"/>
          <w:szCs w:val="24"/>
        </w:rPr>
        <w:t xml:space="preserve">(EBIT) is an account in </w:t>
      </w:r>
      <w:r w:rsidR="001477C8">
        <w:rPr>
          <w:rFonts w:ascii="Times New Roman" w:hAnsi="Times New Roman" w:cs="Times New Roman"/>
          <w:sz w:val="24"/>
          <w:szCs w:val="24"/>
        </w:rPr>
        <w:t xml:space="preserve">the </w:t>
      </w:r>
      <w:r w:rsidRPr="00154E66">
        <w:rPr>
          <w:rFonts w:ascii="Times New Roman" w:hAnsi="Times New Roman" w:cs="Times New Roman"/>
          <w:sz w:val="24"/>
          <w:szCs w:val="24"/>
        </w:rPr>
        <w:t xml:space="preserve">income statement. It is also referred </w:t>
      </w:r>
      <w:r w:rsidR="001477C8">
        <w:rPr>
          <w:rFonts w:ascii="Times New Roman" w:hAnsi="Times New Roman" w:cs="Times New Roman"/>
          <w:sz w:val="24"/>
          <w:szCs w:val="24"/>
        </w:rPr>
        <w:t xml:space="preserve">to </w:t>
      </w:r>
      <w:r w:rsidRPr="00154E66">
        <w:rPr>
          <w:rFonts w:ascii="Times New Roman" w:hAnsi="Times New Roman" w:cs="Times New Roman"/>
          <w:sz w:val="24"/>
          <w:szCs w:val="24"/>
        </w:rPr>
        <w:t xml:space="preserve">as operating income. </w:t>
      </w:r>
    </w:p>
  </w:footnote>
  <w:footnote w:id="16">
    <w:p w14:paraId="7BED3736" w14:textId="3C225EC0" w:rsidR="00154E66" w:rsidRPr="00154E66" w:rsidRDefault="00154E66">
      <w:pPr>
        <w:pStyle w:val="FootnoteText"/>
        <w:rPr>
          <w:rFonts w:ascii="Times New Roman" w:hAnsi="Times New Roman" w:cs="Times New Roman"/>
          <w:sz w:val="24"/>
          <w:szCs w:val="24"/>
        </w:rPr>
      </w:pPr>
      <w:r w:rsidRPr="00154E66">
        <w:rPr>
          <w:rStyle w:val="FootnoteReference"/>
          <w:rFonts w:ascii="Times New Roman" w:hAnsi="Times New Roman" w:cs="Times New Roman"/>
          <w:sz w:val="24"/>
          <w:szCs w:val="24"/>
        </w:rPr>
        <w:footnoteRef/>
      </w:r>
      <w:r w:rsidRPr="00154E66">
        <w:rPr>
          <w:rFonts w:ascii="Times New Roman" w:hAnsi="Times New Roman" w:cs="Times New Roman"/>
          <w:sz w:val="24"/>
          <w:szCs w:val="24"/>
        </w:rPr>
        <w:t xml:space="preserve"> 0.625 is used to encompass tax rate. The implicit tax rate is assumed to be 3</w:t>
      </w:r>
      <w:r w:rsidR="00983B28">
        <w:rPr>
          <w:rFonts w:ascii="Times New Roman" w:hAnsi="Times New Roman" w:cs="Times New Roman"/>
          <w:sz w:val="24"/>
          <w:szCs w:val="24"/>
        </w:rPr>
        <w:t>7.</w:t>
      </w:r>
      <w:r w:rsidRPr="00154E66">
        <w:rPr>
          <w:rFonts w:ascii="Times New Roman" w:hAnsi="Times New Roman" w:cs="Times New Roman"/>
          <w:sz w:val="24"/>
          <w:szCs w:val="24"/>
        </w:rPr>
        <w:t>5%.</w:t>
      </w:r>
    </w:p>
  </w:footnote>
  <w:footnote w:id="17">
    <w:p w14:paraId="0CADCB0D" w14:textId="4CDBEEE1" w:rsidR="00C3000E" w:rsidRPr="00154E66" w:rsidRDefault="00C3000E" w:rsidP="00C3000E">
      <w:pPr>
        <w:pStyle w:val="FootnoteText"/>
        <w:rPr>
          <w:rFonts w:ascii="Times New Roman" w:hAnsi="Times New Roman" w:cs="Times New Roman"/>
          <w:sz w:val="24"/>
          <w:szCs w:val="24"/>
        </w:rPr>
      </w:pPr>
      <w:r w:rsidRPr="00154E66">
        <w:rPr>
          <w:rStyle w:val="FootnoteReference"/>
          <w:rFonts w:ascii="Times New Roman" w:hAnsi="Times New Roman" w:cs="Times New Roman"/>
          <w:sz w:val="24"/>
          <w:szCs w:val="24"/>
        </w:rPr>
        <w:footnoteRef/>
      </w:r>
      <w:r w:rsidRPr="00154E66">
        <w:rPr>
          <w:rFonts w:ascii="Times New Roman" w:hAnsi="Times New Roman" w:cs="Times New Roman"/>
          <w:sz w:val="24"/>
          <w:szCs w:val="24"/>
        </w:rPr>
        <w:t xml:space="preserve"> t</w:t>
      </w:r>
      <w:r w:rsidR="001477C8">
        <w:rPr>
          <w:rFonts w:ascii="Times New Roman" w:hAnsi="Times New Roman" w:cs="Times New Roman"/>
          <w:sz w:val="24"/>
          <w:szCs w:val="24"/>
        </w:rPr>
        <w:t xml:space="preserve"> </w:t>
      </w:r>
      <w:r w:rsidRPr="00154E66">
        <w:rPr>
          <w:rFonts w:ascii="Times New Roman" w:hAnsi="Times New Roman" w:cs="Times New Roman"/>
          <w:sz w:val="24"/>
          <w:szCs w:val="24"/>
        </w:rPr>
        <w:t xml:space="preserve">represents </w:t>
      </w:r>
      <w:r w:rsidR="001477C8">
        <w:rPr>
          <w:rFonts w:ascii="Times New Roman" w:hAnsi="Times New Roman" w:cs="Times New Roman"/>
          <w:sz w:val="24"/>
          <w:szCs w:val="24"/>
        </w:rPr>
        <w:t xml:space="preserve">the </w:t>
      </w:r>
      <w:r w:rsidRPr="00154E66">
        <w:rPr>
          <w:rFonts w:ascii="Times New Roman" w:hAnsi="Times New Roman" w:cs="Times New Roman"/>
          <w:sz w:val="24"/>
          <w:szCs w:val="24"/>
        </w:rPr>
        <w:t>current year.</w:t>
      </w:r>
    </w:p>
  </w:footnote>
  <w:footnote w:id="18">
    <w:p w14:paraId="02537B4E" w14:textId="3367F03B" w:rsidR="00C3000E" w:rsidRPr="00154E66" w:rsidRDefault="00C3000E" w:rsidP="00C3000E">
      <w:pPr>
        <w:pStyle w:val="FootnoteText"/>
        <w:rPr>
          <w:rFonts w:ascii="Times New Roman" w:hAnsi="Times New Roman" w:cs="Times New Roman"/>
          <w:sz w:val="24"/>
          <w:szCs w:val="24"/>
        </w:rPr>
      </w:pPr>
      <w:r w:rsidRPr="00154E66">
        <w:rPr>
          <w:rStyle w:val="FootnoteReference"/>
          <w:rFonts w:ascii="Times New Roman" w:hAnsi="Times New Roman" w:cs="Times New Roman"/>
          <w:sz w:val="24"/>
          <w:szCs w:val="24"/>
        </w:rPr>
        <w:footnoteRef/>
      </w:r>
      <w:r w:rsidRPr="00154E66">
        <w:rPr>
          <w:rFonts w:ascii="Times New Roman" w:hAnsi="Times New Roman" w:cs="Times New Roman"/>
          <w:sz w:val="24"/>
          <w:szCs w:val="24"/>
        </w:rPr>
        <w:t xml:space="preserve"> t-1 represent</w:t>
      </w:r>
      <w:r w:rsidR="001477C8">
        <w:rPr>
          <w:rFonts w:ascii="Times New Roman" w:hAnsi="Times New Roman" w:cs="Times New Roman"/>
          <w:sz w:val="24"/>
          <w:szCs w:val="24"/>
        </w:rPr>
        <w:t>s</w:t>
      </w:r>
      <w:r w:rsidRPr="00154E66">
        <w:rPr>
          <w:rFonts w:ascii="Times New Roman" w:hAnsi="Times New Roman" w:cs="Times New Roman"/>
          <w:sz w:val="24"/>
          <w:szCs w:val="24"/>
        </w:rPr>
        <w:t xml:space="preserve"> </w:t>
      </w:r>
      <w:r w:rsidR="001477C8">
        <w:rPr>
          <w:rFonts w:ascii="Times New Roman" w:hAnsi="Times New Roman" w:cs="Times New Roman"/>
          <w:sz w:val="24"/>
          <w:szCs w:val="24"/>
        </w:rPr>
        <w:t xml:space="preserve">the </w:t>
      </w:r>
      <w:r w:rsidRPr="00154E66">
        <w:rPr>
          <w:rFonts w:ascii="Times New Roman" w:hAnsi="Times New Roman" w:cs="Times New Roman"/>
          <w:sz w:val="24"/>
          <w:szCs w:val="24"/>
        </w:rPr>
        <w:t>previous year.</w:t>
      </w:r>
    </w:p>
  </w:footnote>
  <w:footnote w:id="19">
    <w:p w14:paraId="57AE210C" w14:textId="031267F0" w:rsidR="00C3000E" w:rsidRPr="002C5973" w:rsidRDefault="00C3000E" w:rsidP="00C3000E">
      <w:pPr>
        <w:pStyle w:val="FootnoteText"/>
        <w:rPr>
          <w:rFonts w:ascii="Times New Roman" w:hAnsi="Times New Roman" w:cs="Times New Roman"/>
          <w:sz w:val="24"/>
          <w:szCs w:val="24"/>
        </w:rPr>
      </w:pPr>
      <w:r w:rsidRPr="00154E66">
        <w:rPr>
          <w:rStyle w:val="FootnoteReference"/>
          <w:rFonts w:ascii="Times New Roman" w:hAnsi="Times New Roman" w:cs="Times New Roman"/>
          <w:sz w:val="24"/>
          <w:szCs w:val="24"/>
        </w:rPr>
        <w:footnoteRef/>
      </w:r>
      <w:r w:rsidRPr="00154E66">
        <w:rPr>
          <w:rFonts w:ascii="Times New Roman" w:hAnsi="Times New Roman" w:cs="Times New Roman"/>
          <w:sz w:val="24"/>
          <w:szCs w:val="24"/>
        </w:rPr>
        <w:t xml:space="preserve"> D&amp;A represent depreciation and amortization. </w:t>
      </w:r>
    </w:p>
  </w:footnote>
  <w:footnote w:id="20">
    <w:p w14:paraId="4E36AEAA" w14:textId="77777777" w:rsidR="00C3000E" w:rsidRPr="00C6134D" w:rsidRDefault="00C3000E" w:rsidP="00C3000E">
      <w:pPr>
        <w:pStyle w:val="FootnoteText"/>
        <w:rPr>
          <w:rFonts w:ascii="Times New Roman" w:hAnsi="Times New Roman" w:cs="Times New Roman"/>
          <w:sz w:val="24"/>
          <w:szCs w:val="24"/>
        </w:rPr>
      </w:pPr>
      <w:r w:rsidRPr="00C6134D">
        <w:rPr>
          <w:rStyle w:val="FootnoteReference"/>
          <w:rFonts w:ascii="Times New Roman" w:hAnsi="Times New Roman" w:cs="Times New Roman"/>
          <w:sz w:val="24"/>
          <w:szCs w:val="24"/>
        </w:rPr>
        <w:footnoteRef/>
      </w:r>
      <w:r w:rsidRPr="00C6134D">
        <w:rPr>
          <w:rFonts w:ascii="Times New Roman" w:hAnsi="Times New Roman" w:cs="Times New Roman"/>
          <w:sz w:val="24"/>
          <w:szCs w:val="24"/>
        </w:rPr>
        <w:t xml:space="preserve"> Price to Earnings.</w:t>
      </w:r>
    </w:p>
  </w:footnote>
  <w:footnote w:id="21">
    <w:p w14:paraId="22D7906B" w14:textId="77777777" w:rsidR="00C3000E" w:rsidRPr="00C6134D" w:rsidRDefault="00C3000E" w:rsidP="00C3000E">
      <w:pPr>
        <w:pStyle w:val="FootnoteText"/>
        <w:rPr>
          <w:rFonts w:ascii="Times New Roman" w:hAnsi="Times New Roman" w:cs="Times New Roman"/>
          <w:sz w:val="24"/>
          <w:szCs w:val="24"/>
        </w:rPr>
      </w:pPr>
      <w:r w:rsidRPr="00C6134D">
        <w:rPr>
          <w:rStyle w:val="FootnoteReference"/>
          <w:rFonts w:ascii="Times New Roman" w:hAnsi="Times New Roman" w:cs="Times New Roman"/>
          <w:sz w:val="24"/>
          <w:szCs w:val="24"/>
        </w:rPr>
        <w:footnoteRef/>
      </w:r>
      <w:r w:rsidRPr="00C6134D">
        <w:rPr>
          <w:rFonts w:ascii="Times New Roman" w:hAnsi="Times New Roman" w:cs="Times New Roman"/>
          <w:sz w:val="24"/>
          <w:szCs w:val="24"/>
        </w:rPr>
        <w:t xml:space="preserve"> Market value of a unit share of company stock. </w:t>
      </w:r>
    </w:p>
  </w:footnote>
  <w:footnote w:id="22">
    <w:p w14:paraId="42CC187C" w14:textId="77777777" w:rsidR="00C3000E" w:rsidRPr="00C6134D" w:rsidRDefault="00C3000E" w:rsidP="00C3000E">
      <w:pPr>
        <w:pStyle w:val="FootnoteText"/>
        <w:rPr>
          <w:rFonts w:ascii="Times New Roman" w:hAnsi="Times New Roman" w:cs="Times New Roman"/>
          <w:sz w:val="24"/>
          <w:szCs w:val="24"/>
        </w:rPr>
      </w:pPr>
      <w:r w:rsidRPr="00C6134D">
        <w:rPr>
          <w:rStyle w:val="FootnoteReference"/>
          <w:rFonts w:ascii="Times New Roman" w:hAnsi="Times New Roman" w:cs="Times New Roman"/>
          <w:sz w:val="24"/>
          <w:szCs w:val="24"/>
        </w:rPr>
        <w:footnoteRef/>
      </w:r>
      <w:r w:rsidRPr="00C6134D">
        <w:rPr>
          <w:rFonts w:ascii="Times New Roman" w:hAnsi="Times New Roman" w:cs="Times New Roman"/>
          <w:sz w:val="24"/>
          <w:szCs w:val="24"/>
        </w:rPr>
        <w:t xml:space="preserve"> Diluted earnings per share, unlike earnings per share which takes into account only common shares, includes convertible bonds or convertible preferred stock along with common shares.</w:t>
      </w:r>
    </w:p>
  </w:footnote>
  <w:footnote w:id="23">
    <w:p w14:paraId="2AD42F0E" w14:textId="77777777" w:rsidR="00C3000E" w:rsidRPr="00C6134D" w:rsidRDefault="00C3000E" w:rsidP="00C3000E">
      <w:pPr>
        <w:pStyle w:val="FootnoteText"/>
        <w:rPr>
          <w:rFonts w:ascii="Times New Roman" w:hAnsi="Times New Roman" w:cs="Times New Roman"/>
          <w:sz w:val="24"/>
          <w:szCs w:val="24"/>
        </w:rPr>
      </w:pPr>
      <w:r w:rsidRPr="00C6134D">
        <w:rPr>
          <w:rStyle w:val="FootnoteReference"/>
          <w:rFonts w:ascii="Times New Roman" w:hAnsi="Times New Roman" w:cs="Times New Roman"/>
          <w:sz w:val="24"/>
          <w:szCs w:val="24"/>
        </w:rPr>
        <w:footnoteRef/>
      </w:r>
      <w:r w:rsidRPr="00C6134D">
        <w:rPr>
          <w:rFonts w:ascii="Times New Roman" w:hAnsi="Times New Roman" w:cs="Times New Roman"/>
          <w:sz w:val="24"/>
          <w:szCs w:val="24"/>
        </w:rPr>
        <w:t xml:space="preserve"> Number of shares outstanding is the total company’s shares hold by the shareholders. </w:t>
      </w:r>
    </w:p>
  </w:footnote>
  <w:footnote w:id="24">
    <w:p w14:paraId="291DF60B" w14:textId="77777777" w:rsidR="00C3000E" w:rsidRPr="00C6134D" w:rsidRDefault="00C3000E" w:rsidP="00C3000E">
      <w:pPr>
        <w:pStyle w:val="FootnoteText"/>
        <w:rPr>
          <w:rFonts w:ascii="Times New Roman" w:hAnsi="Times New Roman" w:cs="Times New Roman"/>
          <w:sz w:val="24"/>
          <w:szCs w:val="24"/>
        </w:rPr>
      </w:pPr>
      <w:r w:rsidRPr="00C6134D">
        <w:rPr>
          <w:rStyle w:val="FootnoteReference"/>
          <w:rFonts w:ascii="Times New Roman" w:hAnsi="Times New Roman" w:cs="Times New Roman"/>
          <w:sz w:val="24"/>
          <w:szCs w:val="24"/>
        </w:rPr>
        <w:footnoteRef/>
      </w:r>
      <w:r w:rsidRPr="00C6134D">
        <w:rPr>
          <w:rFonts w:ascii="Times New Roman" w:hAnsi="Times New Roman" w:cs="Times New Roman"/>
          <w:sz w:val="24"/>
          <w:szCs w:val="24"/>
        </w:rPr>
        <w:t xml:space="preserve"> Cash flow from operations to capital expenditure.</w:t>
      </w:r>
    </w:p>
  </w:footnote>
  <w:footnote w:id="25">
    <w:p w14:paraId="7D74C22F" w14:textId="77777777" w:rsidR="00C3000E" w:rsidRPr="002C5973" w:rsidRDefault="00C3000E" w:rsidP="00C3000E">
      <w:pPr>
        <w:pStyle w:val="FootnoteText"/>
        <w:rPr>
          <w:rFonts w:ascii="Times New Roman" w:hAnsi="Times New Roman" w:cs="Times New Roman"/>
          <w:sz w:val="24"/>
          <w:szCs w:val="24"/>
        </w:rPr>
      </w:pPr>
      <w:r w:rsidRPr="00C6134D">
        <w:rPr>
          <w:rStyle w:val="FootnoteReference"/>
          <w:rFonts w:ascii="Times New Roman" w:hAnsi="Times New Roman" w:cs="Times New Roman"/>
          <w:sz w:val="24"/>
          <w:szCs w:val="24"/>
        </w:rPr>
        <w:footnoteRef/>
      </w:r>
      <w:r w:rsidRPr="00C6134D">
        <w:rPr>
          <w:rFonts w:ascii="Times New Roman" w:hAnsi="Times New Roman" w:cs="Times New Roman"/>
          <w:sz w:val="24"/>
          <w:szCs w:val="24"/>
        </w:rPr>
        <w:t xml:space="preserve"> Capital expenditure to depreciation and amortization.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10D98"/>
    <w:multiLevelType w:val="hybridMultilevel"/>
    <w:tmpl w:val="13C24FF6"/>
    <w:lvl w:ilvl="0" w:tplc="EC588300">
      <w:start w:val="1"/>
      <w:numFmt w:val="lowerRoman"/>
      <w:lvlText w:val="%1."/>
      <w:lvlJc w:val="left"/>
      <w:pPr>
        <w:ind w:left="1080" w:hanging="720"/>
      </w:pPr>
      <w:rPr>
        <w:rFonts w:hint="default"/>
      </w:rPr>
    </w:lvl>
    <w:lvl w:ilvl="1" w:tplc="36608924" w:tentative="1">
      <w:start w:val="1"/>
      <w:numFmt w:val="lowerLetter"/>
      <w:lvlText w:val="%2."/>
      <w:lvlJc w:val="left"/>
      <w:pPr>
        <w:ind w:left="1440" w:hanging="360"/>
      </w:pPr>
    </w:lvl>
    <w:lvl w:ilvl="2" w:tplc="97FE8FCE" w:tentative="1">
      <w:start w:val="1"/>
      <w:numFmt w:val="lowerRoman"/>
      <w:lvlText w:val="%3."/>
      <w:lvlJc w:val="right"/>
      <w:pPr>
        <w:ind w:left="2160" w:hanging="180"/>
      </w:pPr>
    </w:lvl>
    <w:lvl w:ilvl="3" w:tplc="5DB6878A" w:tentative="1">
      <w:start w:val="1"/>
      <w:numFmt w:val="decimal"/>
      <w:lvlText w:val="%4."/>
      <w:lvlJc w:val="left"/>
      <w:pPr>
        <w:ind w:left="2880" w:hanging="360"/>
      </w:pPr>
    </w:lvl>
    <w:lvl w:ilvl="4" w:tplc="228226F6" w:tentative="1">
      <w:start w:val="1"/>
      <w:numFmt w:val="lowerLetter"/>
      <w:lvlText w:val="%5."/>
      <w:lvlJc w:val="left"/>
      <w:pPr>
        <w:ind w:left="3600" w:hanging="360"/>
      </w:pPr>
    </w:lvl>
    <w:lvl w:ilvl="5" w:tplc="F73ECD92" w:tentative="1">
      <w:start w:val="1"/>
      <w:numFmt w:val="lowerRoman"/>
      <w:lvlText w:val="%6."/>
      <w:lvlJc w:val="right"/>
      <w:pPr>
        <w:ind w:left="4320" w:hanging="180"/>
      </w:pPr>
    </w:lvl>
    <w:lvl w:ilvl="6" w:tplc="14EABF76" w:tentative="1">
      <w:start w:val="1"/>
      <w:numFmt w:val="decimal"/>
      <w:lvlText w:val="%7."/>
      <w:lvlJc w:val="left"/>
      <w:pPr>
        <w:ind w:left="5040" w:hanging="360"/>
      </w:pPr>
    </w:lvl>
    <w:lvl w:ilvl="7" w:tplc="C624D644" w:tentative="1">
      <w:start w:val="1"/>
      <w:numFmt w:val="lowerLetter"/>
      <w:lvlText w:val="%8."/>
      <w:lvlJc w:val="left"/>
      <w:pPr>
        <w:ind w:left="5760" w:hanging="360"/>
      </w:pPr>
    </w:lvl>
    <w:lvl w:ilvl="8" w:tplc="88DE2346" w:tentative="1">
      <w:start w:val="1"/>
      <w:numFmt w:val="lowerRoman"/>
      <w:lvlText w:val="%9."/>
      <w:lvlJc w:val="right"/>
      <w:pPr>
        <w:ind w:left="6480" w:hanging="180"/>
      </w:pPr>
    </w:lvl>
  </w:abstractNum>
  <w:abstractNum w:abstractNumId="1" w15:restartNumberingAfterBreak="0">
    <w:nsid w:val="09E957DA"/>
    <w:multiLevelType w:val="hybridMultilevel"/>
    <w:tmpl w:val="6BC24C72"/>
    <w:lvl w:ilvl="0" w:tplc="0B343544">
      <w:start w:val="1"/>
      <w:numFmt w:val="lowerRoman"/>
      <w:lvlText w:val="%1."/>
      <w:lvlJc w:val="left"/>
      <w:pPr>
        <w:ind w:left="1440" w:hanging="720"/>
      </w:pPr>
      <w:rPr>
        <w:rFonts w:hint="default"/>
      </w:rPr>
    </w:lvl>
    <w:lvl w:ilvl="1" w:tplc="DA6E638E" w:tentative="1">
      <w:start w:val="1"/>
      <w:numFmt w:val="lowerLetter"/>
      <w:lvlText w:val="%2."/>
      <w:lvlJc w:val="left"/>
      <w:pPr>
        <w:ind w:left="1800" w:hanging="360"/>
      </w:pPr>
    </w:lvl>
    <w:lvl w:ilvl="2" w:tplc="A8184538" w:tentative="1">
      <w:start w:val="1"/>
      <w:numFmt w:val="lowerRoman"/>
      <w:lvlText w:val="%3."/>
      <w:lvlJc w:val="right"/>
      <w:pPr>
        <w:ind w:left="2520" w:hanging="180"/>
      </w:pPr>
    </w:lvl>
    <w:lvl w:ilvl="3" w:tplc="FE4E92C6" w:tentative="1">
      <w:start w:val="1"/>
      <w:numFmt w:val="decimal"/>
      <w:lvlText w:val="%4."/>
      <w:lvlJc w:val="left"/>
      <w:pPr>
        <w:ind w:left="3240" w:hanging="360"/>
      </w:pPr>
    </w:lvl>
    <w:lvl w:ilvl="4" w:tplc="4496BF5A" w:tentative="1">
      <w:start w:val="1"/>
      <w:numFmt w:val="lowerLetter"/>
      <w:lvlText w:val="%5."/>
      <w:lvlJc w:val="left"/>
      <w:pPr>
        <w:ind w:left="3960" w:hanging="360"/>
      </w:pPr>
    </w:lvl>
    <w:lvl w:ilvl="5" w:tplc="5BEE5130" w:tentative="1">
      <w:start w:val="1"/>
      <w:numFmt w:val="lowerRoman"/>
      <w:lvlText w:val="%6."/>
      <w:lvlJc w:val="right"/>
      <w:pPr>
        <w:ind w:left="4680" w:hanging="180"/>
      </w:pPr>
    </w:lvl>
    <w:lvl w:ilvl="6" w:tplc="F3BC2F8A" w:tentative="1">
      <w:start w:val="1"/>
      <w:numFmt w:val="decimal"/>
      <w:lvlText w:val="%7."/>
      <w:lvlJc w:val="left"/>
      <w:pPr>
        <w:ind w:left="5400" w:hanging="360"/>
      </w:pPr>
    </w:lvl>
    <w:lvl w:ilvl="7" w:tplc="2CA061C2" w:tentative="1">
      <w:start w:val="1"/>
      <w:numFmt w:val="lowerLetter"/>
      <w:lvlText w:val="%8."/>
      <w:lvlJc w:val="left"/>
      <w:pPr>
        <w:ind w:left="6120" w:hanging="360"/>
      </w:pPr>
    </w:lvl>
    <w:lvl w:ilvl="8" w:tplc="A89ABFC0" w:tentative="1">
      <w:start w:val="1"/>
      <w:numFmt w:val="lowerRoman"/>
      <w:lvlText w:val="%9."/>
      <w:lvlJc w:val="right"/>
      <w:pPr>
        <w:ind w:left="6840" w:hanging="180"/>
      </w:pPr>
    </w:lvl>
  </w:abstractNum>
  <w:abstractNum w:abstractNumId="2" w15:restartNumberingAfterBreak="0">
    <w:nsid w:val="244A6F02"/>
    <w:multiLevelType w:val="multilevel"/>
    <w:tmpl w:val="EA8C8DE2"/>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BA92145"/>
    <w:multiLevelType w:val="multilevel"/>
    <w:tmpl w:val="22AEF136"/>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Times New Roman" w:eastAsiaTheme="minorHAnsi"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C277FE5"/>
    <w:multiLevelType w:val="hybridMultilevel"/>
    <w:tmpl w:val="776620DA"/>
    <w:lvl w:ilvl="0" w:tplc="C8FC1086">
      <w:start w:val="1"/>
      <w:numFmt w:val="bullet"/>
      <w:lvlText w:val=" "/>
      <w:lvlJc w:val="left"/>
      <w:pPr>
        <w:tabs>
          <w:tab w:val="num" w:pos="720"/>
        </w:tabs>
        <w:ind w:left="720" w:hanging="360"/>
      </w:pPr>
      <w:rPr>
        <w:rFonts w:ascii="Tw Cen MT" w:hAnsi="Tw Cen MT" w:hint="default"/>
      </w:rPr>
    </w:lvl>
    <w:lvl w:ilvl="1" w:tplc="3602416A" w:tentative="1">
      <w:start w:val="1"/>
      <w:numFmt w:val="bullet"/>
      <w:lvlText w:val=" "/>
      <w:lvlJc w:val="left"/>
      <w:pPr>
        <w:tabs>
          <w:tab w:val="num" w:pos="1440"/>
        </w:tabs>
        <w:ind w:left="1440" w:hanging="360"/>
      </w:pPr>
      <w:rPr>
        <w:rFonts w:ascii="Tw Cen MT" w:hAnsi="Tw Cen MT" w:hint="default"/>
      </w:rPr>
    </w:lvl>
    <w:lvl w:ilvl="2" w:tplc="0EAEAAB2" w:tentative="1">
      <w:start w:val="1"/>
      <w:numFmt w:val="bullet"/>
      <w:lvlText w:val=" "/>
      <w:lvlJc w:val="left"/>
      <w:pPr>
        <w:tabs>
          <w:tab w:val="num" w:pos="2160"/>
        </w:tabs>
        <w:ind w:left="2160" w:hanging="360"/>
      </w:pPr>
      <w:rPr>
        <w:rFonts w:ascii="Tw Cen MT" w:hAnsi="Tw Cen MT" w:hint="default"/>
      </w:rPr>
    </w:lvl>
    <w:lvl w:ilvl="3" w:tplc="EF2272DA" w:tentative="1">
      <w:start w:val="1"/>
      <w:numFmt w:val="bullet"/>
      <w:lvlText w:val=" "/>
      <w:lvlJc w:val="left"/>
      <w:pPr>
        <w:tabs>
          <w:tab w:val="num" w:pos="2880"/>
        </w:tabs>
        <w:ind w:left="2880" w:hanging="360"/>
      </w:pPr>
      <w:rPr>
        <w:rFonts w:ascii="Tw Cen MT" w:hAnsi="Tw Cen MT" w:hint="default"/>
      </w:rPr>
    </w:lvl>
    <w:lvl w:ilvl="4" w:tplc="90E642DE" w:tentative="1">
      <w:start w:val="1"/>
      <w:numFmt w:val="bullet"/>
      <w:lvlText w:val=" "/>
      <w:lvlJc w:val="left"/>
      <w:pPr>
        <w:tabs>
          <w:tab w:val="num" w:pos="3600"/>
        </w:tabs>
        <w:ind w:left="3600" w:hanging="360"/>
      </w:pPr>
      <w:rPr>
        <w:rFonts w:ascii="Tw Cen MT" w:hAnsi="Tw Cen MT" w:hint="default"/>
      </w:rPr>
    </w:lvl>
    <w:lvl w:ilvl="5" w:tplc="A7A85ADC" w:tentative="1">
      <w:start w:val="1"/>
      <w:numFmt w:val="bullet"/>
      <w:lvlText w:val=" "/>
      <w:lvlJc w:val="left"/>
      <w:pPr>
        <w:tabs>
          <w:tab w:val="num" w:pos="4320"/>
        </w:tabs>
        <w:ind w:left="4320" w:hanging="360"/>
      </w:pPr>
      <w:rPr>
        <w:rFonts w:ascii="Tw Cen MT" w:hAnsi="Tw Cen MT" w:hint="default"/>
      </w:rPr>
    </w:lvl>
    <w:lvl w:ilvl="6" w:tplc="0A524B08" w:tentative="1">
      <w:start w:val="1"/>
      <w:numFmt w:val="bullet"/>
      <w:lvlText w:val=" "/>
      <w:lvlJc w:val="left"/>
      <w:pPr>
        <w:tabs>
          <w:tab w:val="num" w:pos="5040"/>
        </w:tabs>
        <w:ind w:left="5040" w:hanging="360"/>
      </w:pPr>
      <w:rPr>
        <w:rFonts w:ascii="Tw Cen MT" w:hAnsi="Tw Cen MT" w:hint="default"/>
      </w:rPr>
    </w:lvl>
    <w:lvl w:ilvl="7" w:tplc="00225B0A" w:tentative="1">
      <w:start w:val="1"/>
      <w:numFmt w:val="bullet"/>
      <w:lvlText w:val=" "/>
      <w:lvlJc w:val="left"/>
      <w:pPr>
        <w:tabs>
          <w:tab w:val="num" w:pos="5760"/>
        </w:tabs>
        <w:ind w:left="5760" w:hanging="360"/>
      </w:pPr>
      <w:rPr>
        <w:rFonts w:ascii="Tw Cen MT" w:hAnsi="Tw Cen MT" w:hint="default"/>
      </w:rPr>
    </w:lvl>
    <w:lvl w:ilvl="8" w:tplc="0622C46C" w:tentative="1">
      <w:start w:val="1"/>
      <w:numFmt w:val="bullet"/>
      <w:lvlText w:val=" "/>
      <w:lvlJc w:val="left"/>
      <w:pPr>
        <w:tabs>
          <w:tab w:val="num" w:pos="6480"/>
        </w:tabs>
        <w:ind w:left="6480" w:hanging="360"/>
      </w:pPr>
      <w:rPr>
        <w:rFonts w:ascii="Tw Cen MT" w:hAnsi="Tw Cen MT" w:hint="default"/>
      </w:rPr>
    </w:lvl>
  </w:abstractNum>
  <w:abstractNum w:abstractNumId="5" w15:restartNumberingAfterBreak="0">
    <w:nsid w:val="2DD20CF6"/>
    <w:multiLevelType w:val="hybridMultilevel"/>
    <w:tmpl w:val="067ACCD4"/>
    <w:lvl w:ilvl="0" w:tplc="D40EBC02">
      <w:start w:val="1"/>
      <w:numFmt w:val="lowerRoman"/>
      <w:lvlText w:val="%1."/>
      <w:lvlJc w:val="left"/>
      <w:pPr>
        <w:ind w:left="1080" w:hanging="720"/>
      </w:pPr>
      <w:rPr>
        <w:rFonts w:hint="default"/>
      </w:rPr>
    </w:lvl>
    <w:lvl w:ilvl="1" w:tplc="0C6CCE9C" w:tentative="1">
      <w:start w:val="1"/>
      <w:numFmt w:val="lowerLetter"/>
      <w:lvlText w:val="%2."/>
      <w:lvlJc w:val="left"/>
      <w:pPr>
        <w:ind w:left="1440" w:hanging="360"/>
      </w:pPr>
    </w:lvl>
    <w:lvl w:ilvl="2" w:tplc="D1D0AE76" w:tentative="1">
      <w:start w:val="1"/>
      <w:numFmt w:val="lowerRoman"/>
      <w:lvlText w:val="%3."/>
      <w:lvlJc w:val="right"/>
      <w:pPr>
        <w:ind w:left="2160" w:hanging="180"/>
      </w:pPr>
    </w:lvl>
    <w:lvl w:ilvl="3" w:tplc="9A588F24" w:tentative="1">
      <w:start w:val="1"/>
      <w:numFmt w:val="decimal"/>
      <w:lvlText w:val="%4."/>
      <w:lvlJc w:val="left"/>
      <w:pPr>
        <w:ind w:left="2880" w:hanging="360"/>
      </w:pPr>
    </w:lvl>
    <w:lvl w:ilvl="4" w:tplc="DA9C26F0" w:tentative="1">
      <w:start w:val="1"/>
      <w:numFmt w:val="lowerLetter"/>
      <w:lvlText w:val="%5."/>
      <w:lvlJc w:val="left"/>
      <w:pPr>
        <w:ind w:left="3600" w:hanging="360"/>
      </w:pPr>
    </w:lvl>
    <w:lvl w:ilvl="5" w:tplc="4E521EB2" w:tentative="1">
      <w:start w:val="1"/>
      <w:numFmt w:val="lowerRoman"/>
      <w:lvlText w:val="%6."/>
      <w:lvlJc w:val="right"/>
      <w:pPr>
        <w:ind w:left="4320" w:hanging="180"/>
      </w:pPr>
    </w:lvl>
    <w:lvl w:ilvl="6" w:tplc="F68CE7C2" w:tentative="1">
      <w:start w:val="1"/>
      <w:numFmt w:val="decimal"/>
      <w:lvlText w:val="%7."/>
      <w:lvlJc w:val="left"/>
      <w:pPr>
        <w:ind w:left="5040" w:hanging="360"/>
      </w:pPr>
    </w:lvl>
    <w:lvl w:ilvl="7" w:tplc="A928F428" w:tentative="1">
      <w:start w:val="1"/>
      <w:numFmt w:val="lowerLetter"/>
      <w:lvlText w:val="%8."/>
      <w:lvlJc w:val="left"/>
      <w:pPr>
        <w:ind w:left="5760" w:hanging="360"/>
      </w:pPr>
    </w:lvl>
    <w:lvl w:ilvl="8" w:tplc="3FFC10D4" w:tentative="1">
      <w:start w:val="1"/>
      <w:numFmt w:val="lowerRoman"/>
      <w:lvlText w:val="%9."/>
      <w:lvlJc w:val="right"/>
      <w:pPr>
        <w:ind w:left="6480" w:hanging="180"/>
      </w:pPr>
    </w:lvl>
  </w:abstractNum>
  <w:abstractNum w:abstractNumId="6" w15:restartNumberingAfterBreak="0">
    <w:nsid w:val="2E925897"/>
    <w:multiLevelType w:val="hybridMultilevel"/>
    <w:tmpl w:val="E3D2AE94"/>
    <w:lvl w:ilvl="0" w:tplc="3836FCEC">
      <w:start w:val="1"/>
      <w:numFmt w:val="bullet"/>
      <w:lvlText w:val=" "/>
      <w:lvlJc w:val="left"/>
      <w:pPr>
        <w:tabs>
          <w:tab w:val="num" w:pos="720"/>
        </w:tabs>
        <w:ind w:left="720" w:hanging="360"/>
      </w:pPr>
      <w:rPr>
        <w:rFonts w:ascii="Tw Cen MT" w:hAnsi="Tw Cen MT" w:hint="default"/>
      </w:rPr>
    </w:lvl>
    <w:lvl w:ilvl="1" w:tplc="90546B0E" w:tentative="1">
      <w:start w:val="1"/>
      <w:numFmt w:val="bullet"/>
      <w:lvlText w:val=" "/>
      <w:lvlJc w:val="left"/>
      <w:pPr>
        <w:tabs>
          <w:tab w:val="num" w:pos="1440"/>
        </w:tabs>
        <w:ind w:left="1440" w:hanging="360"/>
      </w:pPr>
      <w:rPr>
        <w:rFonts w:ascii="Tw Cen MT" w:hAnsi="Tw Cen MT" w:hint="default"/>
      </w:rPr>
    </w:lvl>
    <w:lvl w:ilvl="2" w:tplc="9714710C" w:tentative="1">
      <w:start w:val="1"/>
      <w:numFmt w:val="bullet"/>
      <w:lvlText w:val=" "/>
      <w:lvlJc w:val="left"/>
      <w:pPr>
        <w:tabs>
          <w:tab w:val="num" w:pos="2160"/>
        </w:tabs>
        <w:ind w:left="2160" w:hanging="360"/>
      </w:pPr>
      <w:rPr>
        <w:rFonts w:ascii="Tw Cen MT" w:hAnsi="Tw Cen MT" w:hint="default"/>
      </w:rPr>
    </w:lvl>
    <w:lvl w:ilvl="3" w:tplc="50A8A926" w:tentative="1">
      <w:start w:val="1"/>
      <w:numFmt w:val="bullet"/>
      <w:lvlText w:val=" "/>
      <w:lvlJc w:val="left"/>
      <w:pPr>
        <w:tabs>
          <w:tab w:val="num" w:pos="2880"/>
        </w:tabs>
        <w:ind w:left="2880" w:hanging="360"/>
      </w:pPr>
      <w:rPr>
        <w:rFonts w:ascii="Tw Cen MT" w:hAnsi="Tw Cen MT" w:hint="default"/>
      </w:rPr>
    </w:lvl>
    <w:lvl w:ilvl="4" w:tplc="B3D6AFF0" w:tentative="1">
      <w:start w:val="1"/>
      <w:numFmt w:val="bullet"/>
      <w:lvlText w:val=" "/>
      <w:lvlJc w:val="left"/>
      <w:pPr>
        <w:tabs>
          <w:tab w:val="num" w:pos="3600"/>
        </w:tabs>
        <w:ind w:left="3600" w:hanging="360"/>
      </w:pPr>
      <w:rPr>
        <w:rFonts w:ascii="Tw Cen MT" w:hAnsi="Tw Cen MT" w:hint="default"/>
      </w:rPr>
    </w:lvl>
    <w:lvl w:ilvl="5" w:tplc="386016B2" w:tentative="1">
      <w:start w:val="1"/>
      <w:numFmt w:val="bullet"/>
      <w:lvlText w:val=" "/>
      <w:lvlJc w:val="left"/>
      <w:pPr>
        <w:tabs>
          <w:tab w:val="num" w:pos="4320"/>
        </w:tabs>
        <w:ind w:left="4320" w:hanging="360"/>
      </w:pPr>
      <w:rPr>
        <w:rFonts w:ascii="Tw Cen MT" w:hAnsi="Tw Cen MT" w:hint="default"/>
      </w:rPr>
    </w:lvl>
    <w:lvl w:ilvl="6" w:tplc="FCC84AC4" w:tentative="1">
      <w:start w:val="1"/>
      <w:numFmt w:val="bullet"/>
      <w:lvlText w:val=" "/>
      <w:lvlJc w:val="left"/>
      <w:pPr>
        <w:tabs>
          <w:tab w:val="num" w:pos="5040"/>
        </w:tabs>
        <w:ind w:left="5040" w:hanging="360"/>
      </w:pPr>
      <w:rPr>
        <w:rFonts w:ascii="Tw Cen MT" w:hAnsi="Tw Cen MT" w:hint="default"/>
      </w:rPr>
    </w:lvl>
    <w:lvl w:ilvl="7" w:tplc="A3BAA074" w:tentative="1">
      <w:start w:val="1"/>
      <w:numFmt w:val="bullet"/>
      <w:lvlText w:val=" "/>
      <w:lvlJc w:val="left"/>
      <w:pPr>
        <w:tabs>
          <w:tab w:val="num" w:pos="5760"/>
        </w:tabs>
        <w:ind w:left="5760" w:hanging="360"/>
      </w:pPr>
      <w:rPr>
        <w:rFonts w:ascii="Tw Cen MT" w:hAnsi="Tw Cen MT" w:hint="default"/>
      </w:rPr>
    </w:lvl>
    <w:lvl w:ilvl="8" w:tplc="029096FE" w:tentative="1">
      <w:start w:val="1"/>
      <w:numFmt w:val="bullet"/>
      <w:lvlText w:val=" "/>
      <w:lvlJc w:val="left"/>
      <w:pPr>
        <w:tabs>
          <w:tab w:val="num" w:pos="6480"/>
        </w:tabs>
        <w:ind w:left="6480" w:hanging="360"/>
      </w:pPr>
      <w:rPr>
        <w:rFonts w:ascii="Tw Cen MT" w:hAnsi="Tw Cen MT" w:hint="default"/>
      </w:rPr>
    </w:lvl>
  </w:abstractNum>
  <w:abstractNum w:abstractNumId="7" w15:restartNumberingAfterBreak="0">
    <w:nsid w:val="4A7C39C9"/>
    <w:multiLevelType w:val="multilevel"/>
    <w:tmpl w:val="15C45C9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30826A0"/>
    <w:multiLevelType w:val="hybridMultilevel"/>
    <w:tmpl w:val="841ED5FC"/>
    <w:lvl w:ilvl="0" w:tplc="13C496B0">
      <w:start w:val="1"/>
      <w:numFmt w:val="decimal"/>
      <w:lvlText w:val="%1."/>
      <w:lvlJc w:val="left"/>
      <w:pPr>
        <w:ind w:left="720" w:hanging="360"/>
      </w:pPr>
      <w:rPr>
        <w:rFonts w:hint="default"/>
      </w:rPr>
    </w:lvl>
    <w:lvl w:ilvl="1" w:tplc="8A96333E" w:tentative="1">
      <w:start w:val="1"/>
      <w:numFmt w:val="lowerLetter"/>
      <w:lvlText w:val="%2."/>
      <w:lvlJc w:val="left"/>
      <w:pPr>
        <w:ind w:left="1440" w:hanging="360"/>
      </w:pPr>
    </w:lvl>
    <w:lvl w:ilvl="2" w:tplc="45D2F338" w:tentative="1">
      <w:start w:val="1"/>
      <w:numFmt w:val="lowerRoman"/>
      <w:lvlText w:val="%3."/>
      <w:lvlJc w:val="right"/>
      <w:pPr>
        <w:ind w:left="2160" w:hanging="180"/>
      </w:pPr>
    </w:lvl>
    <w:lvl w:ilvl="3" w:tplc="3B72FA96" w:tentative="1">
      <w:start w:val="1"/>
      <w:numFmt w:val="decimal"/>
      <w:lvlText w:val="%4."/>
      <w:lvlJc w:val="left"/>
      <w:pPr>
        <w:ind w:left="2880" w:hanging="360"/>
      </w:pPr>
    </w:lvl>
    <w:lvl w:ilvl="4" w:tplc="0F103A48" w:tentative="1">
      <w:start w:val="1"/>
      <w:numFmt w:val="lowerLetter"/>
      <w:lvlText w:val="%5."/>
      <w:lvlJc w:val="left"/>
      <w:pPr>
        <w:ind w:left="3600" w:hanging="360"/>
      </w:pPr>
    </w:lvl>
    <w:lvl w:ilvl="5" w:tplc="54C69552" w:tentative="1">
      <w:start w:val="1"/>
      <w:numFmt w:val="lowerRoman"/>
      <w:lvlText w:val="%6."/>
      <w:lvlJc w:val="right"/>
      <w:pPr>
        <w:ind w:left="4320" w:hanging="180"/>
      </w:pPr>
    </w:lvl>
    <w:lvl w:ilvl="6" w:tplc="17CA0F24" w:tentative="1">
      <w:start w:val="1"/>
      <w:numFmt w:val="decimal"/>
      <w:lvlText w:val="%7."/>
      <w:lvlJc w:val="left"/>
      <w:pPr>
        <w:ind w:left="5040" w:hanging="360"/>
      </w:pPr>
    </w:lvl>
    <w:lvl w:ilvl="7" w:tplc="247AA13E" w:tentative="1">
      <w:start w:val="1"/>
      <w:numFmt w:val="lowerLetter"/>
      <w:lvlText w:val="%8."/>
      <w:lvlJc w:val="left"/>
      <w:pPr>
        <w:ind w:left="5760" w:hanging="360"/>
      </w:pPr>
    </w:lvl>
    <w:lvl w:ilvl="8" w:tplc="43BA989C" w:tentative="1">
      <w:start w:val="1"/>
      <w:numFmt w:val="lowerRoman"/>
      <w:lvlText w:val="%9."/>
      <w:lvlJc w:val="right"/>
      <w:pPr>
        <w:ind w:left="6480" w:hanging="180"/>
      </w:pPr>
    </w:lvl>
  </w:abstractNum>
  <w:abstractNum w:abstractNumId="9" w15:restartNumberingAfterBreak="0">
    <w:nsid w:val="5A0F3FA1"/>
    <w:multiLevelType w:val="hybridMultilevel"/>
    <w:tmpl w:val="8C60B482"/>
    <w:lvl w:ilvl="0" w:tplc="E63ADAA6">
      <w:start w:val="1"/>
      <w:numFmt w:val="lowerRoman"/>
      <w:lvlText w:val="%1."/>
      <w:lvlJc w:val="left"/>
      <w:pPr>
        <w:ind w:left="1080" w:hanging="720"/>
      </w:pPr>
      <w:rPr>
        <w:rFonts w:hint="default"/>
      </w:rPr>
    </w:lvl>
    <w:lvl w:ilvl="1" w:tplc="A5BE17D2" w:tentative="1">
      <w:start w:val="1"/>
      <w:numFmt w:val="lowerLetter"/>
      <w:lvlText w:val="%2."/>
      <w:lvlJc w:val="left"/>
      <w:pPr>
        <w:ind w:left="1440" w:hanging="360"/>
      </w:pPr>
    </w:lvl>
    <w:lvl w:ilvl="2" w:tplc="529CACD4" w:tentative="1">
      <w:start w:val="1"/>
      <w:numFmt w:val="lowerRoman"/>
      <w:lvlText w:val="%3."/>
      <w:lvlJc w:val="right"/>
      <w:pPr>
        <w:ind w:left="2160" w:hanging="180"/>
      </w:pPr>
    </w:lvl>
    <w:lvl w:ilvl="3" w:tplc="EA182DCC" w:tentative="1">
      <w:start w:val="1"/>
      <w:numFmt w:val="decimal"/>
      <w:lvlText w:val="%4."/>
      <w:lvlJc w:val="left"/>
      <w:pPr>
        <w:ind w:left="2880" w:hanging="360"/>
      </w:pPr>
    </w:lvl>
    <w:lvl w:ilvl="4" w:tplc="41AEFE46" w:tentative="1">
      <w:start w:val="1"/>
      <w:numFmt w:val="lowerLetter"/>
      <w:lvlText w:val="%5."/>
      <w:lvlJc w:val="left"/>
      <w:pPr>
        <w:ind w:left="3600" w:hanging="360"/>
      </w:pPr>
    </w:lvl>
    <w:lvl w:ilvl="5" w:tplc="86784E24" w:tentative="1">
      <w:start w:val="1"/>
      <w:numFmt w:val="lowerRoman"/>
      <w:lvlText w:val="%6."/>
      <w:lvlJc w:val="right"/>
      <w:pPr>
        <w:ind w:left="4320" w:hanging="180"/>
      </w:pPr>
    </w:lvl>
    <w:lvl w:ilvl="6" w:tplc="37FE846E" w:tentative="1">
      <w:start w:val="1"/>
      <w:numFmt w:val="decimal"/>
      <w:lvlText w:val="%7."/>
      <w:lvlJc w:val="left"/>
      <w:pPr>
        <w:ind w:left="5040" w:hanging="360"/>
      </w:pPr>
    </w:lvl>
    <w:lvl w:ilvl="7" w:tplc="D0DADF2E" w:tentative="1">
      <w:start w:val="1"/>
      <w:numFmt w:val="lowerLetter"/>
      <w:lvlText w:val="%8."/>
      <w:lvlJc w:val="left"/>
      <w:pPr>
        <w:ind w:left="5760" w:hanging="360"/>
      </w:pPr>
    </w:lvl>
    <w:lvl w:ilvl="8" w:tplc="90160558" w:tentative="1">
      <w:start w:val="1"/>
      <w:numFmt w:val="lowerRoman"/>
      <w:lvlText w:val="%9."/>
      <w:lvlJc w:val="right"/>
      <w:pPr>
        <w:ind w:left="6480" w:hanging="180"/>
      </w:pPr>
    </w:lvl>
  </w:abstractNum>
  <w:abstractNum w:abstractNumId="10" w15:restartNumberingAfterBreak="0">
    <w:nsid w:val="651F1F3E"/>
    <w:multiLevelType w:val="hybridMultilevel"/>
    <w:tmpl w:val="6CCE8988"/>
    <w:lvl w:ilvl="0" w:tplc="B8A8AE04">
      <w:start w:val="1"/>
      <w:numFmt w:val="bullet"/>
      <w:lvlText w:val=" "/>
      <w:lvlJc w:val="left"/>
      <w:pPr>
        <w:tabs>
          <w:tab w:val="num" w:pos="720"/>
        </w:tabs>
        <w:ind w:left="720" w:hanging="360"/>
      </w:pPr>
      <w:rPr>
        <w:rFonts w:ascii="Tw Cen MT" w:hAnsi="Tw Cen MT" w:hint="default"/>
      </w:rPr>
    </w:lvl>
    <w:lvl w:ilvl="1" w:tplc="3B9E79AA" w:tentative="1">
      <w:start w:val="1"/>
      <w:numFmt w:val="bullet"/>
      <w:lvlText w:val=" "/>
      <w:lvlJc w:val="left"/>
      <w:pPr>
        <w:tabs>
          <w:tab w:val="num" w:pos="1440"/>
        </w:tabs>
        <w:ind w:left="1440" w:hanging="360"/>
      </w:pPr>
      <w:rPr>
        <w:rFonts w:ascii="Tw Cen MT" w:hAnsi="Tw Cen MT" w:hint="default"/>
      </w:rPr>
    </w:lvl>
    <w:lvl w:ilvl="2" w:tplc="E59E7D54" w:tentative="1">
      <w:start w:val="1"/>
      <w:numFmt w:val="bullet"/>
      <w:lvlText w:val=" "/>
      <w:lvlJc w:val="left"/>
      <w:pPr>
        <w:tabs>
          <w:tab w:val="num" w:pos="2160"/>
        </w:tabs>
        <w:ind w:left="2160" w:hanging="360"/>
      </w:pPr>
      <w:rPr>
        <w:rFonts w:ascii="Tw Cen MT" w:hAnsi="Tw Cen MT" w:hint="default"/>
      </w:rPr>
    </w:lvl>
    <w:lvl w:ilvl="3" w:tplc="93EEB7A4" w:tentative="1">
      <w:start w:val="1"/>
      <w:numFmt w:val="bullet"/>
      <w:lvlText w:val=" "/>
      <w:lvlJc w:val="left"/>
      <w:pPr>
        <w:tabs>
          <w:tab w:val="num" w:pos="2880"/>
        </w:tabs>
        <w:ind w:left="2880" w:hanging="360"/>
      </w:pPr>
      <w:rPr>
        <w:rFonts w:ascii="Tw Cen MT" w:hAnsi="Tw Cen MT" w:hint="default"/>
      </w:rPr>
    </w:lvl>
    <w:lvl w:ilvl="4" w:tplc="AE3E1552" w:tentative="1">
      <w:start w:val="1"/>
      <w:numFmt w:val="bullet"/>
      <w:lvlText w:val=" "/>
      <w:lvlJc w:val="left"/>
      <w:pPr>
        <w:tabs>
          <w:tab w:val="num" w:pos="3600"/>
        </w:tabs>
        <w:ind w:left="3600" w:hanging="360"/>
      </w:pPr>
      <w:rPr>
        <w:rFonts w:ascii="Tw Cen MT" w:hAnsi="Tw Cen MT" w:hint="default"/>
      </w:rPr>
    </w:lvl>
    <w:lvl w:ilvl="5" w:tplc="2754221A" w:tentative="1">
      <w:start w:val="1"/>
      <w:numFmt w:val="bullet"/>
      <w:lvlText w:val=" "/>
      <w:lvlJc w:val="left"/>
      <w:pPr>
        <w:tabs>
          <w:tab w:val="num" w:pos="4320"/>
        </w:tabs>
        <w:ind w:left="4320" w:hanging="360"/>
      </w:pPr>
      <w:rPr>
        <w:rFonts w:ascii="Tw Cen MT" w:hAnsi="Tw Cen MT" w:hint="default"/>
      </w:rPr>
    </w:lvl>
    <w:lvl w:ilvl="6" w:tplc="9710EB9E" w:tentative="1">
      <w:start w:val="1"/>
      <w:numFmt w:val="bullet"/>
      <w:lvlText w:val=" "/>
      <w:lvlJc w:val="left"/>
      <w:pPr>
        <w:tabs>
          <w:tab w:val="num" w:pos="5040"/>
        </w:tabs>
        <w:ind w:left="5040" w:hanging="360"/>
      </w:pPr>
      <w:rPr>
        <w:rFonts w:ascii="Tw Cen MT" w:hAnsi="Tw Cen MT" w:hint="default"/>
      </w:rPr>
    </w:lvl>
    <w:lvl w:ilvl="7" w:tplc="9FE807B0" w:tentative="1">
      <w:start w:val="1"/>
      <w:numFmt w:val="bullet"/>
      <w:lvlText w:val=" "/>
      <w:lvlJc w:val="left"/>
      <w:pPr>
        <w:tabs>
          <w:tab w:val="num" w:pos="5760"/>
        </w:tabs>
        <w:ind w:left="5760" w:hanging="360"/>
      </w:pPr>
      <w:rPr>
        <w:rFonts w:ascii="Tw Cen MT" w:hAnsi="Tw Cen MT" w:hint="default"/>
      </w:rPr>
    </w:lvl>
    <w:lvl w:ilvl="8" w:tplc="42EA86DE" w:tentative="1">
      <w:start w:val="1"/>
      <w:numFmt w:val="bullet"/>
      <w:lvlText w:val=" "/>
      <w:lvlJc w:val="left"/>
      <w:pPr>
        <w:tabs>
          <w:tab w:val="num" w:pos="6480"/>
        </w:tabs>
        <w:ind w:left="6480" w:hanging="360"/>
      </w:pPr>
      <w:rPr>
        <w:rFonts w:ascii="Tw Cen MT" w:hAnsi="Tw Cen MT" w:hint="default"/>
      </w:rPr>
    </w:lvl>
  </w:abstractNum>
  <w:abstractNum w:abstractNumId="11" w15:restartNumberingAfterBreak="0">
    <w:nsid w:val="68C7581A"/>
    <w:multiLevelType w:val="hybridMultilevel"/>
    <w:tmpl w:val="34F61844"/>
    <w:lvl w:ilvl="0" w:tplc="24BCA856">
      <w:start w:val="1"/>
      <w:numFmt w:val="bullet"/>
      <w:lvlText w:val=""/>
      <w:lvlJc w:val="left"/>
      <w:pPr>
        <w:ind w:left="720" w:hanging="360"/>
      </w:pPr>
      <w:rPr>
        <w:rFonts w:ascii="Symbol" w:hAnsi="Symbol" w:hint="default"/>
      </w:rPr>
    </w:lvl>
    <w:lvl w:ilvl="1" w:tplc="9AE604A4" w:tentative="1">
      <w:start w:val="1"/>
      <w:numFmt w:val="bullet"/>
      <w:lvlText w:val="o"/>
      <w:lvlJc w:val="left"/>
      <w:pPr>
        <w:ind w:left="1440" w:hanging="360"/>
      </w:pPr>
      <w:rPr>
        <w:rFonts w:ascii="Courier New" w:hAnsi="Courier New" w:cs="Courier New" w:hint="default"/>
      </w:rPr>
    </w:lvl>
    <w:lvl w:ilvl="2" w:tplc="4D6801C4" w:tentative="1">
      <w:start w:val="1"/>
      <w:numFmt w:val="bullet"/>
      <w:lvlText w:val=""/>
      <w:lvlJc w:val="left"/>
      <w:pPr>
        <w:ind w:left="2160" w:hanging="360"/>
      </w:pPr>
      <w:rPr>
        <w:rFonts w:ascii="Wingdings" w:hAnsi="Wingdings" w:hint="default"/>
      </w:rPr>
    </w:lvl>
    <w:lvl w:ilvl="3" w:tplc="00DC3CE4" w:tentative="1">
      <w:start w:val="1"/>
      <w:numFmt w:val="bullet"/>
      <w:lvlText w:val=""/>
      <w:lvlJc w:val="left"/>
      <w:pPr>
        <w:ind w:left="2880" w:hanging="360"/>
      </w:pPr>
      <w:rPr>
        <w:rFonts w:ascii="Symbol" w:hAnsi="Symbol" w:hint="default"/>
      </w:rPr>
    </w:lvl>
    <w:lvl w:ilvl="4" w:tplc="5338EFA6" w:tentative="1">
      <w:start w:val="1"/>
      <w:numFmt w:val="bullet"/>
      <w:lvlText w:val="o"/>
      <w:lvlJc w:val="left"/>
      <w:pPr>
        <w:ind w:left="3600" w:hanging="360"/>
      </w:pPr>
      <w:rPr>
        <w:rFonts w:ascii="Courier New" w:hAnsi="Courier New" w:cs="Courier New" w:hint="default"/>
      </w:rPr>
    </w:lvl>
    <w:lvl w:ilvl="5" w:tplc="44EEC110" w:tentative="1">
      <w:start w:val="1"/>
      <w:numFmt w:val="bullet"/>
      <w:lvlText w:val=""/>
      <w:lvlJc w:val="left"/>
      <w:pPr>
        <w:ind w:left="4320" w:hanging="360"/>
      </w:pPr>
      <w:rPr>
        <w:rFonts w:ascii="Wingdings" w:hAnsi="Wingdings" w:hint="default"/>
      </w:rPr>
    </w:lvl>
    <w:lvl w:ilvl="6" w:tplc="2D14D992" w:tentative="1">
      <w:start w:val="1"/>
      <w:numFmt w:val="bullet"/>
      <w:lvlText w:val=""/>
      <w:lvlJc w:val="left"/>
      <w:pPr>
        <w:ind w:left="5040" w:hanging="360"/>
      </w:pPr>
      <w:rPr>
        <w:rFonts w:ascii="Symbol" w:hAnsi="Symbol" w:hint="default"/>
      </w:rPr>
    </w:lvl>
    <w:lvl w:ilvl="7" w:tplc="36B05AC6" w:tentative="1">
      <w:start w:val="1"/>
      <w:numFmt w:val="bullet"/>
      <w:lvlText w:val="o"/>
      <w:lvlJc w:val="left"/>
      <w:pPr>
        <w:ind w:left="5760" w:hanging="360"/>
      </w:pPr>
      <w:rPr>
        <w:rFonts w:ascii="Courier New" w:hAnsi="Courier New" w:cs="Courier New" w:hint="default"/>
      </w:rPr>
    </w:lvl>
    <w:lvl w:ilvl="8" w:tplc="DA963272" w:tentative="1">
      <w:start w:val="1"/>
      <w:numFmt w:val="bullet"/>
      <w:lvlText w:val=""/>
      <w:lvlJc w:val="left"/>
      <w:pPr>
        <w:ind w:left="6480" w:hanging="360"/>
      </w:pPr>
      <w:rPr>
        <w:rFonts w:ascii="Wingdings" w:hAnsi="Wingdings" w:hint="default"/>
      </w:rPr>
    </w:lvl>
  </w:abstractNum>
  <w:abstractNum w:abstractNumId="12" w15:restartNumberingAfterBreak="0">
    <w:nsid w:val="7E9D3203"/>
    <w:multiLevelType w:val="hybridMultilevel"/>
    <w:tmpl w:val="7652BEE4"/>
    <w:lvl w:ilvl="0" w:tplc="6BD08634">
      <w:start w:val="1"/>
      <w:numFmt w:val="lowerRoman"/>
      <w:lvlText w:val="%1."/>
      <w:lvlJc w:val="left"/>
      <w:pPr>
        <w:ind w:left="1080" w:hanging="720"/>
      </w:pPr>
      <w:rPr>
        <w:rFonts w:hint="default"/>
      </w:rPr>
    </w:lvl>
    <w:lvl w:ilvl="1" w:tplc="FD3EDE16" w:tentative="1">
      <w:start w:val="1"/>
      <w:numFmt w:val="lowerLetter"/>
      <w:lvlText w:val="%2."/>
      <w:lvlJc w:val="left"/>
      <w:pPr>
        <w:ind w:left="1440" w:hanging="360"/>
      </w:pPr>
    </w:lvl>
    <w:lvl w:ilvl="2" w:tplc="B216A694" w:tentative="1">
      <w:start w:val="1"/>
      <w:numFmt w:val="lowerRoman"/>
      <w:lvlText w:val="%3."/>
      <w:lvlJc w:val="right"/>
      <w:pPr>
        <w:ind w:left="2160" w:hanging="180"/>
      </w:pPr>
    </w:lvl>
    <w:lvl w:ilvl="3" w:tplc="2CCE1FBA" w:tentative="1">
      <w:start w:val="1"/>
      <w:numFmt w:val="decimal"/>
      <w:lvlText w:val="%4."/>
      <w:lvlJc w:val="left"/>
      <w:pPr>
        <w:ind w:left="2880" w:hanging="360"/>
      </w:pPr>
    </w:lvl>
    <w:lvl w:ilvl="4" w:tplc="63A08B82" w:tentative="1">
      <w:start w:val="1"/>
      <w:numFmt w:val="lowerLetter"/>
      <w:lvlText w:val="%5."/>
      <w:lvlJc w:val="left"/>
      <w:pPr>
        <w:ind w:left="3600" w:hanging="360"/>
      </w:pPr>
    </w:lvl>
    <w:lvl w:ilvl="5" w:tplc="9AB0EF2A" w:tentative="1">
      <w:start w:val="1"/>
      <w:numFmt w:val="lowerRoman"/>
      <w:lvlText w:val="%6."/>
      <w:lvlJc w:val="right"/>
      <w:pPr>
        <w:ind w:left="4320" w:hanging="180"/>
      </w:pPr>
    </w:lvl>
    <w:lvl w:ilvl="6" w:tplc="B1C68532" w:tentative="1">
      <w:start w:val="1"/>
      <w:numFmt w:val="decimal"/>
      <w:lvlText w:val="%7."/>
      <w:lvlJc w:val="left"/>
      <w:pPr>
        <w:ind w:left="5040" w:hanging="360"/>
      </w:pPr>
    </w:lvl>
    <w:lvl w:ilvl="7" w:tplc="6ACC899C" w:tentative="1">
      <w:start w:val="1"/>
      <w:numFmt w:val="lowerLetter"/>
      <w:lvlText w:val="%8."/>
      <w:lvlJc w:val="left"/>
      <w:pPr>
        <w:ind w:left="5760" w:hanging="360"/>
      </w:pPr>
    </w:lvl>
    <w:lvl w:ilvl="8" w:tplc="BDB2E86E" w:tentative="1">
      <w:start w:val="1"/>
      <w:numFmt w:val="lowerRoman"/>
      <w:lvlText w:val="%9."/>
      <w:lvlJc w:val="right"/>
      <w:pPr>
        <w:ind w:left="6480" w:hanging="180"/>
      </w:pPr>
    </w:lvl>
  </w:abstractNum>
  <w:num w:numId="1" w16cid:durableId="613636787">
    <w:abstractNumId w:val="4"/>
  </w:num>
  <w:num w:numId="2" w16cid:durableId="2078698431">
    <w:abstractNumId w:val="6"/>
  </w:num>
  <w:num w:numId="3" w16cid:durableId="313681946">
    <w:abstractNumId w:val="10"/>
  </w:num>
  <w:num w:numId="4" w16cid:durableId="824664265">
    <w:abstractNumId w:val="8"/>
  </w:num>
  <w:num w:numId="5" w16cid:durableId="1534658140">
    <w:abstractNumId w:val="12"/>
  </w:num>
  <w:num w:numId="6" w16cid:durableId="540286982">
    <w:abstractNumId w:val="5"/>
  </w:num>
  <w:num w:numId="7" w16cid:durableId="2006325239">
    <w:abstractNumId w:val="9"/>
  </w:num>
  <w:num w:numId="8" w16cid:durableId="1256085730">
    <w:abstractNumId w:val="0"/>
  </w:num>
  <w:num w:numId="9" w16cid:durableId="2007249423">
    <w:abstractNumId w:val="11"/>
  </w:num>
  <w:num w:numId="10" w16cid:durableId="1259872942">
    <w:abstractNumId w:val="3"/>
  </w:num>
  <w:num w:numId="11" w16cid:durableId="1616717801">
    <w:abstractNumId w:val="2"/>
  </w:num>
  <w:num w:numId="12" w16cid:durableId="427234518">
    <w:abstractNumId w:val="7"/>
  </w:num>
  <w:num w:numId="13" w16cid:durableId="50885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234"/>
    <w:rsid w:val="00000158"/>
    <w:rsid w:val="000002E6"/>
    <w:rsid w:val="00001094"/>
    <w:rsid w:val="000012ED"/>
    <w:rsid w:val="000015D7"/>
    <w:rsid w:val="0000172E"/>
    <w:rsid w:val="0000232C"/>
    <w:rsid w:val="00002C76"/>
    <w:rsid w:val="00005378"/>
    <w:rsid w:val="000053F1"/>
    <w:rsid w:val="0000581A"/>
    <w:rsid w:val="00006E60"/>
    <w:rsid w:val="000071FC"/>
    <w:rsid w:val="0000755E"/>
    <w:rsid w:val="00007CE5"/>
    <w:rsid w:val="00010FC7"/>
    <w:rsid w:val="0001239E"/>
    <w:rsid w:val="0001253C"/>
    <w:rsid w:val="000129B9"/>
    <w:rsid w:val="00012B66"/>
    <w:rsid w:val="00012E50"/>
    <w:rsid w:val="0001364A"/>
    <w:rsid w:val="0001382B"/>
    <w:rsid w:val="0001538F"/>
    <w:rsid w:val="000159DB"/>
    <w:rsid w:val="00015BEF"/>
    <w:rsid w:val="000162D6"/>
    <w:rsid w:val="00016419"/>
    <w:rsid w:val="00016AF1"/>
    <w:rsid w:val="00017842"/>
    <w:rsid w:val="000209D9"/>
    <w:rsid w:val="00020BF6"/>
    <w:rsid w:val="00020C8E"/>
    <w:rsid w:val="00021894"/>
    <w:rsid w:val="00023E8C"/>
    <w:rsid w:val="00023E8F"/>
    <w:rsid w:val="00024072"/>
    <w:rsid w:val="000246D4"/>
    <w:rsid w:val="000249D9"/>
    <w:rsid w:val="000252FA"/>
    <w:rsid w:val="000258DF"/>
    <w:rsid w:val="0002590F"/>
    <w:rsid w:val="00025BD0"/>
    <w:rsid w:val="00025BF1"/>
    <w:rsid w:val="00026170"/>
    <w:rsid w:val="000268BD"/>
    <w:rsid w:val="00026DAF"/>
    <w:rsid w:val="00026E50"/>
    <w:rsid w:val="00027796"/>
    <w:rsid w:val="000306FF"/>
    <w:rsid w:val="00030FBF"/>
    <w:rsid w:val="00032353"/>
    <w:rsid w:val="000325B2"/>
    <w:rsid w:val="0003484E"/>
    <w:rsid w:val="0003580F"/>
    <w:rsid w:val="0003595C"/>
    <w:rsid w:val="00035A54"/>
    <w:rsid w:val="00036178"/>
    <w:rsid w:val="00036642"/>
    <w:rsid w:val="00036712"/>
    <w:rsid w:val="00036CE2"/>
    <w:rsid w:val="000374C2"/>
    <w:rsid w:val="0004096A"/>
    <w:rsid w:val="000416E8"/>
    <w:rsid w:val="00042FAA"/>
    <w:rsid w:val="000433AB"/>
    <w:rsid w:val="000438A1"/>
    <w:rsid w:val="000438C2"/>
    <w:rsid w:val="00043DC6"/>
    <w:rsid w:val="00043E4C"/>
    <w:rsid w:val="00044045"/>
    <w:rsid w:val="00045DCD"/>
    <w:rsid w:val="000464B8"/>
    <w:rsid w:val="000468CE"/>
    <w:rsid w:val="00046FB2"/>
    <w:rsid w:val="000500B2"/>
    <w:rsid w:val="00050C5D"/>
    <w:rsid w:val="00050E1F"/>
    <w:rsid w:val="00051B15"/>
    <w:rsid w:val="00051BCD"/>
    <w:rsid w:val="00051F72"/>
    <w:rsid w:val="00052D81"/>
    <w:rsid w:val="00052E89"/>
    <w:rsid w:val="00053617"/>
    <w:rsid w:val="00053D5C"/>
    <w:rsid w:val="0005518D"/>
    <w:rsid w:val="0005595A"/>
    <w:rsid w:val="00055AF6"/>
    <w:rsid w:val="0005612C"/>
    <w:rsid w:val="00057643"/>
    <w:rsid w:val="00060039"/>
    <w:rsid w:val="0006011E"/>
    <w:rsid w:val="00060507"/>
    <w:rsid w:val="00061831"/>
    <w:rsid w:val="00062700"/>
    <w:rsid w:val="00062ED5"/>
    <w:rsid w:val="000638B8"/>
    <w:rsid w:val="00063C2C"/>
    <w:rsid w:val="00064139"/>
    <w:rsid w:val="000657AF"/>
    <w:rsid w:val="00065EE1"/>
    <w:rsid w:val="00066074"/>
    <w:rsid w:val="000667C3"/>
    <w:rsid w:val="00066E64"/>
    <w:rsid w:val="0006789C"/>
    <w:rsid w:val="00067D82"/>
    <w:rsid w:val="0007026A"/>
    <w:rsid w:val="00070ECE"/>
    <w:rsid w:val="00070FC4"/>
    <w:rsid w:val="00073605"/>
    <w:rsid w:val="000740CC"/>
    <w:rsid w:val="00074347"/>
    <w:rsid w:val="00075B67"/>
    <w:rsid w:val="000761B5"/>
    <w:rsid w:val="00076391"/>
    <w:rsid w:val="00076E92"/>
    <w:rsid w:val="00076F50"/>
    <w:rsid w:val="0008009D"/>
    <w:rsid w:val="000817F7"/>
    <w:rsid w:val="00082A14"/>
    <w:rsid w:val="00082BCB"/>
    <w:rsid w:val="000842FE"/>
    <w:rsid w:val="00085CE3"/>
    <w:rsid w:val="0008631B"/>
    <w:rsid w:val="00087740"/>
    <w:rsid w:val="0009020B"/>
    <w:rsid w:val="00091113"/>
    <w:rsid w:val="00091A18"/>
    <w:rsid w:val="00091B00"/>
    <w:rsid w:val="00091CF1"/>
    <w:rsid w:val="00092FB0"/>
    <w:rsid w:val="00093F7C"/>
    <w:rsid w:val="000952AA"/>
    <w:rsid w:val="0009554A"/>
    <w:rsid w:val="00096847"/>
    <w:rsid w:val="000969BB"/>
    <w:rsid w:val="00096CFD"/>
    <w:rsid w:val="000973DB"/>
    <w:rsid w:val="0009743F"/>
    <w:rsid w:val="0009752D"/>
    <w:rsid w:val="00097B81"/>
    <w:rsid w:val="000A0CE6"/>
    <w:rsid w:val="000A1624"/>
    <w:rsid w:val="000A22F7"/>
    <w:rsid w:val="000A260E"/>
    <w:rsid w:val="000A294A"/>
    <w:rsid w:val="000A33CA"/>
    <w:rsid w:val="000A4B6F"/>
    <w:rsid w:val="000A4C51"/>
    <w:rsid w:val="000A5412"/>
    <w:rsid w:val="000A5C42"/>
    <w:rsid w:val="000A78F8"/>
    <w:rsid w:val="000A7AFD"/>
    <w:rsid w:val="000A7CF9"/>
    <w:rsid w:val="000A7E28"/>
    <w:rsid w:val="000B13C2"/>
    <w:rsid w:val="000B2451"/>
    <w:rsid w:val="000B2F93"/>
    <w:rsid w:val="000B3215"/>
    <w:rsid w:val="000B3400"/>
    <w:rsid w:val="000B4280"/>
    <w:rsid w:val="000B4454"/>
    <w:rsid w:val="000B4670"/>
    <w:rsid w:val="000B4D48"/>
    <w:rsid w:val="000B4EE0"/>
    <w:rsid w:val="000B4EE3"/>
    <w:rsid w:val="000B5474"/>
    <w:rsid w:val="000B58F7"/>
    <w:rsid w:val="000B6C3F"/>
    <w:rsid w:val="000B745F"/>
    <w:rsid w:val="000C07A2"/>
    <w:rsid w:val="000C0F4A"/>
    <w:rsid w:val="000C2395"/>
    <w:rsid w:val="000C2A8E"/>
    <w:rsid w:val="000C32CA"/>
    <w:rsid w:val="000C35F2"/>
    <w:rsid w:val="000C3815"/>
    <w:rsid w:val="000C483D"/>
    <w:rsid w:val="000C53E1"/>
    <w:rsid w:val="000C59FF"/>
    <w:rsid w:val="000C657B"/>
    <w:rsid w:val="000C77AA"/>
    <w:rsid w:val="000C79FE"/>
    <w:rsid w:val="000C7B2F"/>
    <w:rsid w:val="000D0AC5"/>
    <w:rsid w:val="000D0C36"/>
    <w:rsid w:val="000D2576"/>
    <w:rsid w:val="000D48D9"/>
    <w:rsid w:val="000D4B56"/>
    <w:rsid w:val="000D54E9"/>
    <w:rsid w:val="000D57D2"/>
    <w:rsid w:val="000D6AB1"/>
    <w:rsid w:val="000D7846"/>
    <w:rsid w:val="000E1F67"/>
    <w:rsid w:val="000E2072"/>
    <w:rsid w:val="000E2719"/>
    <w:rsid w:val="000E27D3"/>
    <w:rsid w:val="000E349D"/>
    <w:rsid w:val="000E375D"/>
    <w:rsid w:val="000E48AF"/>
    <w:rsid w:val="000E50F5"/>
    <w:rsid w:val="000E6FF4"/>
    <w:rsid w:val="000E70C0"/>
    <w:rsid w:val="000E70CA"/>
    <w:rsid w:val="000E78A9"/>
    <w:rsid w:val="000E7C8B"/>
    <w:rsid w:val="000F0F5D"/>
    <w:rsid w:val="000F1654"/>
    <w:rsid w:val="000F2B73"/>
    <w:rsid w:val="000F317F"/>
    <w:rsid w:val="000F4A73"/>
    <w:rsid w:val="000F4A7F"/>
    <w:rsid w:val="000F5DC4"/>
    <w:rsid w:val="000F60D9"/>
    <w:rsid w:val="000F7369"/>
    <w:rsid w:val="000F75B5"/>
    <w:rsid w:val="001000D2"/>
    <w:rsid w:val="00100954"/>
    <w:rsid w:val="00100DB0"/>
    <w:rsid w:val="00100FD3"/>
    <w:rsid w:val="00101541"/>
    <w:rsid w:val="0010164D"/>
    <w:rsid w:val="00101E5B"/>
    <w:rsid w:val="00101EB8"/>
    <w:rsid w:val="0010240E"/>
    <w:rsid w:val="00102E78"/>
    <w:rsid w:val="001031F4"/>
    <w:rsid w:val="00103225"/>
    <w:rsid w:val="0010332A"/>
    <w:rsid w:val="00103E3B"/>
    <w:rsid w:val="00104B3C"/>
    <w:rsid w:val="00104DFD"/>
    <w:rsid w:val="001053CD"/>
    <w:rsid w:val="00106F35"/>
    <w:rsid w:val="001100A1"/>
    <w:rsid w:val="00110FB4"/>
    <w:rsid w:val="00111CC7"/>
    <w:rsid w:val="0011228F"/>
    <w:rsid w:val="00113C3C"/>
    <w:rsid w:val="00113F83"/>
    <w:rsid w:val="00114B0B"/>
    <w:rsid w:val="00114CAB"/>
    <w:rsid w:val="001155D8"/>
    <w:rsid w:val="00115F63"/>
    <w:rsid w:val="00116D08"/>
    <w:rsid w:val="00117B6F"/>
    <w:rsid w:val="0012128B"/>
    <w:rsid w:val="00121AEB"/>
    <w:rsid w:val="0012354D"/>
    <w:rsid w:val="001244C8"/>
    <w:rsid w:val="00124645"/>
    <w:rsid w:val="00126033"/>
    <w:rsid w:val="00126D33"/>
    <w:rsid w:val="001306D9"/>
    <w:rsid w:val="00131300"/>
    <w:rsid w:val="001313AA"/>
    <w:rsid w:val="00131416"/>
    <w:rsid w:val="001318F2"/>
    <w:rsid w:val="0013197E"/>
    <w:rsid w:val="00132D5B"/>
    <w:rsid w:val="001344A2"/>
    <w:rsid w:val="00135076"/>
    <w:rsid w:val="00135A4C"/>
    <w:rsid w:val="00135BFF"/>
    <w:rsid w:val="001362F2"/>
    <w:rsid w:val="0013644B"/>
    <w:rsid w:val="001365FD"/>
    <w:rsid w:val="0013726E"/>
    <w:rsid w:val="00137DFA"/>
    <w:rsid w:val="00140462"/>
    <w:rsid w:val="00142EF3"/>
    <w:rsid w:val="00143878"/>
    <w:rsid w:val="00143B12"/>
    <w:rsid w:val="00144726"/>
    <w:rsid w:val="00144D8B"/>
    <w:rsid w:val="001450DE"/>
    <w:rsid w:val="00145C8A"/>
    <w:rsid w:val="00146650"/>
    <w:rsid w:val="00146A16"/>
    <w:rsid w:val="00146DC6"/>
    <w:rsid w:val="00147136"/>
    <w:rsid w:val="001477C8"/>
    <w:rsid w:val="00150B44"/>
    <w:rsid w:val="00150C48"/>
    <w:rsid w:val="00150DAB"/>
    <w:rsid w:val="00151030"/>
    <w:rsid w:val="001510E1"/>
    <w:rsid w:val="001528E4"/>
    <w:rsid w:val="00152F4A"/>
    <w:rsid w:val="0015341A"/>
    <w:rsid w:val="00154AD5"/>
    <w:rsid w:val="00154E66"/>
    <w:rsid w:val="00155570"/>
    <w:rsid w:val="00155C46"/>
    <w:rsid w:val="0015601C"/>
    <w:rsid w:val="00156CD6"/>
    <w:rsid w:val="0015749E"/>
    <w:rsid w:val="001606E0"/>
    <w:rsid w:val="0016077E"/>
    <w:rsid w:val="00161361"/>
    <w:rsid w:val="0016294D"/>
    <w:rsid w:val="001638AD"/>
    <w:rsid w:val="001644D8"/>
    <w:rsid w:val="00165211"/>
    <w:rsid w:val="00165643"/>
    <w:rsid w:val="00165826"/>
    <w:rsid w:val="001659EB"/>
    <w:rsid w:val="00166797"/>
    <w:rsid w:val="00166DDE"/>
    <w:rsid w:val="00167512"/>
    <w:rsid w:val="00167CD2"/>
    <w:rsid w:val="00170762"/>
    <w:rsid w:val="00171816"/>
    <w:rsid w:val="00171D44"/>
    <w:rsid w:val="00172486"/>
    <w:rsid w:val="00172EEC"/>
    <w:rsid w:val="0017353E"/>
    <w:rsid w:val="00173C6E"/>
    <w:rsid w:val="00173FA8"/>
    <w:rsid w:val="001745A5"/>
    <w:rsid w:val="00180460"/>
    <w:rsid w:val="0018142C"/>
    <w:rsid w:val="00181465"/>
    <w:rsid w:val="0018181E"/>
    <w:rsid w:val="001819EE"/>
    <w:rsid w:val="00181CCA"/>
    <w:rsid w:val="001820FF"/>
    <w:rsid w:val="001823F2"/>
    <w:rsid w:val="001826FA"/>
    <w:rsid w:val="00183B6E"/>
    <w:rsid w:val="00183E89"/>
    <w:rsid w:val="0018417A"/>
    <w:rsid w:val="00184450"/>
    <w:rsid w:val="00184CE5"/>
    <w:rsid w:val="001860F0"/>
    <w:rsid w:val="001870F9"/>
    <w:rsid w:val="00187901"/>
    <w:rsid w:val="00190BE4"/>
    <w:rsid w:val="00191488"/>
    <w:rsid w:val="00192B15"/>
    <w:rsid w:val="0019303D"/>
    <w:rsid w:val="001937BA"/>
    <w:rsid w:val="00194034"/>
    <w:rsid w:val="0019437D"/>
    <w:rsid w:val="00194978"/>
    <w:rsid w:val="00195D4B"/>
    <w:rsid w:val="00195DDF"/>
    <w:rsid w:val="00196775"/>
    <w:rsid w:val="001967A8"/>
    <w:rsid w:val="00196B44"/>
    <w:rsid w:val="00196BB6"/>
    <w:rsid w:val="001A0D2A"/>
    <w:rsid w:val="001A0EBA"/>
    <w:rsid w:val="001A1AAC"/>
    <w:rsid w:val="001A1AD3"/>
    <w:rsid w:val="001A2F76"/>
    <w:rsid w:val="001A416A"/>
    <w:rsid w:val="001A4875"/>
    <w:rsid w:val="001A4BCF"/>
    <w:rsid w:val="001A50D5"/>
    <w:rsid w:val="001A5A64"/>
    <w:rsid w:val="001A5E6C"/>
    <w:rsid w:val="001A7140"/>
    <w:rsid w:val="001A7202"/>
    <w:rsid w:val="001A79E8"/>
    <w:rsid w:val="001A7F20"/>
    <w:rsid w:val="001B04DB"/>
    <w:rsid w:val="001B0DEA"/>
    <w:rsid w:val="001B1101"/>
    <w:rsid w:val="001B1990"/>
    <w:rsid w:val="001B24B1"/>
    <w:rsid w:val="001B4581"/>
    <w:rsid w:val="001B45D6"/>
    <w:rsid w:val="001B5848"/>
    <w:rsid w:val="001B5920"/>
    <w:rsid w:val="001B5D66"/>
    <w:rsid w:val="001B5DE4"/>
    <w:rsid w:val="001B62CB"/>
    <w:rsid w:val="001B6BB3"/>
    <w:rsid w:val="001B6C97"/>
    <w:rsid w:val="001B77E9"/>
    <w:rsid w:val="001B7C33"/>
    <w:rsid w:val="001C0FC3"/>
    <w:rsid w:val="001C0FD4"/>
    <w:rsid w:val="001C1D3D"/>
    <w:rsid w:val="001C1FB1"/>
    <w:rsid w:val="001C1FC3"/>
    <w:rsid w:val="001C2661"/>
    <w:rsid w:val="001C2B48"/>
    <w:rsid w:val="001C2C03"/>
    <w:rsid w:val="001C6BE7"/>
    <w:rsid w:val="001C7F83"/>
    <w:rsid w:val="001D06BE"/>
    <w:rsid w:val="001D091E"/>
    <w:rsid w:val="001D1666"/>
    <w:rsid w:val="001D23DE"/>
    <w:rsid w:val="001D2B35"/>
    <w:rsid w:val="001D2BC2"/>
    <w:rsid w:val="001D3633"/>
    <w:rsid w:val="001D369F"/>
    <w:rsid w:val="001D3BCB"/>
    <w:rsid w:val="001D3C51"/>
    <w:rsid w:val="001D419C"/>
    <w:rsid w:val="001D4B60"/>
    <w:rsid w:val="001D58E7"/>
    <w:rsid w:val="001D6695"/>
    <w:rsid w:val="001D68B0"/>
    <w:rsid w:val="001D6DE0"/>
    <w:rsid w:val="001D76EA"/>
    <w:rsid w:val="001D7C2F"/>
    <w:rsid w:val="001D7DFA"/>
    <w:rsid w:val="001D7E8D"/>
    <w:rsid w:val="001E04BC"/>
    <w:rsid w:val="001E0784"/>
    <w:rsid w:val="001E0B71"/>
    <w:rsid w:val="001E0C53"/>
    <w:rsid w:val="001E210E"/>
    <w:rsid w:val="001E240D"/>
    <w:rsid w:val="001E28C3"/>
    <w:rsid w:val="001E2935"/>
    <w:rsid w:val="001E4302"/>
    <w:rsid w:val="001E49BD"/>
    <w:rsid w:val="001E614D"/>
    <w:rsid w:val="001E6291"/>
    <w:rsid w:val="001E629A"/>
    <w:rsid w:val="001E69C4"/>
    <w:rsid w:val="001E6B76"/>
    <w:rsid w:val="001E6CD9"/>
    <w:rsid w:val="001F0E38"/>
    <w:rsid w:val="001F10D1"/>
    <w:rsid w:val="001F1A16"/>
    <w:rsid w:val="001F1F3F"/>
    <w:rsid w:val="001F205A"/>
    <w:rsid w:val="001F4168"/>
    <w:rsid w:val="001F4180"/>
    <w:rsid w:val="001F419C"/>
    <w:rsid w:val="001F4B1F"/>
    <w:rsid w:val="001F5848"/>
    <w:rsid w:val="001F6DF4"/>
    <w:rsid w:val="001F78F0"/>
    <w:rsid w:val="00200089"/>
    <w:rsid w:val="00200AE9"/>
    <w:rsid w:val="00200EB9"/>
    <w:rsid w:val="002027FA"/>
    <w:rsid w:val="00202A79"/>
    <w:rsid w:val="002039DB"/>
    <w:rsid w:val="00203A4F"/>
    <w:rsid w:val="00204599"/>
    <w:rsid w:val="002047C1"/>
    <w:rsid w:val="0020489E"/>
    <w:rsid w:val="00205462"/>
    <w:rsid w:val="00206170"/>
    <w:rsid w:val="00206874"/>
    <w:rsid w:val="002100AF"/>
    <w:rsid w:val="002105AC"/>
    <w:rsid w:val="00210EC9"/>
    <w:rsid w:val="00211769"/>
    <w:rsid w:val="00211DA1"/>
    <w:rsid w:val="0021204B"/>
    <w:rsid w:val="002120D5"/>
    <w:rsid w:val="002124CC"/>
    <w:rsid w:val="00212567"/>
    <w:rsid w:val="00212BA4"/>
    <w:rsid w:val="00213EC0"/>
    <w:rsid w:val="002142BA"/>
    <w:rsid w:val="00214C4C"/>
    <w:rsid w:val="00216121"/>
    <w:rsid w:val="00216326"/>
    <w:rsid w:val="00216943"/>
    <w:rsid w:val="0021694D"/>
    <w:rsid w:val="00216D03"/>
    <w:rsid w:val="00216E74"/>
    <w:rsid w:val="00217D17"/>
    <w:rsid w:val="00220806"/>
    <w:rsid w:val="002209AE"/>
    <w:rsid w:val="00220D0B"/>
    <w:rsid w:val="002211AF"/>
    <w:rsid w:val="002212AC"/>
    <w:rsid w:val="00221E51"/>
    <w:rsid w:val="00223722"/>
    <w:rsid w:val="002237C3"/>
    <w:rsid w:val="00224A7B"/>
    <w:rsid w:val="00225CB8"/>
    <w:rsid w:val="00225CF1"/>
    <w:rsid w:val="00226BF3"/>
    <w:rsid w:val="0023001A"/>
    <w:rsid w:val="0023023A"/>
    <w:rsid w:val="00230688"/>
    <w:rsid w:val="00230892"/>
    <w:rsid w:val="00230B46"/>
    <w:rsid w:val="00231096"/>
    <w:rsid w:val="0023221C"/>
    <w:rsid w:val="00232571"/>
    <w:rsid w:val="002327B6"/>
    <w:rsid w:val="00234F86"/>
    <w:rsid w:val="00235D02"/>
    <w:rsid w:val="0023610B"/>
    <w:rsid w:val="00236373"/>
    <w:rsid w:val="002369AA"/>
    <w:rsid w:val="0023730B"/>
    <w:rsid w:val="002377C9"/>
    <w:rsid w:val="002400AB"/>
    <w:rsid w:val="00240C82"/>
    <w:rsid w:val="00241237"/>
    <w:rsid w:val="0024191F"/>
    <w:rsid w:val="00241FD0"/>
    <w:rsid w:val="002423C9"/>
    <w:rsid w:val="00243348"/>
    <w:rsid w:val="002437D0"/>
    <w:rsid w:val="0024402A"/>
    <w:rsid w:val="00244E6C"/>
    <w:rsid w:val="0024530F"/>
    <w:rsid w:val="0024551E"/>
    <w:rsid w:val="0024554A"/>
    <w:rsid w:val="0024697E"/>
    <w:rsid w:val="00246A98"/>
    <w:rsid w:val="00246B92"/>
    <w:rsid w:val="00246CEF"/>
    <w:rsid w:val="00246EA2"/>
    <w:rsid w:val="0024794A"/>
    <w:rsid w:val="00247D6A"/>
    <w:rsid w:val="002500A2"/>
    <w:rsid w:val="00250EF7"/>
    <w:rsid w:val="002517D3"/>
    <w:rsid w:val="00252127"/>
    <w:rsid w:val="00252860"/>
    <w:rsid w:val="002529A1"/>
    <w:rsid w:val="00252CCB"/>
    <w:rsid w:val="0025315F"/>
    <w:rsid w:val="002543E9"/>
    <w:rsid w:val="00254643"/>
    <w:rsid w:val="00254BDD"/>
    <w:rsid w:val="002559EE"/>
    <w:rsid w:val="00255A59"/>
    <w:rsid w:val="00256329"/>
    <w:rsid w:val="0025674B"/>
    <w:rsid w:val="002570B1"/>
    <w:rsid w:val="0025779A"/>
    <w:rsid w:val="00257FE0"/>
    <w:rsid w:val="002612FF"/>
    <w:rsid w:val="002613D0"/>
    <w:rsid w:val="002614BE"/>
    <w:rsid w:val="00261B8B"/>
    <w:rsid w:val="0026242A"/>
    <w:rsid w:val="00262B86"/>
    <w:rsid w:val="00262ED9"/>
    <w:rsid w:val="0026337A"/>
    <w:rsid w:val="002635CF"/>
    <w:rsid w:val="00264460"/>
    <w:rsid w:val="00264B09"/>
    <w:rsid w:val="00264FE9"/>
    <w:rsid w:val="002650CD"/>
    <w:rsid w:val="002656FB"/>
    <w:rsid w:val="0026607A"/>
    <w:rsid w:val="00267D3F"/>
    <w:rsid w:val="0027023A"/>
    <w:rsid w:val="00270665"/>
    <w:rsid w:val="00270C0C"/>
    <w:rsid w:val="002716A7"/>
    <w:rsid w:val="00271F91"/>
    <w:rsid w:val="00272E36"/>
    <w:rsid w:val="00273285"/>
    <w:rsid w:val="00273F7D"/>
    <w:rsid w:val="002747A6"/>
    <w:rsid w:val="002759C4"/>
    <w:rsid w:val="0027667E"/>
    <w:rsid w:val="002769F5"/>
    <w:rsid w:val="00277127"/>
    <w:rsid w:val="0027789C"/>
    <w:rsid w:val="002778BB"/>
    <w:rsid w:val="00280945"/>
    <w:rsid w:val="00280A42"/>
    <w:rsid w:val="00283274"/>
    <w:rsid w:val="00283FA1"/>
    <w:rsid w:val="00284799"/>
    <w:rsid w:val="00284A76"/>
    <w:rsid w:val="00284EFA"/>
    <w:rsid w:val="00287A4A"/>
    <w:rsid w:val="00287C43"/>
    <w:rsid w:val="00290CE5"/>
    <w:rsid w:val="00290F02"/>
    <w:rsid w:val="00291279"/>
    <w:rsid w:val="0029150C"/>
    <w:rsid w:val="0029168B"/>
    <w:rsid w:val="00291E71"/>
    <w:rsid w:val="002925A0"/>
    <w:rsid w:val="00293100"/>
    <w:rsid w:val="00293E0F"/>
    <w:rsid w:val="002958BA"/>
    <w:rsid w:val="00296662"/>
    <w:rsid w:val="00297522"/>
    <w:rsid w:val="002A0FFF"/>
    <w:rsid w:val="002A1566"/>
    <w:rsid w:val="002A1C22"/>
    <w:rsid w:val="002A4ED3"/>
    <w:rsid w:val="002A5157"/>
    <w:rsid w:val="002A51F4"/>
    <w:rsid w:val="002A5340"/>
    <w:rsid w:val="002A64B8"/>
    <w:rsid w:val="002A6995"/>
    <w:rsid w:val="002A7494"/>
    <w:rsid w:val="002A7D21"/>
    <w:rsid w:val="002B0581"/>
    <w:rsid w:val="002B09D0"/>
    <w:rsid w:val="002B13E4"/>
    <w:rsid w:val="002B178B"/>
    <w:rsid w:val="002B1FF7"/>
    <w:rsid w:val="002B25AD"/>
    <w:rsid w:val="002B34CD"/>
    <w:rsid w:val="002B352A"/>
    <w:rsid w:val="002B493D"/>
    <w:rsid w:val="002B4CE6"/>
    <w:rsid w:val="002B5885"/>
    <w:rsid w:val="002B7128"/>
    <w:rsid w:val="002B7B6F"/>
    <w:rsid w:val="002B7EAC"/>
    <w:rsid w:val="002C0051"/>
    <w:rsid w:val="002C0318"/>
    <w:rsid w:val="002C14D3"/>
    <w:rsid w:val="002C2525"/>
    <w:rsid w:val="002C2711"/>
    <w:rsid w:val="002C2B0F"/>
    <w:rsid w:val="002C30D2"/>
    <w:rsid w:val="002C3589"/>
    <w:rsid w:val="002C3839"/>
    <w:rsid w:val="002C445E"/>
    <w:rsid w:val="002C499A"/>
    <w:rsid w:val="002C4C91"/>
    <w:rsid w:val="002C566A"/>
    <w:rsid w:val="002C56B1"/>
    <w:rsid w:val="002C5973"/>
    <w:rsid w:val="002C71F0"/>
    <w:rsid w:val="002C7757"/>
    <w:rsid w:val="002D003F"/>
    <w:rsid w:val="002D07D8"/>
    <w:rsid w:val="002D1660"/>
    <w:rsid w:val="002D210B"/>
    <w:rsid w:val="002D26F5"/>
    <w:rsid w:val="002D27B9"/>
    <w:rsid w:val="002D48EB"/>
    <w:rsid w:val="002D4A21"/>
    <w:rsid w:val="002D4A23"/>
    <w:rsid w:val="002D63E7"/>
    <w:rsid w:val="002D6544"/>
    <w:rsid w:val="002D7A48"/>
    <w:rsid w:val="002D7CC7"/>
    <w:rsid w:val="002E07AF"/>
    <w:rsid w:val="002E2051"/>
    <w:rsid w:val="002E21F5"/>
    <w:rsid w:val="002E458B"/>
    <w:rsid w:val="002E5114"/>
    <w:rsid w:val="002E5426"/>
    <w:rsid w:val="002E58EE"/>
    <w:rsid w:val="002E6116"/>
    <w:rsid w:val="002E7399"/>
    <w:rsid w:val="002F092F"/>
    <w:rsid w:val="002F0D66"/>
    <w:rsid w:val="002F1210"/>
    <w:rsid w:val="002F1984"/>
    <w:rsid w:val="002F2AB5"/>
    <w:rsid w:val="002F2C11"/>
    <w:rsid w:val="002F32A4"/>
    <w:rsid w:val="002F334C"/>
    <w:rsid w:val="002F38F7"/>
    <w:rsid w:val="002F3CD0"/>
    <w:rsid w:val="002F3E3B"/>
    <w:rsid w:val="002F3EC0"/>
    <w:rsid w:val="002F48D1"/>
    <w:rsid w:val="002F589C"/>
    <w:rsid w:val="002F5D6D"/>
    <w:rsid w:val="002F6BD0"/>
    <w:rsid w:val="002F7405"/>
    <w:rsid w:val="002F7674"/>
    <w:rsid w:val="002F7E09"/>
    <w:rsid w:val="002F7FEB"/>
    <w:rsid w:val="00300262"/>
    <w:rsid w:val="00301025"/>
    <w:rsid w:val="0030231C"/>
    <w:rsid w:val="00304CF5"/>
    <w:rsid w:val="00304D43"/>
    <w:rsid w:val="00305825"/>
    <w:rsid w:val="0030582D"/>
    <w:rsid w:val="0030601A"/>
    <w:rsid w:val="003064BD"/>
    <w:rsid w:val="003069F9"/>
    <w:rsid w:val="0030736E"/>
    <w:rsid w:val="00307460"/>
    <w:rsid w:val="003077BD"/>
    <w:rsid w:val="00310405"/>
    <w:rsid w:val="003113BA"/>
    <w:rsid w:val="003116E8"/>
    <w:rsid w:val="003119F1"/>
    <w:rsid w:val="00311D19"/>
    <w:rsid w:val="00311FD1"/>
    <w:rsid w:val="00313077"/>
    <w:rsid w:val="00314359"/>
    <w:rsid w:val="00314D4F"/>
    <w:rsid w:val="00314FE4"/>
    <w:rsid w:val="00315663"/>
    <w:rsid w:val="00315819"/>
    <w:rsid w:val="0031590B"/>
    <w:rsid w:val="00315DE7"/>
    <w:rsid w:val="003162A1"/>
    <w:rsid w:val="00317421"/>
    <w:rsid w:val="00317511"/>
    <w:rsid w:val="00317697"/>
    <w:rsid w:val="003208A9"/>
    <w:rsid w:val="00320CC7"/>
    <w:rsid w:val="00320EFD"/>
    <w:rsid w:val="003213F9"/>
    <w:rsid w:val="0032159E"/>
    <w:rsid w:val="00322920"/>
    <w:rsid w:val="0032381D"/>
    <w:rsid w:val="0032602E"/>
    <w:rsid w:val="00326701"/>
    <w:rsid w:val="00326990"/>
    <w:rsid w:val="00326AC1"/>
    <w:rsid w:val="00326CE5"/>
    <w:rsid w:val="003274E0"/>
    <w:rsid w:val="00327532"/>
    <w:rsid w:val="003276A3"/>
    <w:rsid w:val="00327F0F"/>
    <w:rsid w:val="0033048B"/>
    <w:rsid w:val="003304F4"/>
    <w:rsid w:val="003309BD"/>
    <w:rsid w:val="00330A18"/>
    <w:rsid w:val="0033101F"/>
    <w:rsid w:val="003317E2"/>
    <w:rsid w:val="0033253A"/>
    <w:rsid w:val="003330D1"/>
    <w:rsid w:val="00333530"/>
    <w:rsid w:val="00333D5B"/>
    <w:rsid w:val="0033513B"/>
    <w:rsid w:val="00335A16"/>
    <w:rsid w:val="00336DA9"/>
    <w:rsid w:val="00340FF6"/>
    <w:rsid w:val="003410B7"/>
    <w:rsid w:val="003411E7"/>
    <w:rsid w:val="00341768"/>
    <w:rsid w:val="00342B21"/>
    <w:rsid w:val="0034301D"/>
    <w:rsid w:val="00343866"/>
    <w:rsid w:val="00343919"/>
    <w:rsid w:val="00343C3D"/>
    <w:rsid w:val="00345C33"/>
    <w:rsid w:val="003466D8"/>
    <w:rsid w:val="003471E1"/>
    <w:rsid w:val="00347627"/>
    <w:rsid w:val="00347666"/>
    <w:rsid w:val="00350F7A"/>
    <w:rsid w:val="00351F4F"/>
    <w:rsid w:val="00351F67"/>
    <w:rsid w:val="003521AE"/>
    <w:rsid w:val="003528D9"/>
    <w:rsid w:val="003534F0"/>
    <w:rsid w:val="003537C6"/>
    <w:rsid w:val="00353A79"/>
    <w:rsid w:val="0035485F"/>
    <w:rsid w:val="00354BBC"/>
    <w:rsid w:val="00354E65"/>
    <w:rsid w:val="003605C3"/>
    <w:rsid w:val="0036076A"/>
    <w:rsid w:val="003611CE"/>
    <w:rsid w:val="003620A8"/>
    <w:rsid w:val="003622D3"/>
    <w:rsid w:val="003627D8"/>
    <w:rsid w:val="003629D3"/>
    <w:rsid w:val="00362BB6"/>
    <w:rsid w:val="00363276"/>
    <w:rsid w:val="00363347"/>
    <w:rsid w:val="00364490"/>
    <w:rsid w:val="0036476F"/>
    <w:rsid w:val="00364DAE"/>
    <w:rsid w:val="00364E9B"/>
    <w:rsid w:val="0036660E"/>
    <w:rsid w:val="0036662D"/>
    <w:rsid w:val="00367AEA"/>
    <w:rsid w:val="003704C3"/>
    <w:rsid w:val="00370CA5"/>
    <w:rsid w:val="00370CB5"/>
    <w:rsid w:val="00370F76"/>
    <w:rsid w:val="0037194F"/>
    <w:rsid w:val="00371E0A"/>
    <w:rsid w:val="00372497"/>
    <w:rsid w:val="00372E03"/>
    <w:rsid w:val="00374DD9"/>
    <w:rsid w:val="00375219"/>
    <w:rsid w:val="003758FB"/>
    <w:rsid w:val="00375C37"/>
    <w:rsid w:val="00375D18"/>
    <w:rsid w:val="00375EC2"/>
    <w:rsid w:val="003772F7"/>
    <w:rsid w:val="00377751"/>
    <w:rsid w:val="0038013E"/>
    <w:rsid w:val="00380A89"/>
    <w:rsid w:val="00380EF9"/>
    <w:rsid w:val="00380F51"/>
    <w:rsid w:val="00381ACE"/>
    <w:rsid w:val="00381E04"/>
    <w:rsid w:val="00381EDD"/>
    <w:rsid w:val="003825B4"/>
    <w:rsid w:val="00382A26"/>
    <w:rsid w:val="00383D26"/>
    <w:rsid w:val="0038494E"/>
    <w:rsid w:val="003850D6"/>
    <w:rsid w:val="003860E8"/>
    <w:rsid w:val="003863C6"/>
    <w:rsid w:val="0038752A"/>
    <w:rsid w:val="003878FE"/>
    <w:rsid w:val="00390416"/>
    <w:rsid w:val="00390C24"/>
    <w:rsid w:val="00390CDF"/>
    <w:rsid w:val="0039134D"/>
    <w:rsid w:val="00391A2E"/>
    <w:rsid w:val="00391A9D"/>
    <w:rsid w:val="0039203C"/>
    <w:rsid w:val="00392416"/>
    <w:rsid w:val="00392CF3"/>
    <w:rsid w:val="003939FE"/>
    <w:rsid w:val="00394B9F"/>
    <w:rsid w:val="0039516B"/>
    <w:rsid w:val="003968A8"/>
    <w:rsid w:val="00397FFE"/>
    <w:rsid w:val="003A0C22"/>
    <w:rsid w:val="003A191B"/>
    <w:rsid w:val="003A2D0A"/>
    <w:rsid w:val="003A3355"/>
    <w:rsid w:val="003A3BA1"/>
    <w:rsid w:val="003A4082"/>
    <w:rsid w:val="003A4291"/>
    <w:rsid w:val="003A47B5"/>
    <w:rsid w:val="003A4D3D"/>
    <w:rsid w:val="003A5439"/>
    <w:rsid w:val="003A5D4A"/>
    <w:rsid w:val="003A6EC0"/>
    <w:rsid w:val="003B044B"/>
    <w:rsid w:val="003B0BB9"/>
    <w:rsid w:val="003B1692"/>
    <w:rsid w:val="003B1907"/>
    <w:rsid w:val="003B194B"/>
    <w:rsid w:val="003B22A9"/>
    <w:rsid w:val="003B24E6"/>
    <w:rsid w:val="003B26C6"/>
    <w:rsid w:val="003B36A0"/>
    <w:rsid w:val="003B4183"/>
    <w:rsid w:val="003B6092"/>
    <w:rsid w:val="003B61F3"/>
    <w:rsid w:val="003B68D7"/>
    <w:rsid w:val="003B7CBD"/>
    <w:rsid w:val="003C1197"/>
    <w:rsid w:val="003C3859"/>
    <w:rsid w:val="003C3E83"/>
    <w:rsid w:val="003C41EF"/>
    <w:rsid w:val="003C4321"/>
    <w:rsid w:val="003C56A5"/>
    <w:rsid w:val="003C5DAA"/>
    <w:rsid w:val="003C6DBD"/>
    <w:rsid w:val="003C726E"/>
    <w:rsid w:val="003C734E"/>
    <w:rsid w:val="003D0EB1"/>
    <w:rsid w:val="003D14CC"/>
    <w:rsid w:val="003D1997"/>
    <w:rsid w:val="003D2A33"/>
    <w:rsid w:val="003D2CBA"/>
    <w:rsid w:val="003D344D"/>
    <w:rsid w:val="003D3C3C"/>
    <w:rsid w:val="003D49B9"/>
    <w:rsid w:val="003D52F8"/>
    <w:rsid w:val="003D5395"/>
    <w:rsid w:val="003D5C43"/>
    <w:rsid w:val="003D5C69"/>
    <w:rsid w:val="003D62AC"/>
    <w:rsid w:val="003D641B"/>
    <w:rsid w:val="003D646A"/>
    <w:rsid w:val="003D67A9"/>
    <w:rsid w:val="003D7A5F"/>
    <w:rsid w:val="003E02B8"/>
    <w:rsid w:val="003E1063"/>
    <w:rsid w:val="003E1F7B"/>
    <w:rsid w:val="003E374A"/>
    <w:rsid w:val="003E3EDF"/>
    <w:rsid w:val="003E52E7"/>
    <w:rsid w:val="003E530F"/>
    <w:rsid w:val="003E53BA"/>
    <w:rsid w:val="003E5F23"/>
    <w:rsid w:val="003E751A"/>
    <w:rsid w:val="003E7FE9"/>
    <w:rsid w:val="003F007B"/>
    <w:rsid w:val="003F04A5"/>
    <w:rsid w:val="003F06EA"/>
    <w:rsid w:val="003F15EC"/>
    <w:rsid w:val="003F1F8A"/>
    <w:rsid w:val="003F2555"/>
    <w:rsid w:val="003F2C51"/>
    <w:rsid w:val="003F384F"/>
    <w:rsid w:val="003F49EA"/>
    <w:rsid w:val="003F4DF6"/>
    <w:rsid w:val="003F54AC"/>
    <w:rsid w:val="003F57B3"/>
    <w:rsid w:val="003F5B66"/>
    <w:rsid w:val="003F5F58"/>
    <w:rsid w:val="003F6F02"/>
    <w:rsid w:val="003F6F35"/>
    <w:rsid w:val="003F7649"/>
    <w:rsid w:val="0040234F"/>
    <w:rsid w:val="00402A76"/>
    <w:rsid w:val="00403541"/>
    <w:rsid w:val="0040432E"/>
    <w:rsid w:val="00404600"/>
    <w:rsid w:val="00405CFB"/>
    <w:rsid w:val="00406783"/>
    <w:rsid w:val="0040718B"/>
    <w:rsid w:val="0040762E"/>
    <w:rsid w:val="00410CC4"/>
    <w:rsid w:val="00411868"/>
    <w:rsid w:val="00411B72"/>
    <w:rsid w:val="00412A9F"/>
    <w:rsid w:val="0041414D"/>
    <w:rsid w:val="0041477C"/>
    <w:rsid w:val="0041604F"/>
    <w:rsid w:val="004174D9"/>
    <w:rsid w:val="0041750B"/>
    <w:rsid w:val="004176DD"/>
    <w:rsid w:val="00417852"/>
    <w:rsid w:val="0042088F"/>
    <w:rsid w:val="0042098C"/>
    <w:rsid w:val="00420D31"/>
    <w:rsid w:val="00420FCF"/>
    <w:rsid w:val="00421232"/>
    <w:rsid w:val="00421E06"/>
    <w:rsid w:val="00421ED2"/>
    <w:rsid w:val="00425213"/>
    <w:rsid w:val="0042584A"/>
    <w:rsid w:val="004278C1"/>
    <w:rsid w:val="00427AD8"/>
    <w:rsid w:val="0043058A"/>
    <w:rsid w:val="004305F8"/>
    <w:rsid w:val="00431A3C"/>
    <w:rsid w:val="004328C1"/>
    <w:rsid w:val="004331AA"/>
    <w:rsid w:val="004347C0"/>
    <w:rsid w:val="00434D21"/>
    <w:rsid w:val="00435C15"/>
    <w:rsid w:val="0043617A"/>
    <w:rsid w:val="004365B5"/>
    <w:rsid w:val="004366E7"/>
    <w:rsid w:val="00436AA1"/>
    <w:rsid w:val="00437227"/>
    <w:rsid w:val="00437CBB"/>
    <w:rsid w:val="00440491"/>
    <w:rsid w:val="004404EB"/>
    <w:rsid w:val="00440727"/>
    <w:rsid w:val="0044088D"/>
    <w:rsid w:val="00440A2D"/>
    <w:rsid w:val="00440B42"/>
    <w:rsid w:val="00440DAB"/>
    <w:rsid w:val="0044106E"/>
    <w:rsid w:val="00441C64"/>
    <w:rsid w:val="00442602"/>
    <w:rsid w:val="00442A44"/>
    <w:rsid w:val="0044301C"/>
    <w:rsid w:val="0044467F"/>
    <w:rsid w:val="00444743"/>
    <w:rsid w:val="00446F46"/>
    <w:rsid w:val="004473A2"/>
    <w:rsid w:val="00447521"/>
    <w:rsid w:val="00447815"/>
    <w:rsid w:val="00450215"/>
    <w:rsid w:val="00450A81"/>
    <w:rsid w:val="00451609"/>
    <w:rsid w:val="00451797"/>
    <w:rsid w:val="00451BCF"/>
    <w:rsid w:val="00451D06"/>
    <w:rsid w:val="0045350D"/>
    <w:rsid w:val="00453CD8"/>
    <w:rsid w:val="00453FBB"/>
    <w:rsid w:val="00454309"/>
    <w:rsid w:val="0045434F"/>
    <w:rsid w:val="00454F0F"/>
    <w:rsid w:val="00455EBB"/>
    <w:rsid w:val="00455F44"/>
    <w:rsid w:val="00457414"/>
    <w:rsid w:val="00457AC7"/>
    <w:rsid w:val="004606B2"/>
    <w:rsid w:val="0046077A"/>
    <w:rsid w:val="004608D8"/>
    <w:rsid w:val="00461453"/>
    <w:rsid w:val="00461559"/>
    <w:rsid w:val="00461A89"/>
    <w:rsid w:val="00462EF6"/>
    <w:rsid w:val="0046316C"/>
    <w:rsid w:val="00463519"/>
    <w:rsid w:val="00463692"/>
    <w:rsid w:val="00463A3E"/>
    <w:rsid w:val="004647A0"/>
    <w:rsid w:val="004656D9"/>
    <w:rsid w:val="004657E5"/>
    <w:rsid w:val="00465A97"/>
    <w:rsid w:val="0046646E"/>
    <w:rsid w:val="00466F50"/>
    <w:rsid w:val="0046764F"/>
    <w:rsid w:val="00470D1A"/>
    <w:rsid w:val="00470D4F"/>
    <w:rsid w:val="00471D3B"/>
    <w:rsid w:val="00471EA6"/>
    <w:rsid w:val="00471F95"/>
    <w:rsid w:val="00472003"/>
    <w:rsid w:val="00472952"/>
    <w:rsid w:val="00473395"/>
    <w:rsid w:val="00473AAE"/>
    <w:rsid w:val="0047567D"/>
    <w:rsid w:val="004758D5"/>
    <w:rsid w:val="004758F9"/>
    <w:rsid w:val="00475BE2"/>
    <w:rsid w:val="00475D77"/>
    <w:rsid w:val="00475EF2"/>
    <w:rsid w:val="004762CA"/>
    <w:rsid w:val="00476CD2"/>
    <w:rsid w:val="0047712D"/>
    <w:rsid w:val="00477DCB"/>
    <w:rsid w:val="0048143C"/>
    <w:rsid w:val="0048265F"/>
    <w:rsid w:val="00483114"/>
    <w:rsid w:val="004831D3"/>
    <w:rsid w:val="004835C4"/>
    <w:rsid w:val="0048379D"/>
    <w:rsid w:val="00483C69"/>
    <w:rsid w:val="004847F5"/>
    <w:rsid w:val="00484833"/>
    <w:rsid w:val="00484A14"/>
    <w:rsid w:val="00486370"/>
    <w:rsid w:val="0048690A"/>
    <w:rsid w:val="00486CE7"/>
    <w:rsid w:val="00486D11"/>
    <w:rsid w:val="00487189"/>
    <w:rsid w:val="00490051"/>
    <w:rsid w:val="00490100"/>
    <w:rsid w:val="00490BA2"/>
    <w:rsid w:val="0049263C"/>
    <w:rsid w:val="004931D6"/>
    <w:rsid w:val="00495AE7"/>
    <w:rsid w:val="00495C50"/>
    <w:rsid w:val="004961FD"/>
    <w:rsid w:val="00496859"/>
    <w:rsid w:val="0049778D"/>
    <w:rsid w:val="004A05A4"/>
    <w:rsid w:val="004A0B8A"/>
    <w:rsid w:val="004A1674"/>
    <w:rsid w:val="004A1842"/>
    <w:rsid w:val="004A22C0"/>
    <w:rsid w:val="004A271B"/>
    <w:rsid w:val="004A3522"/>
    <w:rsid w:val="004A359F"/>
    <w:rsid w:val="004A371D"/>
    <w:rsid w:val="004A3BEA"/>
    <w:rsid w:val="004A47A2"/>
    <w:rsid w:val="004B070C"/>
    <w:rsid w:val="004B0E03"/>
    <w:rsid w:val="004B1EF4"/>
    <w:rsid w:val="004B24F4"/>
    <w:rsid w:val="004B274E"/>
    <w:rsid w:val="004B2C92"/>
    <w:rsid w:val="004B2CAD"/>
    <w:rsid w:val="004B3219"/>
    <w:rsid w:val="004B3700"/>
    <w:rsid w:val="004B46E2"/>
    <w:rsid w:val="004B4D26"/>
    <w:rsid w:val="004B575F"/>
    <w:rsid w:val="004B5AF4"/>
    <w:rsid w:val="004B6585"/>
    <w:rsid w:val="004B6B97"/>
    <w:rsid w:val="004B72F8"/>
    <w:rsid w:val="004B739D"/>
    <w:rsid w:val="004C0FF8"/>
    <w:rsid w:val="004C1092"/>
    <w:rsid w:val="004C1468"/>
    <w:rsid w:val="004C15F2"/>
    <w:rsid w:val="004C1BF5"/>
    <w:rsid w:val="004C2228"/>
    <w:rsid w:val="004C2B51"/>
    <w:rsid w:val="004C4A8B"/>
    <w:rsid w:val="004C546D"/>
    <w:rsid w:val="004C5D3E"/>
    <w:rsid w:val="004C6AAF"/>
    <w:rsid w:val="004D07AB"/>
    <w:rsid w:val="004D28CC"/>
    <w:rsid w:val="004D3944"/>
    <w:rsid w:val="004D4442"/>
    <w:rsid w:val="004D4674"/>
    <w:rsid w:val="004D4BFC"/>
    <w:rsid w:val="004D52B0"/>
    <w:rsid w:val="004D5F38"/>
    <w:rsid w:val="004D6238"/>
    <w:rsid w:val="004D681D"/>
    <w:rsid w:val="004D6C5E"/>
    <w:rsid w:val="004D753A"/>
    <w:rsid w:val="004E0402"/>
    <w:rsid w:val="004E0CDF"/>
    <w:rsid w:val="004E11B6"/>
    <w:rsid w:val="004E13B3"/>
    <w:rsid w:val="004E14CC"/>
    <w:rsid w:val="004E191B"/>
    <w:rsid w:val="004E1D6A"/>
    <w:rsid w:val="004E1EF8"/>
    <w:rsid w:val="004E1F82"/>
    <w:rsid w:val="004E36F2"/>
    <w:rsid w:val="004E3DC2"/>
    <w:rsid w:val="004E52F1"/>
    <w:rsid w:val="004E5AEF"/>
    <w:rsid w:val="004E6993"/>
    <w:rsid w:val="004E69FD"/>
    <w:rsid w:val="004E6CED"/>
    <w:rsid w:val="004E6DAA"/>
    <w:rsid w:val="004F06F7"/>
    <w:rsid w:val="004F079B"/>
    <w:rsid w:val="004F0B10"/>
    <w:rsid w:val="004F0C4B"/>
    <w:rsid w:val="004F137B"/>
    <w:rsid w:val="004F2115"/>
    <w:rsid w:val="004F29F0"/>
    <w:rsid w:val="004F44FA"/>
    <w:rsid w:val="004F468A"/>
    <w:rsid w:val="004F48C5"/>
    <w:rsid w:val="004F4FF8"/>
    <w:rsid w:val="004F5282"/>
    <w:rsid w:val="004F5290"/>
    <w:rsid w:val="004F53C2"/>
    <w:rsid w:val="004F5CFB"/>
    <w:rsid w:val="004F7A64"/>
    <w:rsid w:val="004F7CBC"/>
    <w:rsid w:val="004F7D62"/>
    <w:rsid w:val="0050118A"/>
    <w:rsid w:val="00501652"/>
    <w:rsid w:val="005022B5"/>
    <w:rsid w:val="0050252F"/>
    <w:rsid w:val="00502720"/>
    <w:rsid w:val="00502E93"/>
    <w:rsid w:val="005035EF"/>
    <w:rsid w:val="00503AF9"/>
    <w:rsid w:val="00503E1E"/>
    <w:rsid w:val="005049F0"/>
    <w:rsid w:val="00505403"/>
    <w:rsid w:val="00505580"/>
    <w:rsid w:val="005057F6"/>
    <w:rsid w:val="00505B7D"/>
    <w:rsid w:val="00505F30"/>
    <w:rsid w:val="00506829"/>
    <w:rsid w:val="00506D2A"/>
    <w:rsid w:val="0050736E"/>
    <w:rsid w:val="005075D3"/>
    <w:rsid w:val="00507C39"/>
    <w:rsid w:val="00507E08"/>
    <w:rsid w:val="00510DBC"/>
    <w:rsid w:val="0051153F"/>
    <w:rsid w:val="00512E17"/>
    <w:rsid w:val="0051547C"/>
    <w:rsid w:val="00515905"/>
    <w:rsid w:val="0051597B"/>
    <w:rsid w:val="005162D8"/>
    <w:rsid w:val="005163C3"/>
    <w:rsid w:val="005167D6"/>
    <w:rsid w:val="0051711E"/>
    <w:rsid w:val="005172C4"/>
    <w:rsid w:val="00517B27"/>
    <w:rsid w:val="0052052B"/>
    <w:rsid w:val="00524A8E"/>
    <w:rsid w:val="005256EE"/>
    <w:rsid w:val="00525AF0"/>
    <w:rsid w:val="00525F39"/>
    <w:rsid w:val="0052642B"/>
    <w:rsid w:val="00527413"/>
    <w:rsid w:val="00527424"/>
    <w:rsid w:val="005278AA"/>
    <w:rsid w:val="00527B1A"/>
    <w:rsid w:val="00527D25"/>
    <w:rsid w:val="005301BA"/>
    <w:rsid w:val="00531407"/>
    <w:rsid w:val="00531686"/>
    <w:rsid w:val="00531D09"/>
    <w:rsid w:val="00531FF4"/>
    <w:rsid w:val="005322F8"/>
    <w:rsid w:val="005325DF"/>
    <w:rsid w:val="00532E53"/>
    <w:rsid w:val="00533FCB"/>
    <w:rsid w:val="00534601"/>
    <w:rsid w:val="00534709"/>
    <w:rsid w:val="00534908"/>
    <w:rsid w:val="00535365"/>
    <w:rsid w:val="005360FF"/>
    <w:rsid w:val="00536D7F"/>
    <w:rsid w:val="00536FFE"/>
    <w:rsid w:val="00537535"/>
    <w:rsid w:val="00537C2D"/>
    <w:rsid w:val="005402FB"/>
    <w:rsid w:val="005407A0"/>
    <w:rsid w:val="005414B8"/>
    <w:rsid w:val="00542E08"/>
    <w:rsid w:val="00542FB0"/>
    <w:rsid w:val="0054425E"/>
    <w:rsid w:val="00544CB6"/>
    <w:rsid w:val="00544F84"/>
    <w:rsid w:val="0054504B"/>
    <w:rsid w:val="00546200"/>
    <w:rsid w:val="00546CF5"/>
    <w:rsid w:val="00546D81"/>
    <w:rsid w:val="00547396"/>
    <w:rsid w:val="00550281"/>
    <w:rsid w:val="00550AA7"/>
    <w:rsid w:val="00551149"/>
    <w:rsid w:val="005513EB"/>
    <w:rsid w:val="0055242B"/>
    <w:rsid w:val="00552A7B"/>
    <w:rsid w:val="00552F3B"/>
    <w:rsid w:val="005530FA"/>
    <w:rsid w:val="0055376F"/>
    <w:rsid w:val="00553CC4"/>
    <w:rsid w:val="00553EFC"/>
    <w:rsid w:val="00554239"/>
    <w:rsid w:val="00554899"/>
    <w:rsid w:val="00554ADE"/>
    <w:rsid w:val="00555CCA"/>
    <w:rsid w:val="005565F8"/>
    <w:rsid w:val="00556B74"/>
    <w:rsid w:val="00557602"/>
    <w:rsid w:val="00557683"/>
    <w:rsid w:val="0056058F"/>
    <w:rsid w:val="005606BF"/>
    <w:rsid w:val="00560FFD"/>
    <w:rsid w:val="00561129"/>
    <w:rsid w:val="005618CA"/>
    <w:rsid w:val="0056325F"/>
    <w:rsid w:val="00563C4E"/>
    <w:rsid w:val="00563C81"/>
    <w:rsid w:val="005640E3"/>
    <w:rsid w:val="00564594"/>
    <w:rsid w:val="0056467B"/>
    <w:rsid w:val="00564688"/>
    <w:rsid w:val="005650CB"/>
    <w:rsid w:val="00565319"/>
    <w:rsid w:val="00565327"/>
    <w:rsid w:val="0056549A"/>
    <w:rsid w:val="00566480"/>
    <w:rsid w:val="0056672A"/>
    <w:rsid w:val="00566BCA"/>
    <w:rsid w:val="005672BA"/>
    <w:rsid w:val="00570B03"/>
    <w:rsid w:val="00570C52"/>
    <w:rsid w:val="005722E9"/>
    <w:rsid w:val="00572CEC"/>
    <w:rsid w:val="005732CF"/>
    <w:rsid w:val="00573398"/>
    <w:rsid w:val="005733AE"/>
    <w:rsid w:val="00573435"/>
    <w:rsid w:val="00574B92"/>
    <w:rsid w:val="00574D28"/>
    <w:rsid w:val="00574FF4"/>
    <w:rsid w:val="00575396"/>
    <w:rsid w:val="0057617D"/>
    <w:rsid w:val="00576CE9"/>
    <w:rsid w:val="00576F91"/>
    <w:rsid w:val="0057704D"/>
    <w:rsid w:val="0057725E"/>
    <w:rsid w:val="00580209"/>
    <w:rsid w:val="00580AE7"/>
    <w:rsid w:val="00580B1C"/>
    <w:rsid w:val="00580B62"/>
    <w:rsid w:val="00581979"/>
    <w:rsid w:val="005821D1"/>
    <w:rsid w:val="005825D4"/>
    <w:rsid w:val="00582F58"/>
    <w:rsid w:val="005831B4"/>
    <w:rsid w:val="00583A67"/>
    <w:rsid w:val="00583AAF"/>
    <w:rsid w:val="00583FED"/>
    <w:rsid w:val="00586524"/>
    <w:rsid w:val="00587EB8"/>
    <w:rsid w:val="00587EC7"/>
    <w:rsid w:val="005901AF"/>
    <w:rsid w:val="005920FB"/>
    <w:rsid w:val="00592EE7"/>
    <w:rsid w:val="005939C7"/>
    <w:rsid w:val="00593FEF"/>
    <w:rsid w:val="00594DA4"/>
    <w:rsid w:val="00594E87"/>
    <w:rsid w:val="005964E4"/>
    <w:rsid w:val="005A0EE5"/>
    <w:rsid w:val="005A0FA1"/>
    <w:rsid w:val="005A0FAA"/>
    <w:rsid w:val="005A24CB"/>
    <w:rsid w:val="005A2A3C"/>
    <w:rsid w:val="005A3C06"/>
    <w:rsid w:val="005A5266"/>
    <w:rsid w:val="005A5483"/>
    <w:rsid w:val="005A6601"/>
    <w:rsid w:val="005A6892"/>
    <w:rsid w:val="005A6A3C"/>
    <w:rsid w:val="005A6DAA"/>
    <w:rsid w:val="005A6EE3"/>
    <w:rsid w:val="005B0AE7"/>
    <w:rsid w:val="005B0D64"/>
    <w:rsid w:val="005B12E4"/>
    <w:rsid w:val="005B16FD"/>
    <w:rsid w:val="005B23B8"/>
    <w:rsid w:val="005B2472"/>
    <w:rsid w:val="005B2997"/>
    <w:rsid w:val="005B2EB9"/>
    <w:rsid w:val="005B3286"/>
    <w:rsid w:val="005B3AD5"/>
    <w:rsid w:val="005B4983"/>
    <w:rsid w:val="005B4A38"/>
    <w:rsid w:val="005B5FFB"/>
    <w:rsid w:val="005B688A"/>
    <w:rsid w:val="005B6A14"/>
    <w:rsid w:val="005B6B7C"/>
    <w:rsid w:val="005B746D"/>
    <w:rsid w:val="005B7F7F"/>
    <w:rsid w:val="005C04A0"/>
    <w:rsid w:val="005C1AE3"/>
    <w:rsid w:val="005C222C"/>
    <w:rsid w:val="005C245D"/>
    <w:rsid w:val="005C3FE3"/>
    <w:rsid w:val="005C4985"/>
    <w:rsid w:val="005C4D12"/>
    <w:rsid w:val="005C513C"/>
    <w:rsid w:val="005C5202"/>
    <w:rsid w:val="005C58C3"/>
    <w:rsid w:val="005C5DF4"/>
    <w:rsid w:val="005C6307"/>
    <w:rsid w:val="005C6929"/>
    <w:rsid w:val="005C7E9A"/>
    <w:rsid w:val="005D25EB"/>
    <w:rsid w:val="005D27BF"/>
    <w:rsid w:val="005D28A5"/>
    <w:rsid w:val="005D2CFA"/>
    <w:rsid w:val="005D3BF2"/>
    <w:rsid w:val="005D3D3A"/>
    <w:rsid w:val="005D6D51"/>
    <w:rsid w:val="005D6ED7"/>
    <w:rsid w:val="005D7C93"/>
    <w:rsid w:val="005E003A"/>
    <w:rsid w:val="005E0498"/>
    <w:rsid w:val="005E07AE"/>
    <w:rsid w:val="005E07D7"/>
    <w:rsid w:val="005E0FBF"/>
    <w:rsid w:val="005E1044"/>
    <w:rsid w:val="005E14E8"/>
    <w:rsid w:val="005E198D"/>
    <w:rsid w:val="005E2508"/>
    <w:rsid w:val="005E27E3"/>
    <w:rsid w:val="005E3373"/>
    <w:rsid w:val="005E33C8"/>
    <w:rsid w:val="005E35F7"/>
    <w:rsid w:val="005E3750"/>
    <w:rsid w:val="005E391D"/>
    <w:rsid w:val="005E40AE"/>
    <w:rsid w:val="005E4CF0"/>
    <w:rsid w:val="005E4CFC"/>
    <w:rsid w:val="005E5844"/>
    <w:rsid w:val="005E6913"/>
    <w:rsid w:val="005E6ADB"/>
    <w:rsid w:val="005E7DC7"/>
    <w:rsid w:val="005E7E2A"/>
    <w:rsid w:val="005F0225"/>
    <w:rsid w:val="005F048F"/>
    <w:rsid w:val="005F0832"/>
    <w:rsid w:val="005F257C"/>
    <w:rsid w:val="005F2EE5"/>
    <w:rsid w:val="005F32DC"/>
    <w:rsid w:val="005F39CD"/>
    <w:rsid w:val="005F4658"/>
    <w:rsid w:val="005F47A7"/>
    <w:rsid w:val="005F5A34"/>
    <w:rsid w:val="005F6386"/>
    <w:rsid w:val="005F6C77"/>
    <w:rsid w:val="005F725F"/>
    <w:rsid w:val="005F77DF"/>
    <w:rsid w:val="0060137A"/>
    <w:rsid w:val="00601743"/>
    <w:rsid w:val="00601902"/>
    <w:rsid w:val="00601AA5"/>
    <w:rsid w:val="00601D41"/>
    <w:rsid w:val="00602197"/>
    <w:rsid w:val="006023A8"/>
    <w:rsid w:val="006024C1"/>
    <w:rsid w:val="006024ED"/>
    <w:rsid w:val="0060267F"/>
    <w:rsid w:val="006027EA"/>
    <w:rsid w:val="00603703"/>
    <w:rsid w:val="00603BE1"/>
    <w:rsid w:val="006041A4"/>
    <w:rsid w:val="0060495F"/>
    <w:rsid w:val="0060550C"/>
    <w:rsid w:val="0060554D"/>
    <w:rsid w:val="006074CD"/>
    <w:rsid w:val="006078D8"/>
    <w:rsid w:val="00607E94"/>
    <w:rsid w:val="00610252"/>
    <w:rsid w:val="006102ED"/>
    <w:rsid w:val="00610410"/>
    <w:rsid w:val="00610967"/>
    <w:rsid w:val="00610B27"/>
    <w:rsid w:val="00610C73"/>
    <w:rsid w:val="00612059"/>
    <w:rsid w:val="00614C19"/>
    <w:rsid w:val="006159F7"/>
    <w:rsid w:val="00615AEF"/>
    <w:rsid w:val="006202CE"/>
    <w:rsid w:val="0062151D"/>
    <w:rsid w:val="00621A67"/>
    <w:rsid w:val="00621E61"/>
    <w:rsid w:val="006223B8"/>
    <w:rsid w:val="00623959"/>
    <w:rsid w:val="00623A25"/>
    <w:rsid w:val="00624575"/>
    <w:rsid w:val="00624B3F"/>
    <w:rsid w:val="00624D78"/>
    <w:rsid w:val="0062527D"/>
    <w:rsid w:val="006258F2"/>
    <w:rsid w:val="006264F3"/>
    <w:rsid w:val="00626769"/>
    <w:rsid w:val="006268DD"/>
    <w:rsid w:val="00626F3E"/>
    <w:rsid w:val="00630958"/>
    <w:rsid w:val="00631CA2"/>
    <w:rsid w:val="00631D7D"/>
    <w:rsid w:val="00631E1E"/>
    <w:rsid w:val="006324B9"/>
    <w:rsid w:val="0063511A"/>
    <w:rsid w:val="00635258"/>
    <w:rsid w:val="0063577A"/>
    <w:rsid w:val="00635A45"/>
    <w:rsid w:val="0063799C"/>
    <w:rsid w:val="00637ACB"/>
    <w:rsid w:val="006400E6"/>
    <w:rsid w:val="0064083C"/>
    <w:rsid w:val="0064146E"/>
    <w:rsid w:val="006422A6"/>
    <w:rsid w:val="00642471"/>
    <w:rsid w:val="00642B3B"/>
    <w:rsid w:val="0064348D"/>
    <w:rsid w:val="006434E5"/>
    <w:rsid w:val="0064397A"/>
    <w:rsid w:val="0064443F"/>
    <w:rsid w:val="006464FD"/>
    <w:rsid w:val="00646505"/>
    <w:rsid w:val="006466AC"/>
    <w:rsid w:val="00646A58"/>
    <w:rsid w:val="00647B16"/>
    <w:rsid w:val="006509F8"/>
    <w:rsid w:val="00651D8A"/>
    <w:rsid w:val="00651E8F"/>
    <w:rsid w:val="00652320"/>
    <w:rsid w:val="00652401"/>
    <w:rsid w:val="0065284E"/>
    <w:rsid w:val="00652905"/>
    <w:rsid w:val="00652937"/>
    <w:rsid w:val="00652F5E"/>
    <w:rsid w:val="00652FE3"/>
    <w:rsid w:val="0065415B"/>
    <w:rsid w:val="00654F06"/>
    <w:rsid w:val="00654F47"/>
    <w:rsid w:val="006553F5"/>
    <w:rsid w:val="006558DF"/>
    <w:rsid w:val="00655B51"/>
    <w:rsid w:val="00655BDA"/>
    <w:rsid w:val="00656589"/>
    <w:rsid w:val="00656598"/>
    <w:rsid w:val="00656B48"/>
    <w:rsid w:val="00656E44"/>
    <w:rsid w:val="00660535"/>
    <w:rsid w:val="006605F6"/>
    <w:rsid w:val="00660CFF"/>
    <w:rsid w:val="006619DD"/>
    <w:rsid w:val="006624D7"/>
    <w:rsid w:val="00662B9C"/>
    <w:rsid w:val="00662E95"/>
    <w:rsid w:val="00663D7C"/>
    <w:rsid w:val="00664B10"/>
    <w:rsid w:val="006654C6"/>
    <w:rsid w:val="006658AC"/>
    <w:rsid w:val="006664CC"/>
    <w:rsid w:val="00666BE9"/>
    <w:rsid w:val="00667722"/>
    <w:rsid w:val="00671CB2"/>
    <w:rsid w:val="00672010"/>
    <w:rsid w:val="00672386"/>
    <w:rsid w:val="00673AF5"/>
    <w:rsid w:val="006741AF"/>
    <w:rsid w:val="00674ACA"/>
    <w:rsid w:val="00675527"/>
    <w:rsid w:val="00676FD2"/>
    <w:rsid w:val="00677771"/>
    <w:rsid w:val="00677951"/>
    <w:rsid w:val="00677A82"/>
    <w:rsid w:val="006803B5"/>
    <w:rsid w:val="00680803"/>
    <w:rsid w:val="00680B3B"/>
    <w:rsid w:val="006813DB"/>
    <w:rsid w:val="0068142C"/>
    <w:rsid w:val="00681653"/>
    <w:rsid w:val="00681715"/>
    <w:rsid w:val="00681B31"/>
    <w:rsid w:val="00682468"/>
    <w:rsid w:val="00682634"/>
    <w:rsid w:val="00682696"/>
    <w:rsid w:val="00683056"/>
    <w:rsid w:val="006831B2"/>
    <w:rsid w:val="0068367A"/>
    <w:rsid w:val="006843D3"/>
    <w:rsid w:val="00684C67"/>
    <w:rsid w:val="00684EE7"/>
    <w:rsid w:val="00685DA7"/>
    <w:rsid w:val="0068774A"/>
    <w:rsid w:val="006903FC"/>
    <w:rsid w:val="00691CE7"/>
    <w:rsid w:val="00692276"/>
    <w:rsid w:val="00692410"/>
    <w:rsid w:val="00693FD3"/>
    <w:rsid w:val="00695578"/>
    <w:rsid w:val="006A0476"/>
    <w:rsid w:val="006A0B0F"/>
    <w:rsid w:val="006A0B54"/>
    <w:rsid w:val="006A1051"/>
    <w:rsid w:val="006A1908"/>
    <w:rsid w:val="006A1F07"/>
    <w:rsid w:val="006A4537"/>
    <w:rsid w:val="006A45C1"/>
    <w:rsid w:val="006A4DDB"/>
    <w:rsid w:val="006A5BA2"/>
    <w:rsid w:val="006A7598"/>
    <w:rsid w:val="006B024A"/>
    <w:rsid w:val="006B026F"/>
    <w:rsid w:val="006B05CA"/>
    <w:rsid w:val="006B0FA0"/>
    <w:rsid w:val="006B11F6"/>
    <w:rsid w:val="006B146D"/>
    <w:rsid w:val="006B2E4E"/>
    <w:rsid w:val="006B47D7"/>
    <w:rsid w:val="006B50A6"/>
    <w:rsid w:val="006B59FE"/>
    <w:rsid w:val="006B5E90"/>
    <w:rsid w:val="006B68BD"/>
    <w:rsid w:val="006B7FE9"/>
    <w:rsid w:val="006C280B"/>
    <w:rsid w:val="006C2B54"/>
    <w:rsid w:val="006C35A5"/>
    <w:rsid w:val="006C4BFC"/>
    <w:rsid w:val="006C6D50"/>
    <w:rsid w:val="006C7DBB"/>
    <w:rsid w:val="006D0260"/>
    <w:rsid w:val="006D06C8"/>
    <w:rsid w:val="006D06EF"/>
    <w:rsid w:val="006D098A"/>
    <w:rsid w:val="006D1D46"/>
    <w:rsid w:val="006D200C"/>
    <w:rsid w:val="006D2BFA"/>
    <w:rsid w:val="006D2CA6"/>
    <w:rsid w:val="006D3E03"/>
    <w:rsid w:val="006D45BB"/>
    <w:rsid w:val="006D74CB"/>
    <w:rsid w:val="006E3805"/>
    <w:rsid w:val="006E3F95"/>
    <w:rsid w:val="006E5A3B"/>
    <w:rsid w:val="006E6536"/>
    <w:rsid w:val="006E6EBC"/>
    <w:rsid w:val="006E73D4"/>
    <w:rsid w:val="006E7FB9"/>
    <w:rsid w:val="006F0817"/>
    <w:rsid w:val="006F131D"/>
    <w:rsid w:val="006F1971"/>
    <w:rsid w:val="006F3299"/>
    <w:rsid w:val="006F383C"/>
    <w:rsid w:val="006F3B94"/>
    <w:rsid w:val="006F3CDB"/>
    <w:rsid w:val="006F411A"/>
    <w:rsid w:val="006F41E4"/>
    <w:rsid w:val="006F4649"/>
    <w:rsid w:val="006F4C40"/>
    <w:rsid w:val="006F53E6"/>
    <w:rsid w:val="006F5703"/>
    <w:rsid w:val="006F6030"/>
    <w:rsid w:val="006F6B8A"/>
    <w:rsid w:val="006F6C68"/>
    <w:rsid w:val="006F6DD7"/>
    <w:rsid w:val="006F6EA6"/>
    <w:rsid w:val="006F6FFE"/>
    <w:rsid w:val="006F76A6"/>
    <w:rsid w:val="006F7C78"/>
    <w:rsid w:val="00701097"/>
    <w:rsid w:val="007010ED"/>
    <w:rsid w:val="007011A7"/>
    <w:rsid w:val="007012AB"/>
    <w:rsid w:val="00701F34"/>
    <w:rsid w:val="00702860"/>
    <w:rsid w:val="00703A89"/>
    <w:rsid w:val="00704D00"/>
    <w:rsid w:val="0070524B"/>
    <w:rsid w:val="007054EC"/>
    <w:rsid w:val="007057EA"/>
    <w:rsid w:val="00705C19"/>
    <w:rsid w:val="00705F2A"/>
    <w:rsid w:val="00706029"/>
    <w:rsid w:val="00706A9F"/>
    <w:rsid w:val="00707D9A"/>
    <w:rsid w:val="00710A76"/>
    <w:rsid w:val="00711A42"/>
    <w:rsid w:val="007122FA"/>
    <w:rsid w:val="00712A16"/>
    <w:rsid w:val="00713660"/>
    <w:rsid w:val="00714152"/>
    <w:rsid w:val="0071491B"/>
    <w:rsid w:val="00714AEE"/>
    <w:rsid w:val="00714D12"/>
    <w:rsid w:val="00715549"/>
    <w:rsid w:val="00715748"/>
    <w:rsid w:val="007157F4"/>
    <w:rsid w:val="007162FB"/>
    <w:rsid w:val="00716758"/>
    <w:rsid w:val="007167C6"/>
    <w:rsid w:val="00716BEE"/>
    <w:rsid w:val="00716F77"/>
    <w:rsid w:val="007177AA"/>
    <w:rsid w:val="00717D05"/>
    <w:rsid w:val="00720F71"/>
    <w:rsid w:val="00721493"/>
    <w:rsid w:val="007216C5"/>
    <w:rsid w:val="00721E6B"/>
    <w:rsid w:val="007225E7"/>
    <w:rsid w:val="00722785"/>
    <w:rsid w:val="007228D2"/>
    <w:rsid w:val="00724521"/>
    <w:rsid w:val="00724CC7"/>
    <w:rsid w:val="00725ABD"/>
    <w:rsid w:val="00725B0D"/>
    <w:rsid w:val="00725D89"/>
    <w:rsid w:val="00725DF7"/>
    <w:rsid w:val="007260FF"/>
    <w:rsid w:val="007262AE"/>
    <w:rsid w:val="00726815"/>
    <w:rsid w:val="0073042B"/>
    <w:rsid w:val="007305EE"/>
    <w:rsid w:val="007307D3"/>
    <w:rsid w:val="00730870"/>
    <w:rsid w:val="00733270"/>
    <w:rsid w:val="00733780"/>
    <w:rsid w:val="00733C0C"/>
    <w:rsid w:val="00733F86"/>
    <w:rsid w:val="00734171"/>
    <w:rsid w:val="007348A7"/>
    <w:rsid w:val="00734E30"/>
    <w:rsid w:val="0073605D"/>
    <w:rsid w:val="00737659"/>
    <w:rsid w:val="0074075E"/>
    <w:rsid w:val="00740A39"/>
    <w:rsid w:val="00740F1B"/>
    <w:rsid w:val="00741133"/>
    <w:rsid w:val="0074141E"/>
    <w:rsid w:val="00742659"/>
    <w:rsid w:val="00743207"/>
    <w:rsid w:val="00743FAC"/>
    <w:rsid w:val="00744AAE"/>
    <w:rsid w:val="007454B6"/>
    <w:rsid w:val="00745664"/>
    <w:rsid w:val="0074631B"/>
    <w:rsid w:val="00747275"/>
    <w:rsid w:val="00747B93"/>
    <w:rsid w:val="007506F6"/>
    <w:rsid w:val="0075133F"/>
    <w:rsid w:val="007514BC"/>
    <w:rsid w:val="00751E11"/>
    <w:rsid w:val="0075209B"/>
    <w:rsid w:val="007527A3"/>
    <w:rsid w:val="00752893"/>
    <w:rsid w:val="00752B09"/>
    <w:rsid w:val="00752BCF"/>
    <w:rsid w:val="007532AE"/>
    <w:rsid w:val="00755A12"/>
    <w:rsid w:val="007562E8"/>
    <w:rsid w:val="00757D4C"/>
    <w:rsid w:val="0076043E"/>
    <w:rsid w:val="0076146F"/>
    <w:rsid w:val="00761DCB"/>
    <w:rsid w:val="0076268E"/>
    <w:rsid w:val="0076273E"/>
    <w:rsid w:val="00763235"/>
    <w:rsid w:val="00763B5E"/>
    <w:rsid w:val="00763C7F"/>
    <w:rsid w:val="007645FF"/>
    <w:rsid w:val="007647DF"/>
    <w:rsid w:val="00764C27"/>
    <w:rsid w:val="00765426"/>
    <w:rsid w:val="00765507"/>
    <w:rsid w:val="00766565"/>
    <w:rsid w:val="007704C3"/>
    <w:rsid w:val="00772718"/>
    <w:rsid w:val="0077355C"/>
    <w:rsid w:val="0077458B"/>
    <w:rsid w:val="00774C1E"/>
    <w:rsid w:val="0078026B"/>
    <w:rsid w:val="007802E1"/>
    <w:rsid w:val="00780804"/>
    <w:rsid w:val="007817DB"/>
    <w:rsid w:val="00783778"/>
    <w:rsid w:val="00783CF0"/>
    <w:rsid w:val="00785AE1"/>
    <w:rsid w:val="00786419"/>
    <w:rsid w:val="0078699C"/>
    <w:rsid w:val="00786DC5"/>
    <w:rsid w:val="0078770C"/>
    <w:rsid w:val="00787D5C"/>
    <w:rsid w:val="00787F7E"/>
    <w:rsid w:val="007907C8"/>
    <w:rsid w:val="00791A35"/>
    <w:rsid w:val="00791AA6"/>
    <w:rsid w:val="00792151"/>
    <w:rsid w:val="007928DE"/>
    <w:rsid w:val="00792B41"/>
    <w:rsid w:val="00792C85"/>
    <w:rsid w:val="00792CF0"/>
    <w:rsid w:val="007940BB"/>
    <w:rsid w:val="007941FE"/>
    <w:rsid w:val="007947C9"/>
    <w:rsid w:val="00794AC7"/>
    <w:rsid w:val="007953FB"/>
    <w:rsid w:val="00795C74"/>
    <w:rsid w:val="00797528"/>
    <w:rsid w:val="00797807"/>
    <w:rsid w:val="007A05B7"/>
    <w:rsid w:val="007A0B4C"/>
    <w:rsid w:val="007A0BD0"/>
    <w:rsid w:val="007A10A1"/>
    <w:rsid w:val="007A2629"/>
    <w:rsid w:val="007A2957"/>
    <w:rsid w:val="007A2B07"/>
    <w:rsid w:val="007A3488"/>
    <w:rsid w:val="007A3591"/>
    <w:rsid w:val="007A4BFF"/>
    <w:rsid w:val="007A5136"/>
    <w:rsid w:val="007A5826"/>
    <w:rsid w:val="007A64EF"/>
    <w:rsid w:val="007A6EA8"/>
    <w:rsid w:val="007A7B98"/>
    <w:rsid w:val="007B018C"/>
    <w:rsid w:val="007B057B"/>
    <w:rsid w:val="007B081B"/>
    <w:rsid w:val="007B1357"/>
    <w:rsid w:val="007B1CAB"/>
    <w:rsid w:val="007B25FC"/>
    <w:rsid w:val="007B298C"/>
    <w:rsid w:val="007B2AC2"/>
    <w:rsid w:val="007B305A"/>
    <w:rsid w:val="007B4358"/>
    <w:rsid w:val="007B4FFE"/>
    <w:rsid w:val="007B54EA"/>
    <w:rsid w:val="007B6ADE"/>
    <w:rsid w:val="007B7958"/>
    <w:rsid w:val="007B7ED1"/>
    <w:rsid w:val="007B7EED"/>
    <w:rsid w:val="007C1159"/>
    <w:rsid w:val="007C24A4"/>
    <w:rsid w:val="007C2941"/>
    <w:rsid w:val="007C2B8F"/>
    <w:rsid w:val="007C34A0"/>
    <w:rsid w:val="007C4AEE"/>
    <w:rsid w:val="007C4EBE"/>
    <w:rsid w:val="007C5FE2"/>
    <w:rsid w:val="007C60AF"/>
    <w:rsid w:val="007C62DA"/>
    <w:rsid w:val="007C7B31"/>
    <w:rsid w:val="007D00BE"/>
    <w:rsid w:val="007D1FA0"/>
    <w:rsid w:val="007D259D"/>
    <w:rsid w:val="007D2980"/>
    <w:rsid w:val="007D3881"/>
    <w:rsid w:val="007D3E44"/>
    <w:rsid w:val="007D492D"/>
    <w:rsid w:val="007D4CE3"/>
    <w:rsid w:val="007D5E39"/>
    <w:rsid w:val="007D66C0"/>
    <w:rsid w:val="007D6884"/>
    <w:rsid w:val="007D7EC2"/>
    <w:rsid w:val="007E01D2"/>
    <w:rsid w:val="007E030F"/>
    <w:rsid w:val="007E0778"/>
    <w:rsid w:val="007E0F75"/>
    <w:rsid w:val="007E0FA9"/>
    <w:rsid w:val="007E23DD"/>
    <w:rsid w:val="007E28FE"/>
    <w:rsid w:val="007E3741"/>
    <w:rsid w:val="007E37E6"/>
    <w:rsid w:val="007E4BB1"/>
    <w:rsid w:val="007E5049"/>
    <w:rsid w:val="007E6C6F"/>
    <w:rsid w:val="007E7366"/>
    <w:rsid w:val="007E7535"/>
    <w:rsid w:val="007E7DD8"/>
    <w:rsid w:val="007F1DC7"/>
    <w:rsid w:val="007F234D"/>
    <w:rsid w:val="007F2B52"/>
    <w:rsid w:val="007F35F3"/>
    <w:rsid w:val="007F3BDC"/>
    <w:rsid w:val="007F4495"/>
    <w:rsid w:val="007F5156"/>
    <w:rsid w:val="007F55F5"/>
    <w:rsid w:val="007F59E4"/>
    <w:rsid w:val="007F5A2C"/>
    <w:rsid w:val="007F70AC"/>
    <w:rsid w:val="007F72EF"/>
    <w:rsid w:val="00800AB1"/>
    <w:rsid w:val="0080172A"/>
    <w:rsid w:val="008018A1"/>
    <w:rsid w:val="008018C9"/>
    <w:rsid w:val="00801B7D"/>
    <w:rsid w:val="00801D8F"/>
    <w:rsid w:val="00801EB5"/>
    <w:rsid w:val="00803222"/>
    <w:rsid w:val="00803267"/>
    <w:rsid w:val="00805A3A"/>
    <w:rsid w:val="00806372"/>
    <w:rsid w:val="008064CC"/>
    <w:rsid w:val="00806E88"/>
    <w:rsid w:val="00806F4A"/>
    <w:rsid w:val="00807468"/>
    <w:rsid w:val="008078C1"/>
    <w:rsid w:val="00807AED"/>
    <w:rsid w:val="0081003E"/>
    <w:rsid w:val="0081122D"/>
    <w:rsid w:val="00811752"/>
    <w:rsid w:val="00811872"/>
    <w:rsid w:val="008118A6"/>
    <w:rsid w:val="00812166"/>
    <w:rsid w:val="0081307B"/>
    <w:rsid w:val="00813A72"/>
    <w:rsid w:val="00813E25"/>
    <w:rsid w:val="00816139"/>
    <w:rsid w:val="008161E5"/>
    <w:rsid w:val="0081692B"/>
    <w:rsid w:val="00820322"/>
    <w:rsid w:val="008207DD"/>
    <w:rsid w:val="008214BF"/>
    <w:rsid w:val="00821516"/>
    <w:rsid w:val="0082159A"/>
    <w:rsid w:val="00822423"/>
    <w:rsid w:val="008230FC"/>
    <w:rsid w:val="00823A88"/>
    <w:rsid w:val="00823F8A"/>
    <w:rsid w:val="00825225"/>
    <w:rsid w:val="0082524F"/>
    <w:rsid w:val="00825CA2"/>
    <w:rsid w:val="00826133"/>
    <w:rsid w:val="0082634C"/>
    <w:rsid w:val="00826665"/>
    <w:rsid w:val="008266F3"/>
    <w:rsid w:val="00826849"/>
    <w:rsid w:val="00827736"/>
    <w:rsid w:val="0083114E"/>
    <w:rsid w:val="008312CB"/>
    <w:rsid w:val="00831341"/>
    <w:rsid w:val="00831AC5"/>
    <w:rsid w:val="008323AC"/>
    <w:rsid w:val="00832648"/>
    <w:rsid w:val="00832E5F"/>
    <w:rsid w:val="00832FC5"/>
    <w:rsid w:val="00832FDA"/>
    <w:rsid w:val="00833323"/>
    <w:rsid w:val="008338C3"/>
    <w:rsid w:val="00833A9C"/>
    <w:rsid w:val="00834FCB"/>
    <w:rsid w:val="008354EE"/>
    <w:rsid w:val="00836CA7"/>
    <w:rsid w:val="008370BB"/>
    <w:rsid w:val="008373D3"/>
    <w:rsid w:val="008378B1"/>
    <w:rsid w:val="008400F2"/>
    <w:rsid w:val="008409B5"/>
    <w:rsid w:val="0084227E"/>
    <w:rsid w:val="008426CE"/>
    <w:rsid w:val="00842AEC"/>
    <w:rsid w:val="00844474"/>
    <w:rsid w:val="008445E9"/>
    <w:rsid w:val="008450F4"/>
    <w:rsid w:val="00845787"/>
    <w:rsid w:val="00846089"/>
    <w:rsid w:val="00846965"/>
    <w:rsid w:val="00847238"/>
    <w:rsid w:val="00852386"/>
    <w:rsid w:val="008524F9"/>
    <w:rsid w:val="008526F6"/>
    <w:rsid w:val="00853960"/>
    <w:rsid w:val="008543FF"/>
    <w:rsid w:val="0085465A"/>
    <w:rsid w:val="008548E5"/>
    <w:rsid w:val="00854D22"/>
    <w:rsid w:val="008552AA"/>
    <w:rsid w:val="008560F5"/>
    <w:rsid w:val="00856A28"/>
    <w:rsid w:val="00857F7A"/>
    <w:rsid w:val="0086094A"/>
    <w:rsid w:val="00862146"/>
    <w:rsid w:val="00862F9D"/>
    <w:rsid w:val="00863D97"/>
    <w:rsid w:val="00863EC6"/>
    <w:rsid w:val="00864381"/>
    <w:rsid w:val="0086452F"/>
    <w:rsid w:val="008665A3"/>
    <w:rsid w:val="0086694F"/>
    <w:rsid w:val="00870B8C"/>
    <w:rsid w:val="00870F99"/>
    <w:rsid w:val="00870FF1"/>
    <w:rsid w:val="008715E8"/>
    <w:rsid w:val="00871C65"/>
    <w:rsid w:val="00872182"/>
    <w:rsid w:val="00872687"/>
    <w:rsid w:val="0087318E"/>
    <w:rsid w:val="00873650"/>
    <w:rsid w:val="00873F69"/>
    <w:rsid w:val="0087466A"/>
    <w:rsid w:val="00874688"/>
    <w:rsid w:val="00875760"/>
    <w:rsid w:val="00876958"/>
    <w:rsid w:val="00876B47"/>
    <w:rsid w:val="00876B80"/>
    <w:rsid w:val="0087769D"/>
    <w:rsid w:val="00877E7D"/>
    <w:rsid w:val="008800BF"/>
    <w:rsid w:val="00880773"/>
    <w:rsid w:val="00880A48"/>
    <w:rsid w:val="0088173A"/>
    <w:rsid w:val="00881E53"/>
    <w:rsid w:val="008829CD"/>
    <w:rsid w:val="00885102"/>
    <w:rsid w:val="00885C1C"/>
    <w:rsid w:val="00886F83"/>
    <w:rsid w:val="008872ED"/>
    <w:rsid w:val="00887879"/>
    <w:rsid w:val="0089073C"/>
    <w:rsid w:val="00890A45"/>
    <w:rsid w:val="00890C75"/>
    <w:rsid w:val="0089108F"/>
    <w:rsid w:val="008911D3"/>
    <w:rsid w:val="00891745"/>
    <w:rsid w:val="00892744"/>
    <w:rsid w:val="0089288E"/>
    <w:rsid w:val="008941AF"/>
    <w:rsid w:val="00894E0B"/>
    <w:rsid w:val="0089604F"/>
    <w:rsid w:val="008971BF"/>
    <w:rsid w:val="008A1A7A"/>
    <w:rsid w:val="008A236A"/>
    <w:rsid w:val="008A249E"/>
    <w:rsid w:val="008A24CF"/>
    <w:rsid w:val="008A27AE"/>
    <w:rsid w:val="008A2E28"/>
    <w:rsid w:val="008A3AFA"/>
    <w:rsid w:val="008A43C0"/>
    <w:rsid w:val="008A4A32"/>
    <w:rsid w:val="008A5277"/>
    <w:rsid w:val="008A6B1A"/>
    <w:rsid w:val="008A7305"/>
    <w:rsid w:val="008B1956"/>
    <w:rsid w:val="008B3265"/>
    <w:rsid w:val="008B4B35"/>
    <w:rsid w:val="008B683B"/>
    <w:rsid w:val="008B6BDF"/>
    <w:rsid w:val="008B7E39"/>
    <w:rsid w:val="008C08D4"/>
    <w:rsid w:val="008C0D46"/>
    <w:rsid w:val="008C0E3F"/>
    <w:rsid w:val="008C18B0"/>
    <w:rsid w:val="008C1A62"/>
    <w:rsid w:val="008C207E"/>
    <w:rsid w:val="008C20E9"/>
    <w:rsid w:val="008C237C"/>
    <w:rsid w:val="008C30B7"/>
    <w:rsid w:val="008C30C9"/>
    <w:rsid w:val="008C3CDF"/>
    <w:rsid w:val="008C3E3E"/>
    <w:rsid w:val="008C4160"/>
    <w:rsid w:val="008C7082"/>
    <w:rsid w:val="008C7B0E"/>
    <w:rsid w:val="008D0E9B"/>
    <w:rsid w:val="008D11DA"/>
    <w:rsid w:val="008D1777"/>
    <w:rsid w:val="008D27B6"/>
    <w:rsid w:val="008D2878"/>
    <w:rsid w:val="008D3491"/>
    <w:rsid w:val="008D4005"/>
    <w:rsid w:val="008D434F"/>
    <w:rsid w:val="008D43C8"/>
    <w:rsid w:val="008D4C65"/>
    <w:rsid w:val="008D4ED1"/>
    <w:rsid w:val="008D4F49"/>
    <w:rsid w:val="008D522C"/>
    <w:rsid w:val="008D6477"/>
    <w:rsid w:val="008D6862"/>
    <w:rsid w:val="008D706B"/>
    <w:rsid w:val="008D72D2"/>
    <w:rsid w:val="008D7908"/>
    <w:rsid w:val="008D7AF6"/>
    <w:rsid w:val="008D7E09"/>
    <w:rsid w:val="008E0004"/>
    <w:rsid w:val="008E0014"/>
    <w:rsid w:val="008E0998"/>
    <w:rsid w:val="008E23A5"/>
    <w:rsid w:val="008E2A18"/>
    <w:rsid w:val="008E35B4"/>
    <w:rsid w:val="008E4289"/>
    <w:rsid w:val="008E4F95"/>
    <w:rsid w:val="008E5784"/>
    <w:rsid w:val="008E6B39"/>
    <w:rsid w:val="008E6D0B"/>
    <w:rsid w:val="008E74A4"/>
    <w:rsid w:val="008E7891"/>
    <w:rsid w:val="008E7B1B"/>
    <w:rsid w:val="008E7CC9"/>
    <w:rsid w:val="008F0BD7"/>
    <w:rsid w:val="008F0C9E"/>
    <w:rsid w:val="008F0EF8"/>
    <w:rsid w:val="008F2D28"/>
    <w:rsid w:val="008F3254"/>
    <w:rsid w:val="008F38B7"/>
    <w:rsid w:val="008F5530"/>
    <w:rsid w:val="008F62BB"/>
    <w:rsid w:val="008F6425"/>
    <w:rsid w:val="008F692E"/>
    <w:rsid w:val="00901D97"/>
    <w:rsid w:val="0090254A"/>
    <w:rsid w:val="0090309A"/>
    <w:rsid w:val="0090315B"/>
    <w:rsid w:val="009031A6"/>
    <w:rsid w:val="00903A19"/>
    <w:rsid w:val="009040AC"/>
    <w:rsid w:val="00904100"/>
    <w:rsid w:val="00905A84"/>
    <w:rsid w:val="00906039"/>
    <w:rsid w:val="009062A2"/>
    <w:rsid w:val="00907565"/>
    <w:rsid w:val="0090796D"/>
    <w:rsid w:val="009101E0"/>
    <w:rsid w:val="00910BEA"/>
    <w:rsid w:val="00911978"/>
    <w:rsid w:val="00912EDD"/>
    <w:rsid w:val="009145AE"/>
    <w:rsid w:val="00914BB1"/>
    <w:rsid w:val="00915031"/>
    <w:rsid w:val="0091532D"/>
    <w:rsid w:val="00916A0F"/>
    <w:rsid w:val="00917879"/>
    <w:rsid w:val="00917FFA"/>
    <w:rsid w:val="00920CFD"/>
    <w:rsid w:val="00921DBC"/>
    <w:rsid w:val="00922C68"/>
    <w:rsid w:val="00922FE8"/>
    <w:rsid w:val="00923175"/>
    <w:rsid w:val="009231FA"/>
    <w:rsid w:val="009231FD"/>
    <w:rsid w:val="00923DAC"/>
    <w:rsid w:val="00924270"/>
    <w:rsid w:val="00925927"/>
    <w:rsid w:val="0092604A"/>
    <w:rsid w:val="00926A63"/>
    <w:rsid w:val="00927020"/>
    <w:rsid w:val="009302BD"/>
    <w:rsid w:val="00930C4C"/>
    <w:rsid w:val="00931847"/>
    <w:rsid w:val="00931E3F"/>
    <w:rsid w:val="00931EE6"/>
    <w:rsid w:val="00932021"/>
    <w:rsid w:val="00933024"/>
    <w:rsid w:val="00935115"/>
    <w:rsid w:val="009363D5"/>
    <w:rsid w:val="00936485"/>
    <w:rsid w:val="00937593"/>
    <w:rsid w:val="00937742"/>
    <w:rsid w:val="00937D0E"/>
    <w:rsid w:val="0094471A"/>
    <w:rsid w:val="009447D5"/>
    <w:rsid w:val="00944864"/>
    <w:rsid w:val="00945CC5"/>
    <w:rsid w:val="00946315"/>
    <w:rsid w:val="0094632C"/>
    <w:rsid w:val="00946F3B"/>
    <w:rsid w:val="00946F7E"/>
    <w:rsid w:val="00947604"/>
    <w:rsid w:val="0094792E"/>
    <w:rsid w:val="00947A8A"/>
    <w:rsid w:val="00950111"/>
    <w:rsid w:val="009502E5"/>
    <w:rsid w:val="00950A66"/>
    <w:rsid w:val="00950F3B"/>
    <w:rsid w:val="009530C4"/>
    <w:rsid w:val="00953C36"/>
    <w:rsid w:val="00953DB2"/>
    <w:rsid w:val="00954051"/>
    <w:rsid w:val="00954416"/>
    <w:rsid w:val="0095531D"/>
    <w:rsid w:val="009559BF"/>
    <w:rsid w:val="00955A07"/>
    <w:rsid w:val="0095663B"/>
    <w:rsid w:val="00956A7F"/>
    <w:rsid w:val="009571FF"/>
    <w:rsid w:val="00957BE2"/>
    <w:rsid w:val="00960719"/>
    <w:rsid w:val="00960C2E"/>
    <w:rsid w:val="009618FD"/>
    <w:rsid w:val="00962FE9"/>
    <w:rsid w:val="00963043"/>
    <w:rsid w:val="009632CD"/>
    <w:rsid w:val="009635B1"/>
    <w:rsid w:val="00963B86"/>
    <w:rsid w:val="009649A6"/>
    <w:rsid w:val="00964C90"/>
    <w:rsid w:val="009651C4"/>
    <w:rsid w:val="00965B93"/>
    <w:rsid w:val="0096784D"/>
    <w:rsid w:val="0096784F"/>
    <w:rsid w:val="009704DD"/>
    <w:rsid w:val="0097085C"/>
    <w:rsid w:val="009709AD"/>
    <w:rsid w:val="009709FC"/>
    <w:rsid w:val="00971775"/>
    <w:rsid w:val="00972327"/>
    <w:rsid w:val="00972993"/>
    <w:rsid w:val="00972C3B"/>
    <w:rsid w:val="00972D92"/>
    <w:rsid w:val="00973A15"/>
    <w:rsid w:val="00973A3E"/>
    <w:rsid w:val="00974980"/>
    <w:rsid w:val="009751A6"/>
    <w:rsid w:val="00975F72"/>
    <w:rsid w:val="00976120"/>
    <w:rsid w:val="00976B5E"/>
    <w:rsid w:val="00977A0C"/>
    <w:rsid w:val="00977E9B"/>
    <w:rsid w:val="0098071D"/>
    <w:rsid w:val="00980D5F"/>
    <w:rsid w:val="00982140"/>
    <w:rsid w:val="0098329E"/>
    <w:rsid w:val="00983461"/>
    <w:rsid w:val="00983B28"/>
    <w:rsid w:val="00984112"/>
    <w:rsid w:val="009848E4"/>
    <w:rsid w:val="00984A0A"/>
    <w:rsid w:val="009855B3"/>
    <w:rsid w:val="009865D5"/>
    <w:rsid w:val="009871A4"/>
    <w:rsid w:val="0098790F"/>
    <w:rsid w:val="00987A59"/>
    <w:rsid w:val="00990B79"/>
    <w:rsid w:val="009910E5"/>
    <w:rsid w:val="009916FC"/>
    <w:rsid w:val="00994646"/>
    <w:rsid w:val="009958DB"/>
    <w:rsid w:val="009A06DA"/>
    <w:rsid w:val="009A09B3"/>
    <w:rsid w:val="009A0AA7"/>
    <w:rsid w:val="009A0C05"/>
    <w:rsid w:val="009A1EB2"/>
    <w:rsid w:val="009A2102"/>
    <w:rsid w:val="009A27F5"/>
    <w:rsid w:val="009A2C57"/>
    <w:rsid w:val="009A3314"/>
    <w:rsid w:val="009A4CF0"/>
    <w:rsid w:val="009A5B7A"/>
    <w:rsid w:val="009A6F85"/>
    <w:rsid w:val="009A7095"/>
    <w:rsid w:val="009B0463"/>
    <w:rsid w:val="009B1BD3"/>
    <w:rsid w:val="009B2A9E"/>
    <w:rsid w:val="009B3056"/>
    <w:rsid w:val="009B322F"/>
    <w:rsid w:val="009B3E57"/>
    <w:rsid w:val="009B4EFD"/>
    <w:rsid w:val="009B5AB4"/>
    <w:rsid w:val="009B5C63"/>
    <w:rsid w:val="009B5D18"/>
    <w:rsid w:val="009B65BE"/>
    <w:rsid w:val="009B6E68"/>
    <w:rsid w:val="009B7256"/>
    <w:rsid w:val="009C021C"/>
    <w:rsid w:val="009C0600"/>
    <w:rsid w:val="009C1532"/>
    <w:rsid w:val="009C38B8"/>
    <w:rsid w:val="009C3CC2"/>
    <w:rsid w:val="009C3D78"/>
    <w:rsid w:val="009C4CFA"/>
    <w:rsid w:val="009C4D69"/>
    <w:rsid w:val="009C5B79"/>
    <w:rsid w:val="009C5BA4"/>
    <w:rsid w:val="009C5FF7"/>
    <w:rsid w:val="009C6116"/>
    <w:rsid w:val="009C6697"/>
    <w:rsid w:val="009C6A99"/>
    <w:rsid w:val="009C7EB4"/>
    <w:rsid w:val="009D038C"/>
    <w:rsid w:val="009D0483"/>
    <w:rsid w:val="009D0B39"/>
    <w:rsid w:val="009D1CE2"/>
    <w:rsid w:val="009D26C8"/>
    <w:rsid w:val="009D289D"/>
    <w:rsid w:val="009D2A0D"/>
    <w:rsid w:val="009D2E4C"/>
    <w:rsid w:val="009D33B6"/>
    <w:rsid w:val="009D37B2"/>
    <w:rsid w:val="009D3DD2"/>
    <w:rsid w:val="009D43C1"/>
    <w:rsid w:val="009D441C"/>
    <w:rsid w:val="009D4AA4"/>
    <w:rsid w:val="009D4F9F"/>
    <w:rsid w:val="009D5313"/>
    <w:rsid w:val="009D5A2B"/>
    <w:rsid w:val="009D6C79"/>
    <w:rsid w:val="009D70DA"/>
    <w:rsid w:val="009D7111"/>
    <w:rsid w:val="009D767C"/>
    <w:rsid w:val="009E116D"/>
    <w:rsid w:val="009E1346"/>
    <w:rsid w:val="009E179C"/>
    <w:rsid w:val="009E1828"/>
    <w:rsid w:val="009E1863"/>
    <w:rsid w:val="009E20F1"/>
    <w:rsid w:val="009E304B"/>
    <w:rsid w:val="009E4942"/>
    <w:rsid w:val="009E5679"/>
    <w:rsid w:val="009E5F31"/>
    <w:rsid w:val="009E6E5C"/>
    <w:rsid w:val="009E6FBC"/>
    <w:rsid w:val="009E701D"/>
    <w:rsid w:val="009E70DB"/>
    <w:rsid w:val="009E7C39"/>
    <w:rsid w:val="009F1671"/>
    <w:rsid w:val="009F1738"/>
    <w:rsid w:val="009F1F32"/>
    <w:rsid w:val="009F2633"/>
    <w:rsid w:val="009F2AEF"/>
    <w:rsid w:val="009F2B49"/>
    <w:rsid w:val="009F353A"/>
    <w:rsid w:val="009F3626"/>
    <w:rsid w:val="009F39A6"/>
    <w:rsid w:val="009F465A"/>
    <w:rsid w:val="009F47E0"/>
    <w:rsid w:val="009F53BA"/>
    <w:rsid w:val="009F555E"/>
    <w:rsid w:val="009F5B2D"/>
    <w:rsid w:val="009F5B4A"/>
    <w:rsid w:val="009F5CEE"/>
    <w:rsid w:val="009F5E7C"/>
    <w:rsid w:val="009F647C"/>
    <w:rsid w:val="009F6A69"/>
    <w:rsid w:val="009F6B58"/>
    <w:rsid w:val="009F73DC"/>
    <w:rsid w:val="009F7721"/>
    <w:rsid w:val="00A00F5C"/>
    <w:rsid w:val="00A01F11"/>
    <w:rsid w:val="00A02495"/>
    <w:rsid w:val="00A027F4"/>
    <w:rsid w:val="00A029B7"/>
    <w:rsid w:val="00A02E1E"/>
    <w:rsid w:val="00A04272"/>
    <w:rsid w:val="00A05A48"/>
    <w:rsid w:val="00A05CE9"/>
    <w:rsid w:val="00A06F14"/>
    <w:rsid w:val="00A07BF7"/>
    <w:rsid w:val="00A11EDF"/>
    <w:rsid w:val="00A12BA0"/>
    <w:rsid w:val="00A13244"/>
    <w:rsid w:val="00A13AA5"/>
    <w:rsid w:val="00A13B18"/>
    <w:rsid w:val="00A13C38"/>
    <w:rsid w:val="00A14175"/>
    <w:rsid w:val="00A1424E"/>
    <w:rsid w:val="00A14E2B"/>
    <w:rsid w:val="00A1521F"/>
    <w:rsid w:val="00A152B2"/>
    <w:rsid w:val="00A16C0A"/>
    <w:rsid w:val="00A1766B"/>
    <w:rsid w:val="00A205D7"/>
    <w:rsid w:val="00A20D01"/>
    <w:rsid w:val="00A20F98"/>
    <w:rsid w:val="00A20FA6"/>
    <w:rsid w:val="00A2129A"/>
    <w:rsid w:val="00A221AA"/>
    <w:rsid w:val="00A22788"/>
    <w:rsid w:val="00A24DEA"/>
    <w:rsid w:val="00A24E7E"/>
    <w:rsid w:val="00A25AEC"/>
    <w:rsid w:val="00A25D4D"/>
    <w:rsid w:val="00A2703A"/>
    <w:rsid w:val="00A27221"/>
    <w:rsid w:val="00A27C17"/>
    <w:rsid w:val="00A303AD"/>
    <w:rsid w:val="00A30D80"/>
    <w:rsid w:val="00A30FA2"/>
    <w:rsid w:val="00A3161A"/>
    <w:rsid w:val="00A31CE2"/>
    <w:rsid w:val="00A325AB"/>
    <w:rsid w:val="00A34F01"/>
    <w:rsid w:val="00A355C9"/>
    <w:rsid w:val="00A360E0"/>
    <w:rsid w:val="00A361F2"/>
    <w:rsid w:val="00A363CC"/>
    <w:rsid w:val="00A365CF"/>
    <w:rsid w:val="00A369E3"/>
    <w:rsid w:val="00A36F80"/>
    <w:rsid w:val="00A375CC"/>
    <w:rsid w:val="00A37E86"/>
    <w:rsid w:val="00A405E5"/>
    <w:rsid w:val="00A40824"/>
    <w:rsid w:val="00A41F59"/>
    <w:rsid w:val="00A43F4C"/>
    <w:rsid w:val="00A44228"/>
    <w:rsid w:val="00A449DA"/>
    <w:rsid w:val="00A44A65"/>
    <w:rsid w:val="00A459E3"/>
    <w:rsid w:val="00A459E7"/>
    <w:rsid w:val="00A45B77"/>
    <w:rsid w:val="00A461B7"/>
    <w:rsid w:val="00A463D1"/>
    <w:rsid w:val="00A466A6"/>
    <w:rsid w:val="00A46B1A"/>
    <w:rsid w:val="00A475C3"/>
    <w:rsid w:val="00A5015A"/>
    <w:rsid w:val="00A50AFE"/>
    <w:rsid w:val="00A50CCA"/>
    <w:rsid w:val="00A5110B"/>
    <w:rsid w:val="00A516C8"/>
    <w:rsid w:val="00A5193C"/>
    <w:rsid w:val="00A520C4"/>
    <w:rsid w:val="00A528DE"/>
    <w:rsid w:val="00A543F6"/>
    <w:rsid w:val="00A54531"/>
    <w:rsid w:val="00A546A2"/>
    <w:rsid w:val="00A54868"/>
    <w:rsid w:val="00A55051"/>
    <w:rsid w:val="00A55D85"/>
    <w:rsid w:val="00A56F2B"/>
    <w:rsid w:val="00A615DE"/>
    <w:rsid w:val="00A622B7"/>
    <w:rsid w:val="00A623D1"/>
    <w:rsid w:val="00A62DBF"/>
    <w:rsid w:val="00A6365A"/>
    <w:rsid w:val="00A63D42"/>
    <w:rsid w:val="00A644E3"/>
    <w:rsid w:val="00A647D3"/>
    <w:rsid w:val="00A66662"/>
    <w:rsid w:val="00A67062"/>
    <w:rsid w:val="00A672EA"/>
    <w:rsid w:val="00A67AA6"/>
    <w:rsid w:val="00A702E1"/>
    <w:rsid w:val="00A703A5"/>
    <w:rsid w:val="00A7082E"/>
    <w:rsid w:val="00A708FE"/>
    <w:rsid w:val="00A71474"/>
    <w:rsid w:val="00A714C3"/>
    <w:rsid w:val="00A72BA6"/>
    <w:rsid w:val="00A73010"/>
    <w:rsid w:val="00A735C4"/>
    <w:rsid w:val="00A7462A"/>
    <w:rsid w:val="00A74D32"/>
    <w:rsid w:val="00A74FB3"/>
    <w:rsid w:val="00A753C4"/>
    <w:rsid w:val="00A77D8E"/>
    <w:rsid w:val="00A77E6C"/>
    <w:rsid w:val="00A808F5"/>
    <w:rsid w:val="00A831C9"/>
    <w:rsid w:val="00A8345F"/>
    <w:rsid w:val="00A8400F"/>
    <w:rsid w:val="00A84705"/>
    <w:rsid w:val="00A860B9"/>
    <w:rsid w:val="00A86B52"/>
    <w:rsid w:val="00A8754F"/>
    <w:rsid w:val="00A87577"/>
    <w:rsid w:val="00A9098C"/>
    <w:rsid w:val="00A90C60"/>
    <w:rsid w:val="00A915C1"/>
    <w:rsid w:val="00A93C2A"/>
    <w:rsid w:val="00A9409C"/>
    <w:rsid w:val="00A94272"/>
    <w:rsid w:val="00A94EAC"/>
    <w:rsid w:val="00A9533F"/>
    <w:rsid w:val="00A95D0D"/>
    <w:rsid w:val="00A96A42"/>
    <w:rsid w:val="00A96E10"/>
    <w:rsid w:val="00A96E41"/>
    <w:rsid w:val="00A9724B"/>
    <w:rsid w:val="00A97293"/>
    <w:rsid w:val="00A97E23"/>
    <w:rsid w:val="00AA0C0F"/>
    <w:rsid w:val="00AA1404"/>
    <w:rsid w:val="00AA1B73"/>
    <w:rsid w:val="00AA21C0"/>
    <w:rsid w:val="00AA2B53"/>
    <w:rsid w:val="00AA32B6"/>
    <w:rsid w:val="00AA582C"/>
    <w:rsid w:val="00AA58F2"/>
    <w:rsid w:val="00AA5CBE"/>
    <w:rsid w:val="00AA63FD"/>
    <w:rsid w:val="00AA6D74"/>
    <w:rsid w:val="00AA6E01"/>
    <w:rsid w:val="00AA763E"/>
    <w:rsid w:val="00AA7E6F"/>
    <w:rsid w:val="00AB00EA"/>
    <w:rsid w:val="00AB0214"/>
    <w:rsid w:val="00AB1356"/>
    <w:rsid w:val="00AB151D"/>
    <w:rsid w:val="00AB156C"/>
    <w:rsid w:val="00AB18E9"/>
    <w:rsid w:val="00AB1A08"/>
    <w:rsid w:val="00AB1D9C"/>
    <w:rsid w:val="00AB1EFA"/>
    <w:rsid w:val="00AB3B67"/>
    <w:rsid w:val="00AB438F"/>
    <w:rsid w:val="00AB5FF1"/>
    <w:rsid w:val="00AB6F85"/>
    <w:rsid w:val="00AB74EE"/>
    <w:rsid w:val="00AB7566"/>
    <w:rsid w:val="00AB7922"/>
    <w:rsid w:val="00AC2859"/>
    <w:rsid w:val="00AC2A37"/>
    <w:rsid w:val="00AC3B58"/>
    <w:rsid w:val="00AC3EC8"/>
    <w:rsid w:val="00AC3FFB"/>
    <w:rsid w:val="00AC4AFE"/>
    <w:rsid w:val="00AC5BB9"/>
    <w:rsid w:val="00AC5D2B"/>
    <w:rsid w:val="00AC6055"/>
    <w:rsid w:val="00AC6E54"/>
    <w:rsid w:val="00AC7248"/>
    <w:rsid w:val="00AC7A75"/>
    <w:rsid w:val="00AD03DE"/>
    <w:rsid w:val="00AD0746"/>
    <w:rsid w:val="00AD1157"/>
    <w:rsid w:val="00AD15E6"/>
    <w:rsid w:val="00AD25CF"/>
    <w:rsid w:val="00AD25FD"/>
    <w:rsid w:val="00AD33FC"/>
    <w:rsid w:val="00AD4619"/>
    <w:rsid w:val="00AD5137"/>
    <w:rsid w:val="00AD54C8"/>
    <w:rsid w:val="00AD5AA3"/>
    <w:rsid w:val="00AD5CE9"/>
    <w:rsid w:val="00AD6441"/>
    <w:rsid w:val="00AD6FE4"/>
    <w:rsid w:val="00AD741F"/>
    <w:rsid w:val="00AD7926"/>
    <w:rsid w:val="00AE039B"/>
    <w:rsid w:val="00AE082D"/>
    <w:rsid w:val="00AE08F3"/>
    <w:rsid w:val="00AE125A"/>
    <w:rsid w:val="00AE22EE"/>
    <w:rsid w:val="00AE2C05"/>
    <w:rsid w:val="00AE317D"/>
    <w:rsid w:val="00AE3ECC"/>
    <w:rsid w:val="00AE496E"/>
    <w:rsid w:val="00AE5159"/>
    <w:rsid w:val="00AE5623"/>
    <w:rsid w:val="00AE57BD"/>
    <w:rsid w:val="00AE64D7"/>
    <w:rsid w:val="00AE672F"/>
    <w:rsid w:val="00AE69D6"/>
    <w:rsid w:val="00AE721A"/>
    <w:rsid w:val="00AE74D5"/>
    <w:rsid w:val="00AF014C"/>
    <w:rsid w:val="00AF1026"/>
    <w:rsid w:val="00AF1193"/>
    <w:rsid w:val="00AF2DB3"/>
    <w:rsid w:val="00AF3567"/>
    <w:rsid w:val="00AF464C"/>
    <w:rsid w:val="00AF551C"/>
    <w:rsid w:val="00AF66A2"/>
    <w:rsid w:val="00AF6B27"/>
    <w:rsid w:val="00AF7B05"/>
    <w:rsid w:val="00AF7E4A"/>
    <w:rsid w:val="00B015CE"/>
    <w:rsid w:val="00B03F16"/>
    <w:rsid w:val="00B03F1F"/>
    <w:rsid w:val="00B04C3A"/>
    <w:rsid w:val="00B05286"/>
    <w:rsid w:val="00B05359"/>
    <w:rsid w:val="00B05924"/>
    <w:rsid w:val="00B06369"/>
    <w:rsid w:val="00B0701A"/>
    <w:rsid w:val="00B0754E"/>
    <w:rsid w:val="00B10198"/>
    <w:rsid w:val="00B1051C"/>
    <w:rsid w:val="00B112AD"/>
    <w:rsid w:val="00B118BB"/>
    <w:rsid w:val="00B1210A"/>
    <w:rsid w:val="00B1229E"/>
    <w:rsid w:val="00B12685"/>
    <w:rsid w:val="00B12AA0"/>
    <w:rsid w:val="00B13589"/>
    <w:rsid w:val="00B13C90"/>
    <w:rsid w:val="00B13DE5"/>
    <w:rsid w:val="00B141AF"/>
    <w:rsid w:val="00B142FD"/>
    <w:rsid w:val="00B1460F"/>
    <w:rsid w:val="00B15CB4"/>
    <w:rsid w:val="00B15F6F"/>
    <w:rsid w:val="00B160E4"/>
    <w:rsid w:val="00B16C33"/>
    <w:rsid w:val="00B20247"/>
    <w:rsid w:val="00B2089F"/>
    <w:rsid w:val="00B20DBF"/>
    <w:rsid w:val="00B212CD"/>
    <w:rsid w:val="00B218D6"/>
    <w:rsid w:val="00B21CF5"/>
    <w:rsid w:val="00B222E9"/>
    <w:rsid w:val="00B2234D"/>
    <w:rsid w:val="00B228B7"/>
    <w:rsid w:val="00B22D04"/>
    <w:rsid w:val="00B23F95"/>
    <w:rsid w:val="00B2486B"/>
    <w:rsid w:val="00B25018"/>
    <w:rsid w:val="00B250CF"/>
    <w:rsid w:val="00B2690E"/>
    <w:rsid w:val="00B26EF8"/>
    <w:rsid w:val="00B27A2F"/>
    <w:rsid w:val="00B3035E"/>
    <w:rsid w:val="00B3055F"/>
    <w:rsid w:val="00B30A8A"/>
    <w:rsid w:val="00B30ACC"/>
    <w:rsid w:val="00B321C4"/>
    <w:rsid w:val="00B32D72"/>
    <w:rsid w:val="00B33775"/>
    <w:rsid w:val="00B35F5C"/>
    <w:rsid w:val="00B360ED"/>
    <w:rsid w:val="00B36145"/>
    <w:rsid w:val="00B3685F"/>
    <w:rsid w:val="00B37235"/>
    <w:rsid w:val="00B37637"/>
    <w:rsid w:val="00B37C2B"/>
    <w:rsid w:val="00B37FEC"/>
    <w:rsid w:val="00B4040C"/>
    <w:rsid w:val="00B40A01"/>
    <w:rsid w:val="00B40C5B"/>
    <w:rsid w:val="00B40C94"/>
    <w:rsid w:val="00B40EDB"/>
    <w:rsid w:val="00B426D2"/>
    <w:rsid w:val="00B433C5"/>
    <w:rsid w:val="00B4348C"/>
    <w:rsid w:val="00B43A4A"/>
    <w:rsid w:val="00B44B2A"/>
    <w:rsid w:val="00B44DD0"/>
    <w:rsid w:val="00B4568B"/>
    <w:rsid w:val="00B46A5E"/>
    <w:rsid w:val="00B46CBD"/>
    <w:rsid w:val="00B47B9D"/>
    <w:rsid w:val="00B50A10"/>
    <w:rsid w:val="00B51AFD"/>
    <w:rsid w:val="00B51FB3"/>
    <w:rsid w:val="00B52007"/>
    <w:rsid w:val="00B52F60"/>
    <w:rsid w:val="00B52FED"/>
    <w:rsid w:val="00B5331C"/>
    <w:rsid w:val="00B5377E"/>
    <w:rsid w:val="00B55B38"/>
    <w:rsid w:val="00B56038"/>
    <w:rsid w:val="00B572BE"/>
    <w:rsid w:val="00B57AAC"/>
    <w:rsid w:val="00B57BA0"/>
    <w:rsid w:val="00B603E6"/>
    <w:rsid w:val="00B61BED"/>
    <w:rsid w:val="00B61E0E"/>
    <w:rsid w:val="00B625DE"/>
    <w:rsid w:val="00B63869"/>
    <w:rsid w:val="00B64082"/>
    <w:rsid w:val="00B64235"/>
    <w:rsid w:val="00B6424A"/>
    <w:rsid w:val="00B64F9A"/>
    <w:rsid w:val="00B65548"/>
    <w:rsid w:val="00B67001"/>
    <w:rsid w:val="00B67888"/>
    <w:rsid w:val="00B70166"/>
    <w:rsid w:val="00B703FD"/>
    <w:rsid w:val="00B70801"/>
    <w:rsid w:val="00B71030"/>
    <w:rsid w:val="00B718C8"/>
    <w:rsid w:val="00B71DDA"/>
    <w:rsid w:val="00B71EBF"/>
    <w:rsid w:val="00B734BB"/>
    <w:rsid w:val="00B73FEB"/>
    <w:rsid w:val="00B7420D"/>
    <w:rsid w:val="00B744EB"/>
    <w:rsid w:val="00B746D0"/>
    <w:rsid w:val="00B7555A"/>
    <w:rsid w:val="00B75D45"/>
    <w:rsid w:val="00B76100"/>
    <w:rsid w:val="00B762E1"/>
    <w:rsid w:val="00B764AA"/>
    <w:rsid w:val="00B76B59"/>
    <w:rsid w:val="00B76E4C"/>
    <w:rsid w:val="00B770CD"/>
    <w:rsid w:val="00B81290"/>
    <w:rsid w:val="00B81577"/>
    <w:rsid w:val="00B819A3"/>
    <w:rsid w:val="00B819FD"/>
    <w:rsid w:val="00B82CA6"/>
    <w:rsid w:val="00B82DEA"/>
    <w:rsid w:val="00B832AF"/>
    <w:rsid w:val="00B83AAD"/>
    <w:rsid w:val="00B844D4"/>
    <w:rsid w:val="00B8516E"/>
    <w:rsid w:val="00B854F3"/>
    <w:rsid w:val="00B857EF"/>
    <w:rsid w:val="00B85A42"/>
    <w:rsid w:val="00B860F6"/>
    <w:rsid w:val="00B86A0D"/>
    <w:rsid w:val="00B86F62"/>
    <w:rsid w:val="00B90254"/>
    <w:rsid w:val="00B903B5"/>
    <w:rsid w:val="00B90B86"/>
    <w:rsid w:val="00B921E0"/>
    <w:rsid w:val="00B928A1"/>
    <w:rsid w:val="00B93029"/>
    <w:rsid w:val="00B93285"/>
    <w:rsid w:val="00B9335A"/>
    <w:rsid w:val="00B9544F"/>
    <w:rsid w:val="00B95C8D"/>
    <w:rsid w:val="00B96708"/>
    <w:rsid w:val="00B971CC"/>
    <w:rsid w:val="00B978AA"/>
    <w:rsid w:val="00BA0006"/>
    <w:rsid w:val="00BA0023"/>
    <w:rsid w:val="00BA014A"/>
    <w:rsid w:val="00BA04DC"/>
    <w:rsid w:val="00BA2DE6"/>
    <w:rsid w:val="00BA3711"/>
    <w:rsid w:val="00BA3BFF"/>
    <w:rsid w:val="00BA557E"/>
    <w:rsid w:val="00BA5602"/>
    <w:rsid w:val="00BA69BD"/>
    <w:rsid w:val="00BB088B"/>
    <w:rsid w:val="00BB0C7C"/>
    <w:rsid w:val="00BB0E0F"/>
    <w:rsid w:val="00BB0E98"/>
    <w:rsid w:val="00BB1150"/>
    <w:rsid w:val="00BB12EE"/>
    <w:rsid w:val="00BB1377"/>
    <w:rsid w:val="00BB296A"/>
    <w:rsid w:val="00BB30C4"/>
    <w:rsid w:val="00BB4695"/>
    <w:rsid w:val="00BB56E8"/>
    <w:rsid w:val="00BB5C0F"/>
    <w:rsid w:val="00BB724B"/>
    <w:rsid w:val="00BB7257"/>
    <w:rsid w:val="00BB7A83"/>
    <w:rsid w:val="00BC3537"/>
    <w:rsid w:val="00BC3FC5"/>
    <w:rsid w:val="00BC6DE2"/>
    <w:rsid w:val="00BC7644"/>
    <w:rsid w:val="00BD0542"/>
    <w:rsid w:val="00BD06CF"/>
    <w:rsid w:val="00BD0778"/>
    <w:rsid w:val="00BD0C40"/>
    <w:rsid w:val="00BD1232"/>
    <w:rsid w:val="00BD1934"/>
    <w:rsid w:val="00BD239C"/>
    <w:rsid w:val="00BD2E99"/>
    <w:rsid w:val="00BD3A74"/>
    <w:rsid w:val="00BD41B7"/>
    <w:rsid w:val="00BD42AF"/>
    <w:rsid w:val="00BD498E"/>
    <w:rsid w:val="00BD4CD4"/>
    <w:rsid w:val="00BD5897"/>
    <w:rsid w:val="00BD60F0"/>
    <w:rsid w:val="00BD6953"/>
    <w:rsid w:val="00BD7534"/>
    <w:rsid w:val="00BD75D9"/>
    <w:rsid w:val="00BD7DB0"/>
    <w:rsid w:val="00BD7E1C"/>
    <w:rsid w:val="00BD7EC4"/>
    <w:rsid w:val="00BE0DD6"/>
    <w:rsid w:val="00BE0E11"/>
    <w:rsid w:val="00BE11D9"/>
    <w:rsid w:val="00BE1623"/>
    <w:rsid w:val="00BE1FD2"/>
    <w:rsid w:val="00BE248D"/>
    <w:rsid w:val="00BE2910"/>
    <w:rsid w:val="00BE3BC1"/>
    <w:rsid w:val="00BE3DF9"/>
    <w:rsid w:val="00BE5482"/>
    <w:rsid w:val="00BE56E7"/>
    <w:rsid w:val="00BF0475"/>
    <w:rsid w:val="00BF0BBF"/>
    <w:rsid w:val="00BF12E5"/>
    <w:rsid w:val="00BF17D6"/>
    <w:rsid w:val="00BF1CBF"/>
    <w:rsid w:val="00BF205A"/>
    <w:rsid w:val="00BF2247"/>
    <w:rsid w:val="00BF437A"/>
    <w:rsid w:val="00BF5947"/>
    <w:rsid w:val="00BF5E6A"/>
    <w:rsid w:val="00BF722E"/>
    <w:rsid w:val="00C0179A"/>
    <w:rsid w:val="00C018B3"/>
    <w:rsid w:val="00C0192B"/>
    <w:rsid w:val="00C01A50"/>
    <w:rsid w:val="00C026CB"/>
    <w:rsid w:val="00C02A2D"/>
    <w:rsid w:val="00C02D2A"/>
    <w:rsid w:val="00C032A9"/>
    <w:rsid w:val="00C04702"/>
    <w:rsid w:val="00C05242"/>
    <w:rsid w:val="00C05DBF"/>
    <w:rsid w:val="00C0666E"/>
    <w:rsid w:val="00C11436"/>
    <w:rsid w:val="00C1187D"/>
    <w:rsid w:val="00C11B46"/>
    <w:rsid w:val="00C11BDF"/>
    <w:rsid w:val="00C1252D"/>
    <w:rsid w:val="00C12B37"/>
    <w:rsid w:val="00C13799"/>
    <w:rsid w:val="00C145FB"/>
    <w:rsid w:val="00C14681"/>
    <w:rsid w:val="00C1470C"/>
    <w:rsid w:val="00C14D59"/>
    <w:rsid w:val="00C16959"/>
    <w:rsid w:val="00C16994"/>
    <w:rsid w:val="00C16B3F"/>
    <w:rsid w:val="00C21405"/>
    <w:rsid w:val="00C21739"/>
    <w:rsid w:val="00C21A7B"/>
    <w:rsid w:val="00C23AD0"/>
    <w:rsid w:val="00C23C37"/>
    <w:rsid w:val="00C24638"/>
    <w:rsid w:val="00C24675"/>
    <w:rsid w:val="00C24AC4"/>
    <w:rsid w:val="00C24CD7"/>
    <w:rsid w:val="00C25AC6"/>
    <w:rsid w:val="00C25B95"/>
    <w:rsid w:val="00C260D8"/>
    <w:rsid w:val="00C260E7"/>
    <w:rsid w:val="00C267AB"/>
    <w:rsid w:val="00C267F3"/>
    <w:rsid w:val="00C26DB1"/>
    <w:rsid w:val="00C270D5"/>
    <w:rsid w:val="00C3000E"/>
    <w:rsid w:val="00C30A5F"/>
    <w:rsid w:val="00C30BD0"/>
    <w:rsid w:val="00C310B6"/>
    <w:rsid w:val="00C315A4"/>
    <w:rsid w:val="00C35153"/>
    <w:rsid w:val="00C35B10"/>
    <w:rsid w:val="00C36004"/>
    <w:rsid w:val="00C364EB"/>
    <w:rsid w:val="00C36655"/>
    <w:rsid w:val="00C3680F"/>
    <w:rsid w:val="00C370E2"/>
    <w:rsid w:val="00C371EF"/>
    <w:rsid w:val="00C37573"/>
    <w:rsid w:val="00C40333"/>
    <w:rsid w:val="00C403BF"/>
    <w:rsid w:val="00C404F2"/>
    <w:rsid w:val="00C40ED4"/>
    <w:rsid w:val="00C412F8"/>
    <w:rsid w:val="00C41564"/>
    <w:rsid w:val="00C41C28"/>
    <w:rsid w:val="00C4278F"/>
    <w:rsid w:val="00C44181"/>
    <w:rsid w:val="00C44821"/>
    <w:rsid w:val="00C4549E"/>
    <w:rsid w:val="00C4597C"/>
    <w:rsid w:val="00C462C2"/>
    <w:rsid w:val="00C47B82"/>
    <w:rsid w:val="00C505E5"/>
    <w:rsid w:val="00C510E7"/>
    <w:rsid w:val="00C512EC"/>
    <w:rsid w:val="00C51A17"/>
    <w:rsid w:val="00C52E2E"/>
    <w:rsid w:val="00C5495D"/>
    <w:rsid w:val="00C54D72"/>
    <w:rsid w:val="00C55EAB"/>
    <w:rsid w:val="00C56B79"/>
    <w:rsid w:val="00C570E0"/>
    <w:rsid w:val="00C601D4"/>
    <w:rsid w:val="00C602BD"/>
    <w:rsid w:val="00C6045A"/>
    <w:rsid w:val="00C6090F"/>
    <w:rsid w:val="00C6134D"/>
    <w:rsid w:val="00C616D5"/>
    <w:rsid w:val="00C62FF3"/>
    <w:rsid w:val="00C63172"/>
    <w:rsid w:val="00C63CED"/>
    <w:rsid w:val="00C642D5"/>
    <w:rsid w:val="00C64B7F"/>
    <w:rsid w:val="00C650C0"/>
    <w:rsid w:val="00C653FE"/>
    <w:rsid w:val="00C6562A"/>
    <w:rsid w:val="00C6666F"/>
    <w:rsid w:val="00C66885"/>
    <w:rsid w:val="00C66DA8"/>
    <w:rsid w:val="00C66FD9"/>
    <w:rsid w:val="00C70787"/>
    <w:rsid w:val="00C70796"/>
    <w:rsid w:val="00C721A3"/>
    <w:rsid w:val="00C72E22"/>
    <w:rsid w:val="00C732FE"/>
    <w:rsid w:val="00C73D6E"/>
    <w:rsid w:val="00C753F3"/>
    <w:rsid w:val="00C76542"/>
    <w:rsid w:val="00C76C9F"/>
    <w:rsid w:val="00C77855"/>
    <w:rsid w:val="00C80F6E"/>
    <w:rsid w:val="00C81B73"/>
    <w:rsid w:val="00C820D1"/>
    <w:rsid w:val="00C831B9"/>
    <w:rsid w:val="00C840C1"/>
    <w:rsid w:val="00C848A7"/>
    <w:rsid w:val="00C849AC"/>
    <w:rsid w:val="00C84FC7"/>
    <w:rsid w:val="00C8536E"/>
    <w:rsid w:val="00C85905"/>
    <w:rsid w:val="00C8610A"/>
    <w:rsid w:val="00C8704C"/>
    <w:rsid w:val="00C8753C"/>
    <w:rsid w:val="00C87AAF"/>
    <w:rsid w:val="00C87EDF"/>
    <w:rsid w:val="00C90565"/>
    <w:rsid w:val="00C90818"/>
    <w:rsid w:val="00C90A05"/>
    <w:rsid w:val="00C91AC2"/>
    <w:rsid w:val="00C91FE9"/>
    <w:rsid w:val="00C92503"/>
    <w:rsid w:val="00C928CB"/>
    <w:rsid w:val="00C94D45"/>
    <w:rsid w:val="00C94E4E"/>
    <w:rsid w:val="00C952D7"/>
    <w:rsid w:val="00C9592E"/>
    <w:rsid w:val="00C9795A"/>
    <w:rsid w:val="00CA078A"/>
    <w:rsid w:val="00CA07C9"/>
    <w:rsid w:val="00CA08B4"/>
    <w:rsid w:val="00CA0A05"/>
    <w:rsid w:val="00CA0E0C"/>
    <w:rsid w:val="00CA1707"/>
    <w:rsid w:val="00CA23E6"/>
    <w:rsid w:val="00CA2893"/>
    <w:rsid w:val="00CA2DC2"/>
    <w:rsid w:val="00CA3645"/>
    <w:rsid w:val="00CA37F6"/>
    <w:rsid w:val="00CA3DB2"/>
    <w:rsid w:val="00CA4B2E"/>
    <w:rsid w:val="00CA4B37"/>
    <w:rsid w:val="00CA59B5"/>
    <w:rsid w:val="00CA5E11"/>
    <w:rsid w:val="00CA5FD7"/>
    <w:rsid w:val="00CA6BFB"/>
    <w:rsid w:val="00CA6C8F"/>
    <w:rsid w:val="00CA6D2E"/>
    <w:rsid w:val="00CA73AB"/>
    <w:rsid w:val="00CA7CB7"/>
    <w:rsid w:val="00CB0A6D"/>
    <w:rsid w:val="00CB0EC6"/>
    <w:rsid w:val="00CB11F2"/>
    <w:rsid w:val="00CB13E7"/>
    <w:rsid w:val="00CB15B9"/>
    <w:rsid w:val="00CB161D"/>
    <w:rsid w:val="00CB19F2"/>
    <w:rsid w:val="00CB19FC"/>
    <w:rsid w:val="00CB2020"/>
    <w:rsid w:val="00CB25BA"/>
    <w:rsid w:val="00CB2991"/>
    <w:rsid w:val="00CB29CA"/>
    <w:rsid w:val="00CB39C6"/>
    <w:rsid w:val="00CB3D7E"/>
    <w:rsid w:val="00CB3F2D"/>
    <w:rsid w:val="00CB41B0"/>
    <w:rsid w:val="00CB41DE"/>
    <w:rsid w:val="00CB42D5"/>
    <w:rsid w:val="00CB44B9"/>
    <w:rsid w:val="00CB51AA"/>
    <w:rsid w:val="00CB5470"/>
    <w:rsid w:val="00CB5D15"/>
    <w:rsid w:val="00CB6864"/>
    <w:rsid w:val="00CB6F8B"/>
    <w:rsid w:val="00CB7882"/>
    <w:rsid w:val="00CC0793"/>
    <w:rsid w:val="00CC0DB6"/>
    <w:rsid w:val="00CC150E"/>
    <w:rsid w:val="00CC1D78"/>
    <w:rsid w:val="00CC22CF"/>
    <w:rsid w:val="00CC2E7B"/>
    <w:rsid w:val="00CC4B85"/>
    <w:rsid w:val="00CC5041"/>
    <w:rsid w:val="00CC5A19"/>
    <w:rsid w:val="00CC60C4"/>
    <w:rsid w:val="00CC7870"/>
    <w:rsid w:val="00CD0072"/>
    <w:rsid w:val="00CD0846"/>
    <w:rsid w:val="00CD08DB"/>
    <w:rsid w:val="00CD1173"/>
    <w:rsid w:val="00CD15C2"/>
    <w:rsid w:val="00CD15C5"/>
    <w:rsid w:val="00CD1803"/>
    <w:rsid w:val="00CD1AE5"/>
    <w:rsid w:val="00CD1E43"/>
    <w:rsid w:val="00CD218A"/>
    <w:rsid w:val="00CD29F1"/>
    <w:rsid w:val="00CD2AF4"/>
    <w:rsid w:val="00CD2CE3"/>
    <w:rsid w:val="00CD3005"/>
    <w:rsid w:val="00CD4884"/>
    <w:rsid w:val="00CD59EF"/>
    <w:rsid w:val="00CD5BEF"/>
    <w:rsid w:val="00CD6290"/>
    <w:rsid w:val="00CD6D9D"/>
    <w:rsid w:val="00CD7286"/>
    <w:rsid w:val="00CD74E0"/>
    <w:rsid w:val="00CD76C0"/>
    <w:rsid w:val="00CD7744"/>
    <w:rsid w:val="00CE0220"/>
    <w:rsid w:val="00CE0635"/>
    <w:rsid w:val="00CE0E46"/>
    <w:rsid w:val="00CE11BF"/>
    <w:rsid w:val="00CE322D"/>
    <w:rsid w:val="00CE3B4F"/>
    <w:rsid w:val="00CE4493"/>
    <w:rsid w:val="00CE47DE"/>
    <w:rsid w:val="00CE658E"/>
    <w:rsid w:val="00CE669C"/>
    <w:rsid w:val="00CE7BD7"/>
    <w:rsid w:val="00CF07F9"/>
    <w:rsid w:val="00CF1B60"/>
    <w:rsid w:val="00CF1E2A"/>
    <w:rsid w:val="00CF248D"/>
    <w:rsid w:val="00CF3DEF"/>
    <w:rsid w:val="00CF5033"/>
    <w:rsid w:val="00CF5AD6"/>
    <w:rsid w:val="00CF5C03"/>
    <w:rsid w:val="00CF5F64"/>
    <w:rsid w:val="00CF65B5"/>
    <w:rsid w:val="00CF6D86"/>
    <w:rsid w:val="00CF6E42"/>
    <w:rsid w:val="00D003E4"/>
    <w:rsid w:val="00D00DEC"/>
    <w:rsid w:val="00D01CA4"/>
    <w:rsid w:val="00D01E3B"/>
    <w:rsid w:val="00D021BA"/>
    <w:rsid w:val="00D0287E"/>
    <w:rsid w:val="00D02F9C"/>
    <w:rsid w:val="00D03736"/>
    <w:rsid w:val="00D039B2"/>
    <w:rsid w:val="00D0484F"/>
    <w:rsid w:val="00D05922"/>
    <w:rsid w:val="00D059DD"/>
    <w:rsid w:val="00D05CD2"/>
    <w:rsid w:val="00D05D4A"/>
    <w:rsid w:val="00D06871"/>
    <w:rsid w:val="00D06C89"/>
    <w:rsid w:val="00D07845"/>
    <w:rsid w:val="00D07F0D"/>
    <w:rsid w:val="00D10D7B"/>
    <w:rsid w:val="00D11A17"/>
    <w:rsid w:val="00D11E30"/>
    <w:rsid w:val="00D11F82"/>
    <w:rsid w:val="00D12077"/>
    <w:rsid w:val="00D12387"/>
    <w:rsid w:val="00D1271C"/>
    <w:rsid w:val="00D12A62"/>
    <w:rsid w:val="00D146DA"/>
    <w:rsid w:val="00D15640"/>
    <w:rsid w:val="00D178EC"/>
    <w:rsid w:val="00D17F46"/>
    <w:rsid w:val="00D20578"/>
    <w:rsid w:val="00D20798"/>
    <w:rsid w:val="00D20AA1"/>
    <w:rsid w:val="00D20AB1"/>
    <w:rsid w:val="00D21393"/>
    <w:rsid w:val="00D219D6"/>
    <w:rsid w:val="00D21A0A"/>
    <w:rsid w:val="00D21B6A"/>
    <w:rsid w:val="00D22D32"/>
    <w:rsid w:val="00D24100"/>
    <w:rsid w:val="00D244B1"/>
    <w:rsid w:val="00D24BA5"/>
    <w:rsid w:val="00D25128"/>
    <w:rsid w:val="00D25693"/>
    <w:rsid w:val="00D25901"/>
    <w:rsid w:val="00D25FC1"/>
    <w:rsid w:val="00D26AA3"/>
    <w:rsid w:val="00D26AEF"/>
    <w:rsid w:val="00D3007C"/>
    <w:rsid w:val="00D300AC"/>
    <w:rsid w:val="00D300CA"/>
    <w:rsid w:val="00D302F9"/>
    <w:rsid w:val="00D30C67"/>
    <w:rsid w:val="00D30D46"/>
    <w:rsid w:val="00D31663"/>
    <w:rsid w:val="00D31D20"/>
    <w:rsid w:val="00D3375C"/>
    <w:rsid w:val="00D3381F"/>
    <w:rsid w:val="00D34008"/>
    <w:rsid w:val="00D34F1F"/>
    <w:rsid w:val="00D35A8A"/>
    <w:rsid w:val="00D35D39"/>
    <w:rsid w:val="00D362EC"/>
    <w:rsid w:val="00D36470"/>
    <w:rsid w:val="00D3652B"/>
    <w:rsid w:val="00D37022"/>
    <w:rsid w:val="00D371BC"/>
    <w:rsid w:val="00D41183"/>
    <w:rsid w:val="00D41830"/>
    <w:rsid w:val="00D419AA"/>
    <w:rsid w:val="00D42555"/>
    <w:rsid w:val="00D42B13"/>
    <w:rsid w:val="00D4316D"/>
    <w:rsid w:val="00D44843"/>
    <w:rsid w:val="00D45B3E"/>
    <w:rsid w:val="00D46347"/>
    <w:rsid w:val="00D46695"/>
    <w:rsid w:val="00D46A34"/>
    <w:rsid w:val="00D46B49"/>
    <w:rsid w:val="00D46D8E"/>
    <w:rsid w:val="00D472CA"/>
    <w:rsid w:val="00D477DE"/>
    <w:rsid w:val="00D47839"/>
    <w:rsid w:val="00D47CF8"/>
    <w:rsid w:val="00D5042F"/>
    <w:rsid w:val="00D505AD"/>
    <w:rsid w:val="00D506D2"/>
    <w:rsid w:val="00D512AA"/>
    <w:rsid w:val="00D51DA9"/>
    <w:rsid w:val="00D52642"/>
    <w:rsid w:val="00D539C6"/>
    <w:rsid w:val="00D5479F"/>
    <w:rsid w:val="00D555A9"/>
    <w:rsid w:val="00D556E6"/>
    <w:rsid w:val="00D5572C"/>
    <w:rsid w:val="00D55902"/>
    <w:rsid w:val="00D564AD"/>
    <w:rsid w:val="00D570A5"/>
    <w:rsid w:val="00D57211"/>
    <w:rsid w:val="00D57B82"/>
    <w:rsid w:val="00D57FF4"/>
    <w:rsid w:val="00D611FE"/>
    <w:rsid w:val="00D615B0"/>
    <w:rsid w:val="00D62128"/>
    <w:rsid w:val="00D62211"/>
    <w:rsid w:val="00D63C3A"/>
    <w:rsid w:val="00D63D47"/>
    <w:rsid w:val="00D70009"/>
    <w:rsid w:val="00D701DF"/>
    <w:rsid w:val="00D70DEC"/>
    <w:rsid w:val="00D7266C"/>
    <w:rsid w:val="00D728CB"/>
    <w:rsid w:val="00D72E5A"/>
    <w:rsid w:val="00D73DD9"/>
    <w:rsid w:val="00D740B2"/>
    <w:rsid w:val="00D76594"/>
    <w:rsid w:val="00D76B49"/>
    <w:rsid w:val="00D80089"/>
    <w:rsid w:val="00D806F1"/>
    <w:rsid w:val="00D81535"/>
    <w:rsid w:val="00D81C4B"/>
    <w:rsid w:val="00D81EF9"/>
    <w:rsid w:val="00D82285"/>
    <w:rsid w:val="00D8261E"/>
    <w:rsid w:val="00D827A5"/>
    <w:rsid w:val="00D8284B"/>
    <w:rsid w:val="00D83B0A"/>
    <w:rsid w:val="00D84112"/>
    <w:rsid w:val="00D8427E"/>
    <w:rsid w:val="00D842C4"/>
    <w:rsid w:val="00D8501A"/>
    <w:rsid w:val="00D8693C"/>
    <w:rsid w:val="00D86DEE"/>
    <w:rsid w:val="00D870A6"/>
    <w:rsid w:val="00D87A0D"/>
    <w:rsid w:val="00D87D26"/>
    <w:rsid w:val="00D91952"/>
    <w:rsid w:val="00D92048"/>
    <w:rsid w:val="00D92191"/>
    <w:rsid w:val="00D92940"/>
    <w:rsid w:val="00D92A3F"/>
    <w:rsid w:val="00D93841"/>
    <w:rsid w:val="00D93B80"/>
    <w:rsid w:val="00D95836"/>
    <w:rsid w:val="00D95DA1"/>
    <w:rsid w:val="00D9632C"/>
    <w:rsid w:val="00D966CE"/>
    <w:rsid w:val="00D97284"/>
    <w:rsid w:val="00DA00E3"/>
    <w:rsid w:val="00DA052E"/>
    <w:rsid w:val="00DA0B31"/>
    <w:rsid w:val="00DA0CD7"/>
    <w:rsid w:val="00DA0FA6"/>
    <w:rsid w:val="00DA1791"/>
    <w:rsid w:val="00DA202B"/>
    <w:rsid w:val="00DA2548"/>
    <w:rsid w:val="00DA26FF"/>
    <w:rsid w:val="00DA2A6D"/>
    <w:rsid w:val="00DA392F"/>
    <w:rsid w:val="00DA3B2D"/>
    <w:rsid w:val="00DA44DB"/>
    <w:rsid w:val="00DA45E3"/>
    <w:rsid w:val="00DA46D2"/>
    <w:rsid w:val="00DA51B3"/>
    <w:rsid w:val="00DA553E"/>
    <w:rsid w:val="00DA55E2"/>
    <w:rsid w:val="00DA7498"/>
    <w:rsid w:val="00DA7E7E"/>
    <w:rsid w:val="00DB0055"/>
    <w:rsid w:val="00DB0627"/>
    <w:rsid w:val="00DB08C6"/>
    <w:rsid w:val="00DB0B1D"/>
    <w:rsid w:val="00DB1436"/>
    <w:rsid w:val="00DB158D"/>
    <w:rsid w:val="00DB23BC"/>
    <w:rsid w:val="00DB4D46"/>
    <w:rsid w:val="00DB4F3F"/>
    <w:rsid w:val="00DB5486"/>
    <w:rsid w:val="00DB55BE"/>
    <w:rsid w:val="00DB6561"/>
    <w:rsid w:val="00DB671E"/>
    <w:rsid w:val="00DB6C19"/>
    <w:rsid w:val="00DB7680"/>
    <w:rsid w:val="00DB7839"/>
    <w:rsid w:val="00DC0294"/>
    <w:rsid w:val="00DC02E1"/>
    <w:rsid w:val="00DC061E"/>
    <w:rsid w:val="00DC0BEB"/>
    <w:rsid w:val="00DC1D27"/>
    <w:rsid w:val="00DC255C"/>
    <w:rsid w:val="00DC42A1"/>
    <w:rsid w:val="00DC4717"/>
    <w:rsid w:val="00DC48C2"/>
    <w:rsid w:val="00DC5606"/>
    <w:rsid w:val="00DC5D49"/>
    <w:rsid w:val="00DC6D28"/>
    <w:rsid w:val="00DC7A09"/>
    <w:rsid w:val="00DC7BAC"/>
    <w:rsid w:val="00DD0F7A"/>
    <w:rsid w:val="00DD1175"/>
    <w:rsid w:val="00DD149F"/>
    <w:rsid w:val="00DD1970"/>
    <w:rsid w:val="00DD2793"/>
    <w:rsid w:val="00DD2AA4"/>
    <w:rsid w:val="00DD2B17"/>
    <w:rsid w:val="00DD2D0F"/>
    <w:rsid w:val="00DD328D"/>
    <w:rsid w:val="00DD338B"/>
    <w:rsid w:val="00DD364F"/>
    <w:rsid w:val="00DD380F"/>
    <w:rsid w:val="00DD4ECC"/>
    <w:rsid w:val="00DD5EA1"/>
    <w:rsid w:val="00DD65BC"/>
    <w:rsid w:val="00DD6CBF"/>
    <w:rsid w:val="00DD76C4"/>
    <w:rsid w:val="00DE07AC"/>
    <w:rsid w:val="00DE0B55"/>
    <w:rsid w:val="00DE1020"/>
    <w:rsid w:val="00DE1140"/>
    <w:rsid w:val="00DE3C48"/>
    <w:rsid w:val="00DE4B3F"/>
    <w:rsid w:val="00DE659C"/>
    <w:rsid w:val="00DE664B"/>
    <w:rsid w:val="00DE6750"/>
    <w:rsid w:val="00DE7D2D"/>
    <w:rsid w:val="00DE7DFC"/>
    <w:rsid w:val="00DF010A"/>
    <w:rsid w:val="00DF09B2"/>
    <w:rsid w:val="00DF10E4"/>
    <w:rsid w:val="00DF183A"/>
    <w:rsid w:val="00DF1CAF"/>
    <w:rsid w:val="00DF1EB0"/>
    <w:rsid w:val="00DF27C6"/>
    <w:rsid w:val="00DF31A8"/>
    <w:rsid w:val="00DF37AD"/>
    <w:rsid w:val="00DF567E"/>
    <w:rsid w:val="00DF58D5"/>
    <w:rsid w:val="00DF58DE"/>
    <w:rsid w:val="00DF5B00"/>
    <w:rsid w:val="00DF5F5F"/>
    <w:rsid w:val="00DF6A90"/>
    <w:rsid w:val="00DF6E7C"/>
    <w:rsid w:val="00DF7C7D"/>
    <w:rsid w:val="00E00454"/>
    <w:rsid w:val="00E008AB"/>
    <w:rsid w:val="00E0112A"/>
    <w:rsid w:val="00E021AF"/>
    <w:rsid w:val="00E02236"/>
    <w:rsid w:val="00E02240"/>
    <w:rsid w:val="00E03298"/>
    <w:rsid w:val="00E043B4"/>
    <w:rsid w:val="00E055DE"/>
    <w:rsid w:val="00E05663"/>
    <w:rsid w:val="00E05976"/>
    <w:rsid w:val="00E06110"/>
    <w:rsid w:val="00E06567"/>
    <w:rsid w:val="00E0671E"/>
    <w:rsid w:val="00E07B34"/>
    <w:rsid w:val="00E1049F"/>
    <w:rsid w:val="00E10D63"/>
    <w:rsid w:val="00E117DB"/>
    <w:rsid w:val="00E12576"/>
    <w:rsid w:val="00E12976"/>
    <w:rsid w:val="00E137CF"/>
    <w:rsid w:val="00E1476C"/>
    <w:rsid w:val="00E14C12"/>
    <w:rsid w:val="00E159AD"/>
    <w:rsid w:val="00E15C86"/>
    <w:rsid w:val="00E16223"/>
    <w:rsid w:val="00E167D5"/>
    <w:rsid w:val="00E177D9"/>
    <w:rsid w:val="00E179DB"/>
    <w:rsid w:val="00E201FA"/>
    <w:rsid w:val="00E2036A"/>
    <w:rsid w:val="00E2059E"/>
    <w:rsid w:val="00E2063F"/>
    <w:rsid w:val="00E213B4"/>
    <w:rsid w:val="00E21F4A"/>
    <w:rsid w:val="00E225E8"/>
    <w:rsid w:val="00E2268E"/>
    <w:rsid w:val="00E24327"/>
    <w:rsid w:val="00E2453A"/>
    <w:rsid w:val="00E26BA2"/>
    <w:rsid w:val="00E277E1"/>
    <w:rsid w:val="00E27CEC"/>
    <w:rsid w:val="00E301D4"/>
    <w:rsid w:val="00E307A5"/>
    <w:rsid w:val="00E3082C"/>
    <w:rsid w:val="00E328B9"/>
    <w:rsid w:val="00E32946"/>
    <w:rsid w:val="00E32BCA"/>
    <w:rsid w:val="00E3368A"/>
    <w:rsid w:val="00E337F8"/>
    <w:rsid w:val="00E33CA0"/>
    <w:rsid w:val="00E34546"/>
    <w:rsid w:val="00E3456E"/>
    <w:rsid w:val="00E34F86"/>
    <w:rsid w:val="00E35715"/>
    <w:rsid w:val="00E35A00"/>
    <w:rsid w:val="00E36AE9"/>
    <w:rsid w:val="00E36D8C"/>
    <w:rsid w:val="00E36F77"/>
    <w:rsid w:val="00E3713B"/>
    <w:rsid w:val="00E3718B"/>
    <w:rsid w:val="00E374DA"/>
    <w:rsid w:val="00E375A8"/>
    <w:rsid w:val="00E40234"/>
    <w:rsid w:val="00E421C7"/>
    <w:rsid w:val="00E42DB1"/>
    <w:rsid w:val="00E434A4"/>
    <w:rsid w:val="00E4388B"/>
    <w:rsid w:val="00E43C57"/>
    <w:rsid w:val="00E44101"/>
    <w:rsid w:val="00E449DE"/>
    <w:rsid w:val="00E44B34"/>
    <w:rsid w:val="00E44F49"/>
    <w:rsid w:val="00E45644"/>
    <w:rsid w:val="00E457F9"/>
    <w:rsid w:val="00E45846"/>
    <w:rsid w:val="00E45DE9"/>
    <w:rsid w:val="00E476D7"/>
    <w:rsid w:val="00E479A5"/>
    <w:rsid w:val="00E47CB1"/>
    <w:rsid w:val="00E500C1"/>
    <w:rsid w:val="00E50972"/>
    <w:rsid w:val="00E50E2E"/>
    <w:rsid w:val="00E513EE"/>
    <w:rsid w:val="00E516E0"/>
    <w:rsid w:val="00E51956"/>
    <w:rsid w:val="00E52677"/>
    <w:rsid w:val="00E52BD5"/>
    <w:rsid w:val="00E530DD"/>
    <w:rsid w:val="00E531FE"/>
    <w:rsid w:val="00E5340F"/>
    <w:rsid w:val="00E536D3"/>
    <w:rsid w:val="00E53EF7"/>
    <w:rsid w:val="00E5442F"/>
    <w:rsid w:val="00E55A45"/>
    <w:rsid w:val="00E566A4"/>
    <w:rsid w:val="00E5672E"/>
    <w:rsid w:val="00E5751F"/>
    <w:rsid w:val="00E578DF"/>
    <w:rsid w:val="00E60539"/>
    <w:rsid w:val="00E60BFF"/>
    <w:rsid w:val="00E60ED2"/>
    <w:rsid w:val="00E62891"/>
    <w:rsid w:val="00E629BF"/>
    <w:rsid w:val="00E63357"/>
    <w:rsid w:val="00E63E76"/>
    <w:rsid w:val="00E640E3"/>
    <w:rsid w:val="00E650E5"/>
    <w:rsid w:val="00E66742"/>
    <w:rsid w:val="00E66F4B"/>
    <w:rsid w:val="00E679A0"/>
    <w:rsid w:val="00E67B17"/>
    <w:rsid w:val="00E67D2A"/>
    <w:rsid w:val="00E706FC"/>
    <w:rsid w:val="00E70DFA"/>
    <w:rsid w:val="00E71088"/>
    <w:rsid w:val="00E7143A"/>
    <w:rsid w:val="00E7185F"/>
    <w:rsid w:val="00E71AC9"/>
    <w:rsid w:val="00E72B87"/>
    <w:rsid w:val="00E7376F"/>
    <w:rsid w:val="00E745A9"/>
    <w:rsid w:val="00E74B90"/>
    <w:rsid w:val="00E75336"/>
    <w:rsid w:val="00E75BA2"/>
    <w:rsid w:val="00E76AC7"/>
    <w:rsid w:val="00E76AD9"/>
    <w:rsid w:val="00E76C3C"/>
    <w:rsid w:val="00E7798B"/>
    <w:rsid w:val="00E77A09"/>
    <w:rsid w:val="00E80347"/>
    <w:rsid w:val="00E8111D"/>
    <w:rsid w:val="00E814D6"/>
    <w:rsid w:val="00E81665"/>
    <w:rsid w:val="00E8178F"/>
    <w:rsid w:val="00E8239D"/>
    <w:rsid w:val="00E834A1"/>
    <w:rsid w:val="00E83BED"/>
    <w:rsid w:val="00E83FCC"/>
    <w:rsid w:val="00E84140"/>
    <w:rsid w:val="00E845AE"/>
    <w:rsid w:val="00E856B3"/>
    <w:rsid w:val="00E85E5C"/>
    <w:rsid w:val="00E860B9"/>
    <w:rsid w:val="00E86609"/>
    <w:rsid w:val="00E86ACD"/>
    <w:rsid w:val="00E8720C"/>
    <w:rsid w:val="00E87687"/>
    <w:rsid w:val="00E876EA"/>
    <w:rsid w:val="00E87A46"/>
    <w:rsid w:val="00E87D93"/>
    <w:rsid w:val="00E87EE0"/>
    <w:rsid w:val="00E9027A"/>
    <w:rsid w:val="00E90E19"/>
    <w:rsid w:val="00E91805"/>
    <w:rsid w:val="00E91D42"/>
    <w:rsid w:val="00E9348D"/>
    <w:rsid w:val="00E93FBE"/>
    <w:rsid w:val="00E940B9"/>
    <w:rsid w:val="00E94C1C"/>
    <w:rsid w:val="00E94C82"/>
    <w:rsid w:val="00E94E28"/>
    <w:rsid w:val="00E94FA5"/>
    <w:rsid w:val="00E9523F"/>
    <w:rsid w:val="00E97288"/>
    <w:rsid w:val="00EA0267"/>
    <w:rsid w:val="00EA2715"/>
    <w:rsid w:val="00EA2ECC"/>
    <w:rsid w:val="00EA33CE"/>
    <w:rsid w:val="00EA34C5"/>
    <w:rsid w:val="00EA3F5E"/>
    <w:rsid w:val="00EA48E3"/>
    <w:rsid w:val="00EA4994"/>
    <w:rsid w:val="00EA4B1A"/>
    <w:rsid w:val="00EA4BA7"/>
    <w:rsid w:val="00EA5063"/>
    <w:rsid w:val="00EA77AD"/>
    <w:rsid w:val="00EB0912"/>
    <w:rsid w:val="00EB1990"/>
    <w:rsid w:val="00EB2198"/>
    <w:rsid w:val="00EB269B"/>
    <w:rsid w:val="00EB4659"/>
    <w:rsid w:val="00EB4FCF"/>
    <w:rsid w:val="00EB5286"/>
    <w:rsid w:val="00EB575A"/>
    <w:rsid w:val="00EB5F65"/>
    <w:rsid w:val="00EB60A9"/>
    <w:rsid w:val="00EB6CA6"/>
    <w:rsid w:val="00EB6D28"/>
    <w:rsid w:val="00EB71C1"/>
    <w:rsid w:val="00EB7FD7"/>
    <w:rsid w:val="00EC01DC"/>
    <w:rsid w:val="00EC020E"/>
    <w:rsid w:val="00EC06C3"/>
    <w:rsid w:val="00EC0E71"/>
    <w:rsid w:val="00EC1992"/>
    <w:rsid w:val="00EC1AAC"/>
    <w:rsid w:val="00EC27D1"/>
    <w:rsid w:val="00EC2D10"/>
    <w:rsid w:val="00EC485C"/>
    <w:rsid w:val="00EC49C9"/>
    <w:rsid w:val="00EC5B8D"/>
    <w:rsid w:val="00EC5F87"/>
    <w:rsid w:val="00EC66EA"/>
    <w:rsid w:val="00EC6C74"/>
    <w:rsid w:val="00EC6CD2"/>
    <w:rsid w:val="00EC6D62"/>
    <w:rsid w:val="00EC787E"/>
    <w:rsid w:val="00ED102C"/>
    <w:rsid w:val="00ED11EF"/>
    <w:rsid w:val="00ED2C14"/>
    <w:rsid w:val="00ED2DE8"/>
    <w:rsid w:val="00ED38A5"/>
    <w:rsid w:val="00ED3E86"/>
    <w:rsid w:val="00ED434E"/>
    <w:rsid w:val="00ED4E41"/>
    <w:rsid w:val="00ED52D3"/>
    <w:rsid w:val="00ED572C"/>
    <w:rsid w:val="00ED5EE4"/>
    <w:rsid w:val="00ED6AB7"/>
    <w:rsid w:val="00ED708E"/>
    <w:rsid w:val="00ED7C15"/>
    <w:rsid w:val="00EE09BF"/>
    <w:rsid w:val="00EE0C83"/>
    <w:rsid w:val="00EE1508"/>
    <w:rsid w:val="00EE1E19"/>
    <w:rsid w:val="00EE2675"/>
    <w:rsid w:val="00EE3696"/>
    <w:rsid w:val="00EE37B3"/>
    <w:rsid w:val="00EE3D1C"/>
    <w:rsid w:val="00EE42C1"/>
    <w:rsid w:val="00EE504C"/>
    <w:rsid w:val="00EE6244"/>
    <w:rsid w:val="00EE663F"/>
    <w:rsid w:val="00EE71FF"/>
    <w:rsid w:val="00EE75C2"/>
    <w:rsid w:val="00EE7E3C"/>
    <w:rsid w:val="00EF05C3"/>
    <w:rsid w:val="00EF0A13"/>
    <w:rsid w:val="00EF0C86"/>
    <w:rsid w:val="00EF0E2D"/>
    <w:rsid w:val="00EF106A"/>
    <w:rsid w:val="00EF1807"/>
    <w:rsid w:val="00EF21A4"/>
    <w:rsid w:val="00EF22BA"/>
    <w:rsid w:val="00EF2335"/>
    <w:rsid w:val="00EF29A4"/>
    <w:rsid w:val="00EF2F12"/>
    <w:rsid w:val="00EF385D"/>
    <w:rsid w:val="00EF44C5"/>
    <w:rsid w:val="00EF462E"/>
    <w:rsid w:val="00EF5543"/>
    <w:rsid w:val="00EF5D44"/>
    <w:rsid w:val="00EF6A90"/>
    <w:rsid w:val="00EF757C"/>
    <w:rsid w:val="00EF78F5"/>
    <w:rsid w:val="00F002A3"/>
    <w:rsid w:val="00F0050D"/>
    <w:rsid w:val="00F00A46"/>
    <w:rsid w:val="00F00B5E"/>
    <w:rsid w:val="00F02004"/>
    <w:rsid w:val="00F028BD"/>
    <w:rsid w:val="00F029BA"/>
    <w:rsid w:val="00F029CB"/>
    <w:rsid w:val="00F02DF9"/>
    <w:rsid w:val="00F0451C"/>
    <w:rsid w:val="00F049C8"/>
    <w:rsid w:val="00F050D0"/>
    <w:rsid w:val="00F055E1"/>
    <w:rsid w:val="00F059AA"/>
    <w:rsid w:val="00F05B14"/>
    <w:rsid w:val="00F06928"/>
    <w:rsid w:val="00F06A05"/>
    <w:rsid w:val="00F06D5E"/>
    <w:rsid w:val="00F07097"/>
    <w:rsid w:val="00F0715D"/>
    <w:rsid w:val="00F0720A"/>
    <w:rsid w:val="00F1075E"/>
    <w:rsid w:val="00F11445"/>
    <w:rsid w:val="00F11AD4"/>
    <w:rsid w:val="00F130D2"/>
    <w:rsid w:val="00F146AF"/>
    <w:rsid w:val="00F14AB2"/>
    <w:rsid w:val="00F1634F"/>
    <w:rsid w:val="00F1661A"/>
    <w:rsid w:val="00F176E3"/>
    <w:rsid w:val="00F1774B"/>
    <w:rsid w:val="00F1776D"/>
    <w:rsid w:val="00F177B7"/>
    <w:rsid w:val="00F17E43"/>
    <w:rsid w:val="00F17FB0"/>
    <w:rsid w:val="00F20091"/>
    <w:rsid w:val="00F200A9"/>
    <w:rsid w:val="00F20466"/>
    <w:rsid w:val="00F204C4"/>
    <w:rsid w:val="00F2055C"/>
    <w:rsid w:val="00F20980"/>
    <w:rsid w:val="00F20C16"/>
    <w:rsid w:val="00F20F09"/>
    <w:rsid w:val="00F214E3"/>
    <w:rsid w:val="00F25052"/>
    <w:rsid w:val="00F25090"/>
    <w:rsid w:val="00F25596"/>
    <w:rsid w:val="00F255C3"/>
    <w:rsid w:val="00F256C9"/>
    <w:rsid w:val="00F25975"/>
    <w:rsid w:val="00F25F9E"/>
    <w:rsid w:val="00F26333"/>
    <w:rsid w:val="00F2714C"/>
    <w:rsid w:val="00F3084A"/>
    <w:rsid w:val="00F31AAB"/>
    <w:rsid w:val="00F32170"/>
    <w:rsid w:val="00F32261"/>
    <w:rsid w:val="00F32485"/>
    <w:rsid w:val="00F3256B"/>
    <w:rsid w:val="00F32CEC"/>
    <w:rsid w:val="00F33508"/>
    <w:rsid w:val="00F33A2F"/>
    <w:rsid w:val="00F373D1"/>
    <w:rsid w:val="00F37AF2"/>
    <w:rsid w:val="00F37B69"/>
    <w:rsid w:val="00F416EF"/>
    <w:rsid w:val="00F41E08"/>
    <w:rsid w:val="00F41E49"/>
    <w:rsid w:val="00F42934"/>
    <w:rsid w:val="00F42A85"/>
    <w:rsid w:val="00F42F1C"/>
    <w:rsid w:val="00F43083"/>
    <w:rsid w:val="00F44EE9"/>
    <w:rsid w:val="00F44FFC"/>
    <w:rsid w:val="00F45065"/>
    <w:rsid w:val="00F4657C"/>
    <w:rsid w:val="00F46ED2"/>
    <w:rsid w:val="00F4791C"/>
    <w:rsid w:val="00F47B1B"/>
    <w:rsid w:val="00F50BBC"/>
    <w:rsid w:val="00F50FBC"/>
    <w:rsid w:val="00F5138D"/>
    <w:rsid w:val="00F514FB"/>
    <w:rsid w:val="00F51801"/>
    <w:rsid w:val="00F51BA1"/>
    <w:rsid w:val="00F5242F"/>
    <w:rsid w:val="00F52F4B"/>
    <w:rsid w:val="00F5362E"/>
    <w:rsid w:val="00F53B2D"/>
    <w:rsid w:val="00F54EE8"/>
    <w:rsid w:val="00F55194"/>
    <w:rsid w:val="00F55F42"/>
    <w:rsid w:val="00F55F75"/>
    <w:rsid w:val="00F576E3"/>
    <w:rsid w:val="00F60413"/>
    <w:rsid w:val="00F606AE"/>
    <w:rsid w:val="00F60C21"/>
    <w:rsid w:val="00F60FD4"/>
    <w:rsid w:val="00F612F7"/>
    <w:rsid w:val="00F617FB"/>
    <w:rsid w:val="00F6187E"/>
    <w:rsid w:val="00F61FA7"/>
    <w:rsid w:val="00F62AC1"/>
    <w:rsid w:val="00F63786"/>
    <w:rsid w:val="00F6430D"/>
    <w:rsid w:val="00F64B6F"/>
    <w:rsid w:val="00F67CE9"/>
    <w:rsid w:val="00F70A21"/>
    <w:rsid w:val="00F7129F"/>
    <w:rsid w:val="00F71DA1"/>
    <w:rsid w:val="00F730FC"/>
    <w:rsid w:val="00F73A77"/>
    <w:rsid w:val="00F73AFC"/>
    <w:rsid w:val="00F73C49"/>
    <w:rsid w:val="00F73F51"/>
    <w:rsid w:val="00F74F89"/>
    <w:rsid w:val="00F767D6"/>
    <w:rsid w:val="00F7694D"/>
    <w:rsid w:val="00F76A09"/>
    <w:rsid w:val="00F76F51"/>
    <w:rsid w:val="00F774B4"/>
    <w:rsid w:val="00F803D8"/>
    <w:rsid w:val="00F814CF"/>
    <w:rsid w:val="00F82F0A"/>
    <w:rsid w:val="00F83BE6"/>
    <w:rsid w:val="00F843CB"/>
    <w:rsid w:val="00F8576F"/>
    <w:rsid w:val="00F86333"/>
    <w:rsid w:val="00F8792C"/>
    <w:rsid w:val="00F90022"/>
    <w:rsid w:val="00F90B0B"/>
    <w:rsid w:val="00F9197D"/>
    <w:rsid w:val="00F91EC4"/>
    <w:rsid w:val="00F93AE5"/>
    <w:rsid w:val="00F93E6E"/>
    <w:rsid w:val="00F94454"/>
    <w:rsid w:val="00F953AF"/>
    <w:rsid w:val="00F953D0"/>
    <w:rsid w:val="00F96077"/>
    <w:rsid w:val="00F9634C"/>
    <w:rsid w:val="00F97069"/>
    <w:rsid w:val="00F97667"/>
    <w:rsid w:val="00FA08B2"/>
    <w:rsid w:val="00FA0E0C"/>
    <w:rsid w:val="00FA12A4"/>
    <w:rsid w:val="00FA1612"/>
    <w:rsid w:val="00FA1873"/>
    <w:rsid w:val="00FA19F4"/>
    <w:rsid w:val="00FA46AE"/>
    <w:rsid w:val="00FA46CE"/>
    <w:rsid w:val="00FA4E6B"/>
    <w:rsid w:val="00FA5462"/>
    <w:rsid w:val="00FA5F6D"/>
    <w:rsid w:val="00FA6C89"/>
    <w:rsid w:val="00FA7842"/>
    <w:rsid w:val="00FB0C35"/>
    <w:rsid w:val="00FB1C75"/>
    <w:rsid w:val="00FB3447"/>
    <w:rsid w:val="00FB401F"/>
    <w:rsid w:val="00FB40F5"/>
    <w:rsid w:val="00FB42A0"/>
    <w:rsid w:val="00FB4F73"/>
    <w:rsid w:val="00FB4FFE"/>
    <w:rsid w:val="00FB7608"/>
    <w:rsid w:val="00FB76DE"/>
    <w:rsid w:val="00FC1D99"/>
    <w:rsid w:val="00FC1E46"/>
    <w:rsid w:val="00FC1F94"/>
    <w:rsid w:val="00FC3613"/>
    <w:rsid w:val="00FC3744"/>
    <w:rsid w:val="00FC3822"/>
    <w:rsid w:val="00FC3F71"/>
    <w:rsid w:val="00FC4AA7"/>
    <w:rsid w:val="00FC5A6E"/>
    <w:rsid w:val="00FC5C26"/>
    <w:rsid w:val="00FC5EAD"/>
    <w:rsid w:val="00FC69C4"/>
    <w:rsid w:val="00FC6AA7"/>
    <w:rsid w:val="00FC6FBA"/>
    <w:rsid w:val="00FC76B7"/>
    <w:rsid w:val="00FC7E9E"/>
    <w:rsid w:val="00FC7FCD"/>
    <w:rsid w:val="00FD03D3"/>
    <w:rsid w:val="00FD0BA6"/>
    <w:rsid w:val="00FD1087"/>
    <w:rsid w:val="00FD2C03"/>
    <w:rsid w:val="00FD31E6"/>
    <w:rsid w:val="00FD4573"/>
    <w:rsid w:val="00FD45B3"/>
    <w:rsid w:val="00FD4B41"/>
    <w:rsid w:val="00FD5228"/>
    <w:rsid w:val="00FD5C5B"/>
    <w:rsid w:val="00FD5DB1"/>
    <w:rsid w:val="00FD75EF"/>
    <w:rsid w:val="00FD7F24"/>
    <w:rsid w:val="00FE08AF"/>
    <w:rsid w:val="00FE0BD3"/>
    <w:rsid w:val="00FE11BA"/>
    <w:rsid w:val="00FE11CC"/>
    <w:rsid w:val="00FE173C"/>
    <w:rsid w:val="00FE2097"/>
    <w:rsid w:val="00FE4E33"/>
    <w:rsid w:val="00FE4F52"/>
    <w:rsid w:val="00FE5386"/>
    <w:rsid w:val="00FE5576"/>
    <w:rsid w:val="00FE5E41"/>
    <w:rsid w:val="00FE685D"/>
    <w:rsid w:val="00FE688A"/>
    <w:rsid w:val="00FE6952"/>
    <w:rsid w:val="00FE6A97"/>
    <w:rsid w:val="00FE6C15"/>
    <w:rsid w:val="00FE7EA9"/>
    <w:rsid w:val="00FE7EE5"/>
    <w:rsid w:val="00FF069D"/>
    <w:rsid w:val="00FF1006"/>
    <w:rsid w:val="00FF1309"/>
    <w:rsid w:val="00FF14B8"/>
    <w:rsid w:val="00FF20B7"/>
    <w:rsid w:val="00FF2792"/>
    <w:rsid w:val="00FF2BE9"/>
    <w:rsid w:val="00FF3030"/>
    <w:rsid w:val="00FF3041"/>
    <w:rsid w:val="00FF3837"/>
    <w:rsid w:val="00FF449C"/>
    <w:rsid w:val="00FF45C9"/>
    <w:rsid w:val="00FF4697"/>
    <w:rsid w:val="00FF4C52"/>
    <w:rsid w:val="00FF5732"/>
    <w:rsid w:val="00FF6ADB"/>
    <w:rsid w:val="00FF7A50"/>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D94919"/>
  <w15:docId w15:val="{15D0768A-1BD2-46F8-AF29-34FF39126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Mangal"/>
    </w:rPr>
  </w:style>
  <w:style w:type="paragraph" w:styleId="Heading1">
    <w:name w:val="heading 1"/>
    <w:basedOn w:val="Normal"/>
    <w:next w:val="Normal"/>
    <w:link w:val="Heading1Char"/>
    <w:uiPriority w:val="9"/>
    <w:qFormat/>
    <w:rsid w:val="00F06928"/>
    <w:pPr>
      <w:keepNext/>
      <w:keepLines/>
      <w:spacing w:before="240" w:after="0"/>
      <w:jc w:val="center"/>
      <w:outlineLvl w:val="0"/>
    </w:pPr>
    <w:rPr>
      <w:rFonts w:ascii="Times New Roman" w:eastAsiaTheme="majorEastAsia" w:hAnsi="Times New Roman" w:cstheme="majorBidi"/>
      <w:b/>
      <w:color w:val="000000" w:themeColor="text1"/>
      <w:sz w:val="24"/>
      <w:szCs w:val="29"/>
    </w:rPr>
  </w:style>
  <w:style w:type="paragraph" w:styleId="Heading2">
    <w:name w:val="heading 2"/>
    <w:basedOn w:val="Normal"/>
    <w:next w:val="Normal"/>
    <w:link w:val="Heading2Char"/>
    <w:uiPriority w:val="9"/>
    <w:unhideWhenUsed/>
    <w:qFormat/>
    <w:rsid w:val="00F06928"/>
    <w:pPr>
      <w:spacing w:line="480" w:lineRule="auto"/>
      <w:jc w:val="center"/>
      <w:outlineLvl w:val="1"/>
    </w:pPr>
    <w:rPr>
      <w:rFonts w:ascii="Times New Roman" w:hAnsi="Times New Roman" w:cs="Times New Roman"/>
      <w:b/>
      <w:bCs/>
      <w:sz w:val="24"/>
      <w:szCs w:val="24"/>
    </w:rPr>
  </w:style>
  <w:style w:type="paragraph" w:styleId="Heading3">
    <w:name w:val="heading 3"/>
    <w:basedOn w:val="Normal"/>
    <w:next w:val="Normal"/>
    <w:link w:val="Heading3Char"/>
    <w:uiPriority w:val="9"/>
    <w:unhideWhenUsed/>
    <w:qFormat/>
    <w:rsid w:val="00F06928"/>
    <w:pPr>
      <w:keepNext/>
      <w:keepLines/>
      <w:spacing w:before="40" w:after="0"/>
      <w:outlineLvl w:val="2"/>
    </w:pPr>
    <w:rPr>
      <w:rFonts w:ascii="Times New Roman" w:eastAsiaTheme="majorEastAsia" w:hAnsi="Times New Roman" w:cstheme="majorBidi"/>
      <w:b/>
      <w:color w:val="000000" w:themeColor="text1"/>
      <w:sz w:val="24"/>
      <w:szCs w:val="21"/>
    </w:rPr>
  </w:style>
  <w:style w:type="paragraph" w:styleId="Heading4">
    <w:name w:val="heading 4"/>
    <w:basedOn w:val="Normal"/>
    <w:next w:val="Normal"/>
    <w:link w:val="Heading4Char"/>
    <w:uiPriority w:val="9"/>
    <w:unhideWhenUsed/>
    <w:qFormat/>
    <w:rsid w:val="003825B4"/>
    <w:pPr>
      <w:keepNext/>
      <w:spacing w:after="0" w:line="480" w:lineRule="auto"/>
      <w:outlineLvl w:val="3"/>
    </w:pPr>
    <w:rPr>
      <w:rFonts w:ascii="Times New Roman" w:eastAsia="Times New Roman" w:hAnsi="Times New Roman" w:cs="Times New Roman"/>
      <w:b/>
      <w:bCs/>
      <w:i/>
      <w:color w:val="000000"/>
      <w:sz w:val="24"/>
      <w:szCs w:val="24"/>
    </w:rPr>
  </w:style>
  <w:style w:type="paragraph" w:styleId="Heading5">
    <w:name w:val="heading 5"/>
    <w:basedOn w:val="Normal"/>
    <w:next w:val="Normal"/>
    <w:link w:val="Heading5Char"/>
    <w:uiPriority w:val="9"/>
    <w:unhideWhenUsed/>
    <w:qFormat/>
    <w:rsid w:val="00DC7A09"/>
    <w:pPr>
      <w:keepNext/>
      <w:spacing w:after="0" w:line="240" w:lineRule="auto"/>
      <w:jc w:val="both"/>
      <w:outlineLvl w:val="4"/>
    </w:pPr>
    <w:rPr>
      <w:rFonts w:ascii="Times New Roman" w:hAnsi="Times New Roman" w:cs="Times New Roman"/>
      <w:color w:val="000000" w:themeColor="text1"/>
      <w:sz w:val="24"/>
      <w:szCs w:val="24"/>
    </w:rPr>
  </w:style>
  <w:style w:type="paragraph" w:styleId="Heading6">
    <w:name w:val="heading 6"/>
    <w:basedOn w:val="Normal"/>
    <w:next w:val="Normal"/>
    <w:link w:val="Heading6Char"/>
    <w:uiPriority w:val="9"/>
    <w:unhideWhenUsed/>
    <w:qFormat/>
    <w:rsid w:val="00642471"/>
    <w:pPr>
      <w:keepNext/>
      <w:spacing w:line="480" w:lineRule="auto"/>
      <w:outlineLvl w:val="5"/>
    </w:pPr>
    <w:rPr>
      <w:rFonts w:ascii="Times New Roman" w:hAnsi="Times New Roman" w:cs="Times New Roman"/>
      <w:b/>
      <w:bCs/>
      <w:sz w:val="24"/>
      <w:szCs w:val="24"/>
    </w:rPr>
  </w:style>
  <w:style w:type="paragraph" w:styleId="Heading7">
    <w:name w:val="heading 7"/>
    <w:basedOn w:val="Normal"/>
    <w:next w:val="Normal"/>
    <w:link w:val="Heading7Char"/>
    <w:uiPriority w:val="9"/>
    <w:unhideWhenUsed/>
    <w:qFormat/>
    <w:rsid w:val="00106F35"/>
    <w:pPr>
      <w:keepNext/>
      <w:autoSpaceDE w:val="0"/>
      <w:autoSpaceDN w:val="0"/>
      <w:adjustRightInd w:val="0"/>
      <w:spacing w:after="0" w:line="480" w:lineRule="auto"/>
      <w:outlineLvl w:val="6"/>
    </w:pPr>
    <w:rPr>
      <w:rFonts w:ascii="Times New Roman" w:hAnsi="Times New Roman" w:cs="Times New Roman"/>
      <w:b/>
      <w:bCs/>
      <w:color w:val="000000" w:themeColor="text1"/>
      <w:sz w:val="24"/>
      <w:szCs w:val="24"/>
    </w:rPr>
  </w:style>
  <w:style w:type="paragraph" w:styleId="Heading8">
    <w:name w:val="heading 8"/>
    <w:basedOn w:val="Normal"/>
    <w:next w:val="Normal"/>
    <w:link w:val="Heading8Char"/>
    <w:uiPriority w:val="9"/>
    <w:unhideWhenUsed/>
    <w:qFormat/>
    <w:rsid w:val="00C260D8"/>
    <w:pPr>
      <w:keepNext/>
      <w:spacing w:line="480" w:lineRule="auto"/>
      <w:jc w:val="center"/>
      <w:outlineLvl w:val="7"/>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32FD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32FDA"/>
    <w:rPr>
      <w:color w:val="0000FF"/>
      <w:u w:val="single"/>
    </w:rPr>
  </w:style>
  <w:style w:type="paragraph" w:customStyle="1" w:styleId="Default">
    <w:name w:val="Default"/>
    <w:rsid w:val="00D146DA"/>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832E5F"/>
    <w:pPr>
      <w:ind w:left="720"/>
      <w:contextualSpacing/>
    </w:pPr>
  </w:style>
  <w:style w:type="character" w:customStyle="1" w:styleId="mntl-inline-citation">
    <w:name w:val="mntl-inline-citation"/>
    <w:basedOn w:val="DefaultParagraphFont"/>
    <w:rsid w:val="001F6DF4"/>
  </w:style>
  <w:style w:type="paragraph" w:customStyle="1" w:styleId="comp">
    <w:name w:val="comp"/>
    <w:basedOn w:val="Normal"/>
    <w:uiPriority w:val="99"/>
    <w:rsid w:val="00D35D3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069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69F9"/>
    <w:rPr>
      <w:rFonts w:cs="Mangal"/>
    </w:rPr>
  </w:style>
  <w:style w:type="paragraph" w:styleId="Footer">
    <w:name w:val="footer"/>
    <w:basedOn w:val="Normal"/>
    <w:link w:val="FooterChar"/>
    <w:uiPriority w:val="99"/>
    <w:unhideWhenUsed/>
    <w:rsid w:val="003069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69F9"/>
    <w:rPr>
      <w:rFonts w:cs="Mangal"/>
    </w:rPr>
  </w:style>
  <w:style w:type="character" w:customStyle="1" w:styleId="Heading1Char">
    <w:name w:val="Heading 1 Char"/>
    <w:basedOn w:val="DefaultParagraphFont"/>
    <w:link w:val="Heading1"/>
    <w:uiPriority w:val="9"/>
    <w:rsid w:val="00F06928"/>
    <w:rPr>
      <w:rFonts w:ascii="Times New Roman" w:eastAsiaTheme="majorEastAsia" w:hAnsi="Times New Roman" w:cstheme="majorBidi"/>
      <w:b/>
      <w:color w:val="000000" w:themeColor="text1"/>
      <w:sz w:val="24"/>
      <w:szCs w:val="29"/>
    </w:rPr>
  </w:style>
  <w:style w:type="character" w:customStyle="1" w:styleId="Heading2Char">
    <w:name w:val="Heading 2 Char"/>
    <w:basedOn w:val="DefaultParagraphFont"/>
    <w:link w:val="Heading2"/>
    <w:uiPriority w:val="9"/>
    <w:rsid w:val="00F06928"/>
    <w:rPr>
      <w:rFonts w:ascii="Times New Roman" w:hAnsi="Times New Roman" w:cs="Times New Roman"/>
      <w:b/>
      <w:bCs/>
      <w:sz w:val="24"/>
      <w:szCs w:val="24"/>
    </w:rPr>
  </w:style>
  <w:style w:type="character" w:customStyle="1" w:styleId="Heading3Char">
    <w:name w:val="Heading 3 Char"/>
    <w:basedOn w:val="DefaultParagraphFont"/>
    <w:link w:val="Heading3"/>
    <w:uiPriority w:val="9"/>
    <w:rsid w:val="00F06928"/>
    <w:rPr>
      <w:rFonts w:ascii="Times New Roman" w:eastAsiaTheme="majorEastAsia" w:hAnsi="Times New Roman" w:cstheme="majorBidi"/>
      <w:b/>
      <w:color w:val="000000" w:themeColor="text1"/>
      <w:sz w:val="24"/>
      <w:szCs w:val="21"/>
    </w:rPr>
  </w:style>
  <w:style w:type="paragraph" w:styleId="FootnoteText">
    <w:name w:val="footnote text"/>
    <w:basedOn w:val="Normal"/>
    <w:link w:val="FootnoteTextChar"/>
    <w:uiPriority w:val="99"/>
    <w:semiHidden/>
    <w:unhideWhenUsed/>
    <w:rsid w:val="00610410"/>
    <w:pPr>
      <w:spacing w:after="0" w:line="240" w:lineRule="auto"/>
    </w:pPr>
    <w:rPr>
      <w:sz w:val="20"/>
      <w:szCs w:val="18"/>
    </w:rPr>
  </w:style>
  <w:style w:type="character" w:customStyle="1" w:styleId="FootnoteTextChar">
    <w:name w:val="Footnote Text Char"/>
    <w:basedOn w:val="DefaultParagraphFont"/>
    <w:link w:val="FootnoteText"/>
    <w:uiPriority w:val="99"/>
    <w:semiHidden/>
    <w:rsid w:val="00610410"/>
    <w:rPr>
      <w:rFonts w:cs="Mangal"/>
      <w:sz w:val="20"/>
      <w:szCs w:val="18"/>
    </w:rPr>
  </w:style>
  <w:style w:type="character" w:styleId="FootnoteReference">
    <w:name w:val="footnote reference"/>
    <w:basedOn w:val="DefaultParagraphFont"/>
    <w:uiPriority w:val="99"/>
    <w:semiHidden/>
    <w:unhideWhenUsed/>
    <w:rsid w:val="00610410"/>
    <w:rPr>
      <w:vertAlign w:val="superscript"/>
    </w:rPr>
  </w:style>
  <w:style w:type="paragraph" w:styleId="Caption">
    <w:name w:val="caption"/>
    <w:basedOn w:val="Normal"/>
    <w:next w:val="Normal"/>
    <w:uiPriority w:val="35"/>
    <w:unhideWhenUsed/>
    <w:qFormat/>
    <w:rsid w:val="00036712"/>
    <w:pPr>
      <w:spacing w:after="200" w:line="240" w:lineRule="auto"/>
    </w:pPr>
    <w:rPr>
      <w:i/>
      <w:iCs/>
      <w:color w:val="44546A" w:themeColor="text2"/>
      <w:sz w:val="18"/>
      <w:szCs w:val="16"/>
    </w:rPr>
  </w:style>
  <w:style w:type="table" w:styleId="TableGrid">
    <w:name w:val="Table Grid"/>
    <w:basedOn w:val="TableNormal"/>
    <w:uiPriority w:val="39"/>
    <w:rsid w:val="00070E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3825B4"/>
    <w:rPr>
      <w:rFonts w:ascii="Times New Roman" w:eastAsia="Times New Roman" w:hAnsi="Times New Roman" w:cs="Times New Roman"/>
      <w:b/>
      <w:bCs/>
      <w:i/>
      <w:color w:val="000000"/>
      <w:sz w:val="24"/>
      <w:szCs w:val="24"/>
    </w:rPr>
  </w:style>
  <w:style w:type="character" w:styleId="CommentReference">
    <w:name w:val="annotation reference"/>
    <w:basedOn w:val="DefaultParagraphFont"/>
    <w:uiPriority w:val="99"/>
    <w:semiHidden/>
    <w:unhideWhenUsed/>
    <w:rsid w:val="003C56A5"/>
    <w:rPr>
      <w:sz w:val="16"/>
      <w:szCs w:val="16"/>
    </w:rPr>
  </w:style>
  <w:style w:type="paragraph" w:styleId="CommentText">
    <w:name w:val="annotation text"/>
    <w:basedOn w:val="Normal"/>
    <w:link w:val="CommentTextChar"/>
    <w:uiPriority w:val="99"/>
    <w:unhideWhenUsed/>
    <w:rsid w:val="003C56A5"/>
    <w:pPr>
      <w:spacing w:line="240" w:lineRule="auto"/>
    </w:pPr>
    <w:rPr>
      <w:sz w:val="20"/>
      <w:szCs w:val="18"/>
    </w:rPr>
  </w:style>
  <w:style w:type="character" w:customStyle="1" w:styleId="CommentTextChar">
    <w:name w:val="Comment Text Char"/>
    <w:basedOn w:val="DefaultParagraphFont"/>
    <w:link w:val="CommentText"/>
    <w:uiPriority w:val="99"/>
    <w:rsid w:val="003C56A5"/>
    <w:rPr>
      <w:rFonts w:cs="Mangal"/>
      <w:sz w:val="20"/>
      <w:szCs w:val="18"/>
    </w:rPr>
  </w:style>
  <w:style w:type="paragraph" w:styleId="CommentSubject">
    <w:name w:val="annotation subject"/>
    <w:basedOn w:val="CommentText"/>
    <w:next w:val="CommentText"/>
    <w:link w:val="CommentSubjectChar"/>
    <w:uiPriority w:val="99"/>
    <w:semiHidden/>
    <w:unhideWhenUsed/>
    <w:rsid w:val="003C56A5"/>
    <w:rPr>
      <w:b/>
      <w:bCs/>
    </w:rPr>
  </w:style>
  <w:style w:type="character" w:customStyle="1" w:styleId="CommentSubjectChar">
    <w:name w:val="Comment Subject Char"/>
    <w:basedOn w:val="CommentTextChar"/>
    <w:link w:val="CommentSubject"/>
    <w:uiPriority w:val="99"/>
    <w:semiHidden/>
    <w:rsid w:val="003C56A5"/>
    <w:rPr>
      <w:rFonts w:cs="Mangal"/>
      <w:b/>
      <w:bCs/>
      <w:sz w:val="20"/>
      <w:szCs w:val="18"/>
    </w:rPr>
  </w:style>
  <w:style w:type="paragraph" w:styleId="Revision">
    <w:name w:val="Revision"/>
    <w:hidden/>
    <w:uiPriority w:val="99"/>
    <w:semiHidden/>
    <w:rsid w:val="003C56A5"/>
    <w:pPr>
      <w:spacing w:after="0" w:line="240" w:lineRule="auto"/>
    </w:pPr>
    <w:rPr>
      <w:rFonts w:cs="Mangal"/>
    </w:rPr>
  </w:style>
  <w:style w:type="paragraph" w:styleId="BodyText">
    <w:name w:val="Body Text"/>
    <w:basedOn w:val="Normal"/>
    <w:link w:val="BodyTextChar"/>
    <w:uiPriority w:val="99"/>
    <w:unhideWhenUsed/>
    <w:rsid w:val="00DF5F5F"/>
    <w:pPr>
      <w:spacing w:after="0" w:line="240" w:lineRule="auto"/>
    </w:pPr>
    <w:rPr>
      <w:rFonts w:ascii="Times New Roman" w:hAnsi="Times New Roman" w:cs="Times New Roman"/>
      <w:sz w:val="20"/>
    </w:rPr>
  </w:style>
  <w:style w:type="character" w:customStyle="1" w:styleId="BodyTextChar">
    <w:name w:val="Body Text Char"/>
    <w:basedOn w:val="DefaultParagraphFont"/>
    <w:link w:val="BodyText"/>
    <w:uiPriority w:val="99"/>
    <w:rsid w:val="00DF5F5F"/>
    <w:rPr>
      <w:rFonts w:ascii="Times New Roman" w:hAnsi="Times New Roman" w:cs="Times New Roman"/>
      <w:sz w:val="20"/>
    </w:rPr>
  </w:style>
  <w:style w:type="paragraph" w:styleId="BodyText2">
    <w:name w:val="Body Text 2"/>
    <w:basedOn w:val="Normal"/>
    <w:link w:val="BodyText2Char"/>
    <w:uiPriority w:val="99"/>
    <w:unhideWhenUsed/>
    <w:rsid w:val="00DF5F5F"/>
    <w:pPr>
      <w:spacing w:after="0" w:line="240" w:lineRule="auto"/>
      <w:jc w:val="both"/>
    </w:pPr>
    <w:rPr>
      <w:rFonts w:ascii="Times New Roman" w:eastAsia="Times New Roman" w:hAnsi="Times New Roman" w:cs="Times New Roman"/>
      <w:color w:val="000000"/>
      <w:sz w:val="24"/>
      <w:szCs w:val="24"/>
    </w:rPr>
  </w:style>
  <w:style w:type="character" w:customStyle="1" w:styleId="BodyText2Char">
    <w:name w:val="Body Text 2 Char"/>
    <w:basedOn w:val="DefaultParagraphFont"/>
    <w:link w:val="BodyText2"/>
    <w:uiPriority w:val="99"/>
    <w:rsid w:val="00DF5F5F"/>
    <w:rPr>
      <w:rFonts w:ascii="Times New Roman" w:eastAsia="Times New Roman" w:hAnsi="Times New Roman" w:cs="Times New Roman"/>
      <w:color w:val="000000"/>
      <w:sz w:val="24"/>
      <w:szCs w:val="24"/>
    </w:rPr>
  </w:style>
  <w:style w:type="paragraph" w:styleId="BodyText3">
    <w:name w:val="Body Text 3"/>
    <w:basedOn w:val="Normal"/>
    <w:link w:val="BodyText3Char"/>
    <w:uiPriority w:val="99"/>
    <w:unhideWhenUsed/>
    <w:rsid w:val="00DF5F5F"/>
    <w:pPr>
      <w:spacing w:after="0" w:line="288" w:lineRule="auto"/>
      <w:jc w:val="both"/>
    </w:pPr>
    <w:rPr>
      <w:rFonts w:ascii="Times New Roman" w:eastAsia="Times New Roman" w:hAnsi="Times New Roman" w:cs="Times New Roman"/>
      <w:sz w:val="24"/>
      <w:szCs w:val="24"/>
    </w:rPr>
  </w:style>
  <w:style w:type="character" w:customStyle="1" w:styleId="BodyText3Char">
    <w:name w:val="Body Text 3 Char"/>
    <w:basedOn w:val="DefaultParagraphFont"/>
    <w:link w:val="BodyText3"/>
    <w:uiPriority w:val="99"/>
    <w:rsid w:val="00DF5F5F"/>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DF5F5F"/>
    <w:pPr>
      <w:spacing w:after="0" w:line="480" w:lineRule="auto"/>
      <w:ind w:left="720" w:hanging="720"/>
    </w:pPr>
  </w:style>
  <w:style w:type="character" w:customStyle="1" w:styleId="Heading5Char">
    <w:name w:val="Heading 5 Char"/>
    <w:basedOn w:val="DefaultParagraphFont"/>
    <w:link w:val="Heading5"/>
    <w:uiPriority w:val="9"/>
    <w:rsid w:val="00DC7A09"/>
    <w:rPr>
      <w:rFonts w:ascii="Times New Roman" w:hAnsi="Times New Roman" w:cs="Times New Roman"/>
      <w:color w:val="000000" w:themeColor="text1"/>
      <w:sz w:val="24"/>
      <w:szCs w:val="24"/>
    </w:rPr>
  </w:style>
  <w:style w:type="character" w:customStyle="1" w:styleId="Heading6Char">
    <w:name w:val="Heading 6 Char"/>
    <w:basedOn w:val="DefaultParagraphFont"/>
    <w:link w:val="Heading6"/>
    <w:uiPriority w:val="9"/>
    <w:rsid w:val="00642471"/>
    <w:rPr>
      <w:rFonts w:ascii="Times New Roman" w:hAnsi="Times New Roman" w:cs="Times New Roman"/>
      <w:b/>
      <w:bCs/>
      <w:sz w:val="24"/>
      <w:szCs w:val="24"/>
    </w:rPr>
  </w:style>
  <w:style w:type="paragraph" w:customStyle="1" w:styleId="Pa13">
    <w:name w:val="Pa13"/>
    <w:basedOn w:val="Default"/>
    <w:next w:val="Default"/>
    <w:uiPriority w:val="99"/>
    <w:rsid w:val="00244E6C"/>
    <w:pPr>
      <w:spacing w:line="201" w:lineRule="atLeast"/>
    </w:pPr>
    <w:rPr>
      <w:rFonts w:ascii="Berling Roman" w:hAnsi="Berling Roman" w:cs="Kokila"/>
      <w:color w:val="auto"/>
    </w:rPr>
  </w:style>
  <w:style w:type="paragraph" w:styleId="BodyTextIndent">
    <w:name w:val="Body Text Indent"/>
    <w:basedOn w:val="Normal"/>
    <w:link w:val="BodyTextIndentChar"/>
    <w:uiPriority w:val="99"/>
    <w:unhideWhenUsed/>
    <w:rsid w:val="00D3007C"/>
    <w:pPr>
      <w:autoSpaceDE w:val="0"/>
      <w:autoSpaceDN w:val="0"/>
      <w:adjustRightInd w:val="0"/>
      <w:spacing w:after="0" w:line="480" w:lineRule="auto"/>
      <w:ind w:firstLine="1440"/>
    </w:pPr>
    <w:rPr>
      <w:rFonts w:ascii="Times New Roman" w:hAnsi="Times New Roman" w:cs="Times New Roman"/>
      <w:color w:val="000000" w:themeColor="text1"/>
      <w:sz w:val="24"/>
      <w:szCs w:val="24"/>
    </w:rPr>
  </w:style>
  <w:style w:type="character" w:customStyle="1" w:styleId="BodyTextIndentChar">
    <w:name w:val="Body Text Indent Char"/>
    <w:basedOn w:val="DefaultParagraphFont"/>
    <w:link w:val="BodyTextIndent"/>
    <w:uiPriority w:val="99"/>
    <w:rsid w:val="00D3007C"/>
    <w:rPr>
      <w:rFonts w:ascii="Times New Roman" w:hAnsi="Times New Roman" w:cs="Times New Roman"/>
      <w:color w:val="000000" w:themeColor="text1"/>
      <w:sz w:val="24"/>
      <w:szCs w:val="24"/>
    </w:rPr>
  </w:style>
  <w:style w:type="character" w:styleId="EndnoteReference">
    <w:name w:val="endnote reference"/>
    <w:basedOn w:val="DefaultParagraphFont"/>
    <w:uiPriority w:val="99"/>
    <w:semiHidden/>
    <w:unhideWhenUsed/>
    <w:rsid w:val="0094792E"/>
    <w:rPr>
      <w:vertAlign w:val="superscript"/>
    </w:rPr>
  </w:style>
  <w:style w:type="paragraph" w:styleId="BodyTextIndent2">
    <w:name w:val="Body Text Indent 2"/>
    <w:basedOn w:val="Normal"/>
    <w:link w:val="BodyTextIndent2Char"/>
    <w:uiPriority w:val="99"/>
    <w:unhideWhenUsed/>
    <w:rsid w:val="00C3680F"/>
    <w:pPr>
      <w:autoSpaceDE w:val="0"/>
      <w:autoSpaceDN w:val="0"/>
      <w:adjustRightInd w:val="0"/>
      <w:spacing w:after="0" w:line="480" w:lineRule="auto"/>
      <w:ind w:firstLine="720"/>
    </w:pPr>
    <w:rPr>
      <w:rFonts w:ascii="Times New Roman" w:hAnsi="Times New Roman" w:cs="Times New Roman"/>
      <w:sz w:val="24"/>
      <w:szCs w:val="24"/>
    </w:rPr>
  </w:style>
  <w:style w:type="character" w:customStyle="1" w:styleId="BodyTextIndent2Char">
    <w:name w:val="Body Text Indent 2 Char"/>
    <w:basedOn w:val="DefaultParagraphFont"/>
    <w:link w:val="BodyTextIndent2"/>
    <w:uiPriority w:val="99"/>
    <w:rsid w:val="00C3680F"/>
    <w:rPr>
      <w:rFonts w:ascii="Times New Roman" w:hAnsi="Times New Roman" w:cs="Times New Roman"/>
      <w:sz w:val="24"/>
      <w:szCs w:val="24"/>
    </w:rPr>
  </w:style>
  <w:style w:type="character" w:customStyle="1" w:styleId="Heading7Char">
    <w:name w:val="Heading 7 Char"/>
    <w:basedOn w:val="DefaultParagraphFont"/>
    <w:link w:val="Heading7"/>
    <w:uiPriority w:val="9"/>
    <w:rsid w:val="00106F35"/>
    <w:rPr>
      <w:rFonts w:ascii="Times New Roman" w:hAnsi="Times New Roman" w:cs="Times New Roman"/>
      <w:b/>
      <w:bCs/>
      <w:color w:val="000000" w:themeColor="text1"/>
      <w:sz w:val="24"/>
      <w:szCs w:val="24"/>
    </w:rPr>
  </w:style>
  <w:style w:type="paragraph" w:styleId="Title">
    <w:name w:val="Title"/>
    <w:basedOn w:val="Normal"/>
    <w:next w:val="Normal"/>
    <w:link w:val="TitleChar"/>
    <w:uiPriority w:val="10"/>
    <w:qFormat/>
    <w:rsid w:val="00267D3F"/>
    <w:pPr>
      <w:jc w:val="center"/>
    </w:pPr>
    <w:rPr>
      <w:rFonts w:ascii="Times New Roman" w:hAnsi="Times New Roman" w:cs="Times New Roman"/>
      <w:b/>
      <w:bCs/>
      <w:sz w:val="24"/>
      <w:szCs w:val="24"/>
    </w:rPr>
  </w:style>
  <w:style w:type="character" w:customStyle="1" w:styleId="TitleChar">
    <w:name w:val="Title Char"/>
    <w:basedOn w:val="DefaultParagraphFont"/>
    <w:link w:val="Title"/>
    <w:uiPriority w:val="10"/>
    <w:rsid w:val="00267D3F"/>
    <w:rPr>
      <w:rFonts w:ascii="Times New Roman" w:hAnsi="Times New Roman" w:cs="Times New Roman"/>
      <w:b/>
      <w:bCs/>
      <w:sz w:val="24"/>
      <w:szCs w:val="24"/>
    </w:rPr>
  </w:style>
  <w:style w:type="character" w:customStyle="1" w:styleId="Heading8Char">
    <w:name w:val="Heading 8 Char"/>
    <w:basedOn w:val="DefaultParagraphFont"/>
    <w:link w:val="Heading8"/>
    <w:uiPriority w:val="9"/>
    <w:rsid w:val="00C260D8"/>
    <w:rPr>
      <w:rFonts w:ascii="Times New Roman" w:hAnsi="Times New Roman" w:cs="Times New Roman"/>
      <w:sz w:val="24"/>
      <w:szCs w:val="24"/>
    </w:rPr>
  </w:style>
  <w:style w:type="paragraph" w:styleId="BodyTextIndent3">
    <w:name w:val="Body Text Indent 3"/>
    <w:basedOn w:val="Normal"/>
    <w:link w:val="BodyTextIndent3Char"/>
    <w:uiPriority w:val="99"/>
    <w:unhideWhenUsed/>
    <w:rsid w:val="009C4CFA"/>
    <w:pPr>
      <w:autoSpaceDE w:val="0"/>
      <w:autoSpaceDN w:val="0"/>
      <w:adjustRightInd w:val="0"/>
      <w:spacing w:after="0" w:line="480" w:lineRule="auto"/>
      <w:ind w:firstLine="720"/>
    </w:pPr>
    <w:rPr>
      <w:rFonts w:ascii="Times New Roman" w:hAnsi="Times New Roman" w:cs="Times New Roman"/>
      <w:color w:val="000000" w:themeColor="text1"/>
      <w:sz w:val="24"/>
      <w:szCs w:val="24"/>
    </w:rPr>
  </w:style>
  <w:style w:type="character" w:customStyle="1" w:styleId="BodyTextIndent3Char">
    <w:name w:val="Body Text Indent 3 Char"/>
    <w:basedOn w:val="DefaultParagraphFont"/>
    <w:link w:val="BodyTextIndent3"/>
    <w:uiPriority w:val="99"/>
    <w:rsid w:val="009C4CFA"/>
    <w:rPr>
      <w:rFonts w:ascii="Times New Roman" w:hAnsi="Times New Roman" w:cs="Times New Roman"/>
      <w:color w:val="000000" w:themeColor="text1"/>
      <w:sz w:val="24"/>
      <w:szCs w:val="24"/>
    </w:rPr>
  </w:style>
  <w:style w:type="paragraph" w:styleId="TOCHeading">
    <w:name w:val="TOC Heading"/>
    <w:basedOn w:val="Heading1"/>
    <w:next w:val="Normal"/>
    <w:uiPriority w:val="39"/>
    <w:unhideWhenUsed/>
    <w:qFormat/>
    <w:rsid w:val="00E87D93"/>
    <w:pPr>
      <w:jc w:val="left"/>
      <w:outlineLvl w:val="9"/>
    </w:pPr>
    <w:rPr>
      <w:rFonts w:asciiTheme="majorHAnsi" w:hAnsiTheme="majorHAnsi"/>
      <w:b w:val="0"/>
      <w:color w:val="2F5496" w:themeColor="accent1" w:themeShade="BF"/>
      <w:sz w:val="32"/>
      <w:szCs w:val="32"/>
      <w:lang w:bidi="ar-SA"/>
    </w:rPr>
  </w:style>
  <w:style w:type="paragraph" w:styleId="TOC1">
    <w:name w:val="toc 1"/>
    <w:basedOn w:val="Normal"/>
    <w:next w:val="Normal"/>
    <w:autoRedefine/>
    <w:uiPriority w:val="39"/>
    <w:unhideWhenUsed/>
    <w:rsid w:val="00C8753C"/>
    <w:pPr>
      <w:tabs>
        <w:tab w:val="right" w:leader="dot" w:pos="9350"/>
      </w:tabs>
      <w:spacing w:after="100"/>
    </w:pPr>
  </w:style>
  <w:style w:type="paragraph" w:styleId="TOC2">
    <w:name w:val="toc 2"/>
    <w:basedOn w:val="Normal"/>
    <w:next w:val="Normal"/>
    <w:autoRedefine/>
    <w:uiPriority w:val="39"/>
    <w:unhideWhenUsed/>
    <w:rsid w:val="00E87D93"/>
    <w:pPr>
      <w:spacing w:after="100"/>
      <w:ind w:left="220"/>
    </w:pPr>
  </w:style>
  <w:style w:type="paragraph" w:styleId="TOC3">
    <w:name w:val="toc 3"/>
    <w:basedOn w:val="Normal"/>
    <w:next w:val="Normal"/>
    <w:autoRedefine/>
    <w:uiPriority w:val="39"/>
    <w:unhideWhenUsed/>
    <w:rsid w:val="0018142C"/>
    <w:pPr>
      <w:tabs>
        <w:tab w:val="right" w:leader="dot" w:pos="9350"/>
      </w:tabs>
      <w:spacing w:after="100" w:line="240" w:lineRule="auto"/>
      <w:ind w:left="440"/>
    </w:pPr>
  </w:style>
  <w:style w:type="paragraph" w:styleId="TableofFigures">
    <w:name w:val="table of figures"/>
    <w:basedOn w:val="Normal"/>
    <w:next w:val="Normal"/>
    <w:uiPriority w:val="99"/>
    <w:unhideWhenUsed/>
    <w:rsid w:val="00E87D93"/>
    <w:pPr>
      <w:spacing w:after="0"/>
    </w:pPr>
  </w:style>
  <w:style w:type="character" w:styleId="Emphasis">
    <w:name w:val="Emphasis"/>
    <w:basedOn w:val="DefaultParagraphFont"/>
    <w:uiPriority w:val="20"/>
    <w:qFormat/>
    <w:rsid w:val="007E030F"/>
    <w:rPr>
      <w:i/>
      <w:iCs/>
    </w:rPr>
  </w:style>
  <w:style w:type="character" w:customStyle="1" w:styleId="cf01">
    <w:name w:val="cf01"/>
    <w:basedOn w:val="DefaultParagraphFont"/>
    <w:rsid w:val="00B40EDB"/>
    <w:rPr>
      <w:rFonts w:ascii="Segoe UI" w:hAnsi="Segoe UI" w:cs="Segoe UI" w:hint="default"/>
      <w:sz w:val="18"/>
      <w:szCs w:val="18"/>
    </w:rPr>
  </w:style>
  <w:style w:type="character" w:styleId="PlaceholderText">
    <w:name w:val="Placeholder Text"/>
    <w:basedOn w:val="DefaultParagraphFont"/>
    <w:uiPriority w:val="99"/>
    <w:semiHidden/>
    <w:rsid w:val="009E701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6615">
      <w:bodyDiv w:val="1"/>
      <w:marLeft w:val="0"/>
      <w:marRight w:val="0"/>
      <w:marTop w:val="0"/>
      <w:marBottom w:val="0"/>
      <w:divBdr>
        <w:top w:val="none" w:sz="0" w:space="0" w:color="auto"/>
        <w:left w:val="none" w:sz="0" w:space="0" w:color="auto"/>
        <w:bottom w:val="none" w:sz="0" w:space="0" w:color="auto"/>
        <w:right w:val="none" w:sz="0" w:space="0" w:color="auto"/>
      </w:divBdr>
      <w:divsChild>
        <w:div w:id="1315598482">
          <w:marLeft w:val="0"/>
          <w:marRight w:val="0"/>
          <w:marTop w:val="0"/>
          <w:marBottom w:val="0"/>
          <w:divBdr>
            <w:top w:val="none" w:sz="0" w:space="0" w:color="auto"/>
            <w:left w:val="none" w:sz="0" w:space="0" w:color="auto"/>
            <w:bottom w:val="none" w:sz="0" w:space="0" w:color="auto"/>
            <w:right w:val="none" w:sz="0" w:space="0" w:color="auto"/>
          </w:divBdr>
        </w:div>
        <w:div w:id="1077752713">
          <w:marLeft w:val="0"/>
          <w:marRight w:val="0"/>
          <w:marTop w:val="0"/>
          <w:marBottom w:val="0"/>
          <w:divBdr>
            <w:top w:val="none" w:sz="0" w:space="0" w:color="auto"/>
            <w:left w:val="none" w:sz="0" w:space="0" w:color="auto"/>
            <w:bottom w:val="none" w:sz="0" w:space="0" w:color="auto"/>
            <w:right w:val="none" w:sz="0" w:space="0" w:color="auto"/>
          </w:divBdr>
        </w:div>
        <w:div w:id="910888218">
          <w:marLeft w:val="0"/>
          <w:marRight w:val="0"/>
          <w:marTop w:val="0"/>
          <w:marBottom w:val="0"/>
          <w:divBdr>
            <w:top w:val="none" w:sz="0" w:space="0" w:color="auto"/>
            <w:left w:val="none" w:sz="0" w:space="0" w:color="auto"/>
            <w:bottom w:val="none" w:sz="0" w:space="0" w:color="auto"/>
            <w:right w:val="none" w:sz="0" w:space="0" w:color="auto"/>
          </w:divBdr>
        </w:div>
        <w:div w:id="552036026">
          <w:marLeft w:val="0"/>
          <w:marRight w:val="0"/>
          <w:marTop w:val="0"/>
          <w:marBottom w:val="0"/>
          <w:divBdr>
            <w:top w:val="none" w:sz="0" w:space="0" w:color="auto"/>
            <w:left w:val="none" w:sz="0" w:space="0" w:color="auto"/>
            <w:bottom w:val="none" w:sz="0" w:space="0" w:color="auto"/>
            <w:right w:val="none" w:sz="0" w:space="0" w:color="auto"/>
          </w:divBdr>
        </w:div>
        <w:div w:id="456991761">
          <w:marLeft w:val="0"/>
          <w:marRight w:val="0"/>
          <w:marTop w:val="0"/>
          <w:marBottom w:val="0"/>
          <w:divBdr>
            <w:top w:val="none" w:sz="0" w:space="0" w:color="auto"/>
            <w:left w:val="none" w:sz="0" w:space="0" w:color="auto"/>
            <w:bottom w:val="none" w:sz="0" w:space="0" w:color="auto"/>
            <w:right w:val="none" w:sz="0" w:space="0" w:color="auto"/>
          </w:divBdr>
        </w:div>
        <w:div w:id="936257443">
          <w:marLeft w:val="0"/>
          <w:marRight w:val="0"/>
          <w:marTop w:val="0"/>
          <w:marBottom w:val="0"/>
          <w:divBdr>
            <w:top w:val="none" w:sz="0" w:space="0" w:color="auto"/>
            <w:left w:val="none" w:sz="0" w:space="0" w:color="auto"/>
            <w:bottom w:val="none" w:sz="0" w:space="0" w:color="auto"/>
            <w:right w:val="none" w:sz="0" w:space="0" w:color="auto"/>
          </w:divBdr>
        </w:div>
        <w:div w:id="491024494">
          <w:marLeft w:val="0"/>
          <w:marRight w:val="0"/>
          <w:marTop w:val="0"/>
          <w:marBottom w:val="0"/>
          <w:divBdr>
            <w:top w:val="none" w:sz="0" w:space="0" w:color="auto"/>
            <w:left w:val="none" w:sz="0" w:space="0" w:color="auto"/>
            <w:bottom w:val="none" w:sz="0" w:space="0" w:color="auto"/>
            <w:right w:val="none" w:sz="0" w:space="0" w:color="auto"/>
          </w:divBdr>
        </w:div>
        <w:div w:id="1222443532">
          <w:marLeft w:val="0"/>
          <w:marRight w:val="0"/>
          <w:marTop w:val="0"/>
          <w:marBottom w:val="0"/>
          <w:divBdr>
            <w:top w:val="none" w:sz="0" w:space="0" w:color="auto"/>
            <w:left w:val="none" w:sz="0" w:space="0" w:color="auto"/>
            <w:bottom w:val="none" w:sz="0" w:space="0" w:color="auto"/>
            <w:right w:val="none" w:sz="0" w:space="0" w:color="auto"/>
          </w:divBdr>
        </w:div>
        <w:div w:id="332101384">
          <w:marLeft w:val="0"/>
          <w:marRight w:val="0"/>
          <w:marTop w:val="0"/>
          <w:marBottom w:val="0"/>
          <w:divBdr>
            <w:top w:val="none" w:sz="0" w:space="0" w:color="auto"/>
            <w:left w:val="none" w:sz="0" w:space="0" w:color="auto"/>
            <w:bottom w:val="none" w:sz="0" w:space="0" w:color="auto"/>
            <w:right w:val="none" w:sz="0" w:space="0" w:color="auto"/>
          </w:divBdr>
        </w:div>
        <w:div w:id="241719365">
          <w:marLeft w:val="0"/>
          <w:marRight w:val="0"/>
          <w:marTop w:val="0"/>
          <w:marBottom w:val="0"/>
          <w:divBdr>
            <w:top w:val="none" w:sz="0" w:space="0" w:color="auto"/>
            <w:left w:val="none" w:sz="0" w:space="0" w:color="auto"/>
            <w:bottom w:val="none" w:sz="0" w:space="0" w:color="auto"/>
            <w:right w:val="none" w:sz="0" w:space="0" w:color="auto"/>
          </w:divBdr>
        </w:div>
        <w:div w:id="2143963206">
          <w:marLeft w:val="0"/>
          <w:marRight w:val="0"/>
          <w:marTop w:val="0"/>
          <w:marBottom w:val="0"/>
          <w:divBdr>
            <w:top w:val="none" w:sz="0" w:space="0" w:color="auto"/>
            <w:left w:val="none" w:sz="0" w:space="0" w:color="auto"/>
            <w:bottom w:val="none" w:sz="0" w:space="0" w:color="auto"/>
            <w:right w:val="none" w:sz="0" w:space="0" w:color="auto"/>
          </w:divBdr>
        </w:div>
        <w:div w:id="1286817631">
          <w:marLeft w:val="0"/>
          <w:marRight w:val="0"/>
          <w:marTop w:val="0"/>
          <w:marBottom w:val="0"/>
          <w:divBdr>
            <w:top w:val="none" w:sz="0" w:space="0" w:color="auto"/>
            <w:left w:val="none" w:sz="0" w:space="0" w:color="auto"/>
            <w:bottom w:val="none" w:sz="0" w:space="0" w:color="auto"/>
            <w:right w:val="none" w:sz="0" w:space="0" w:color="auto"/>
          </w:divBdr>
        </w:div>
        <w:div w:id="703361901">
          <w:marLeft w:val="0"/>
          <w:marRight w:val="0"/>
          <w:marTop w:val="0"/>
          <w:marBottom w:val="0"/>
          <w:divBdr>
            <w:top w:val="none" w:sz="0" w:space="0" w:color="auto"/>
            <w:left w:val="none" w:sz="0" w:space="0" w:color="auto"/>
            <w:bottom w:val="none" w:sz="0" w:space="0" w:color="auto"/>
            <w:right w:val="none" w:sz="0" w:space="0" w:color="auto"/>
          </w:divBdr>
        </w:div>
        <w:div w:id="1489663114">
          <w:marLeft w:val="0"/>
          <w:marRight w:val="0"/>
          <w:marTop w:val="0"/>
          <w:marBottom w:val="0"/>
          <w:divBdr>
            <w:top w:val="none" w:sz="0" w:space="0" w:color="auto"/>
            <w:left w:val="none" w:sz="0" w:space="0" w:color="auto"/>
            <w:bottom w:val="none" w:sz="0" w:space="0" w:color="auto"/>
            <w:right w:val="none" w:sz="0" w:space="0" w:color="auto"/>
          </w:divBdr>
        </w:div>
        <w:div w:id="169763650">
          <w:marLeft w:val="0"/>
          <w:marRight w:val="0"/>
          <w:marTop w:val="0"/>
          <w:marBottom w:val="0"/>
          <w:divBdr>
            <w:top w:val="none" w:sz="0" w:space="0" w:color="auto"/>
            <w:left w:val="none" w:sz="0" w:space="0" w:color="auto"/>
            <w:bottom w:val="none" w:sz="0" w:space="0" w:color="auto"/>
            <w:right w:val="none" w:sz="0" w:space="0" w:color="auto"/>
          </w:divBdr>
        </w:div>
      </w:divsChild>
    </w:div>
    <w:div w:id="29844241">
      <w:bodyDiv w:val="1"/>
      <w:marLeft w:val="0"/>
      <w:marRight w:val="0"/>
      <w:marTop w:val="0"/>
      <w:marBottom w:val="0"/>
      <w:divBdr>
        <w:top w:val="none" w:sz="0" w:space="0" w:color="auto"/>
        <w:left w:val="none" w:sz="0" w:space="0" w:color="auto"/>
        <w:bottom w:val="none" w:sz="0" w:space="0" w:color="auto"/>
        <w:right w:val="none" w:sz="0" w:space="0" w:color="auto"/>
      </w:divBdr>
    </w:div>
    <w:div w:id="41558386">
      <w:bodyDiv w:val="1"/>
      <w:marLeft w:val="0"/>
      <w:marRight w:val="0"/>
      <w:marTop w:val="0"/>
      <w:marBottom w:val="0"/>
      <w:divBdr>
        <w:top w:val="none" w:sz="0" w:space="0" w:color="auto"/>
        <w:left w:val="none" w:sz="0" w:space="0" w:color="auto"/>
        <w:bottom w:val="none" w:sz="0" w:space="0" w:color="auto"/>
        <w:right w:val="none" w:sz="0" w:space="0" w:color="auto"/>
      </w:divBdr>
    </w:div>
    <w:div w:id="121077138">
      <w:bodyDiv w:val="1"/>
      <w:marLeft w:val="0"/>
      <w:marRight w:val="0"/>
      <w:marTop w:val="0"/>
      <w:marBottom w:val="0"/>
      <w:divBdr>
        <w:top w:val="none" w:sz="0" w:space="0" w:color="auto"/>
        <w:left w:val="none" w:sz="0" w:space="0" w:color="auto"/>
        <w:bottom w:val="none" w:sz="0" w:space="0" w:color="auto"/>
        <w:right w:val="none" w:sz="0" w:space="0" w:color="auto"/>
      </w:divBdr>
    </w:div>
    <w:div w:id="359815237">
      <w:bodyDiv w:val="1"/>
      <w:marLeft w:val="0"/>
      <w:marRight w:val="0"/>
      <w:marTop w:val="0"/>
      <w:marBottom w:val="0"/>
      <w:divBdr>
        <w:top w:val="none" w:sz="0" w:space="0" w:color="auto"/>
        <w:left w:val="none" w:sz="0" w:space="0" w:color="auto"/>
        <w:bottom w:val="none" w:sz="0" w:space="0" w:color="auto"/>
        <w:right w:val="none" w:sz="0" w:space="0" w:color="auto"/>
      </w:divBdr>
    </w:div>
    <w:div w:id="458182073">
      <w:bodyDiv w:val="1"/>
      <w:marLeft w:val="0"/>
      <w:marRight w:val="0"/>
      <w:marTop w:val="0"/>
      <w:marBottom w:val="0"/>
      <w:divBdr>
        <w:top w:val="none" w:sz="0" w:space="0" w:color="auto"/>
        <w:left w:val="none" w:sz="0" w:space="0" w:color="auto"/>
        <w:bottom w:val="none" w:sz="0" w:space="0" w:color="auto"/>
        <w:right w:val="none" w:sz="0" w:space="0" w:color="auto"/>
      </w:divBdr>
    </w:div>
    <w:div w:id="495807522">
      <w:bodyDiv w:val="1"/>
      <w:marLeft w:val="0"/>
      <w:marRight w:val="0"/>
      <w:marTop w:val="0"/>
      <w:marBottom w:val="0"/>
      <w:divBdr>
        <w:top w:val="none" w:sz="0" w:space="0" w:color="auto"/>
        <w:left w:val="none" w:sz="0" w:space="0" w:color="auto"/>
        <w:bottom w:val="none" w:sz="0" w:space="0" w:color="auto"/>
        <w:right w:val="none" w:sz="0" w:space="0" w:color="auto"/>
      </w:divBdr>
    </w:div>
    <w:div w:id="575553803">
      <w:bodyDiv w:val="1"/>
      <w:marLeft w:val="0"/>
      <w:marRight w:val="0"/>
      <w:marTop w:val="0"/>
      <w:marBottom w:val="0"/>
      <w:divBdr>
        <w:top w:val="none" w:sz="0" w:space="0" w:color="auto"/>
        <w:left w:val="none" w:sz="0" w:space="0" w:color="auto"/>
        <w:bottom w:val="none" w:sz="0" w:space="0" w:color="auto"/>
        <w:right w:val="none" w:sz="0" w:space="0" w:color="auto"/>
      </w:divBdr>
    </w:div>
    <w:div w:id="581181422">
      <w:bodyDiv w:val="1"/>
      <w:marLeft w:val="0"/>
      <w:marRight w:val="0"/>
      <w:marTop w:val="0"/>
      <w:marBottom w:val="0"/>
      <w:divBdr>
        <w:top w:val="none" w:sz="0" w:space="0" w:color="auto"/>
        <w:left w:val="none" w:sz="0" w:space="0" w:color="auto"/>
        <w:bottom w:val="none" w:sz="0" w:space="0" w:color="auto"/>
        <w:right w:val="none" w:sz="0" w:space="0" w:color="auto"/>
      </w:divBdr>
    </w:div>
    <w:div w:id="595753117">
      <w:bodyDiv w:val="1"/>
      <w:marLeft w:val="0"/>
      <w:marRight w:val="0"/>
      <w:marTop w:val="0"/>
      <w:marBottom w:val="0"/>
      <w:divBdr>
        <w:top w:val="none" w:sz="0" w:space="0" w:color="auto"/>
        <w:left w:val="none" w:sz="0" w:space="0" w:color="auto"/>
        <w:bottom w:val="none" w:sz="0" w:space="0" w:color="auto"/>
        <w:right w:val="none" w:sz="0" w:space="0" w:color="auto"/>
      </w:divBdr>
    </w:div>
    <w:div w:id="649291343">
      <w:bodyDiv w:val="1"/>
      <w:marLeft w:val="0"/>
      <w:marRight w:val="0"/>
      <w:marTop w:val="0"/>
      <w:marBottom w:val="0"/>
      <w:divBdr>
        <w:top w:val="none" w:sz="0" w:space="0" w:color="auto"/>
        <w:left w:val="none" w:sz="0" w:space="0" w:color="auto"/>
        <w:bottom w:val="none" w:sz="0" w:space="0" w:color="auto"/>
        <w:right w:val="none" w:sz="0" w:space="0" w:color="auto"/>
      </w:divBdr>
    </w:div>
    <w:div w:id="671685798">
      <w:bodyDiv w:val="1"/>
      <w:marLeft w:val="0"/>
      <w:marRight w:val="0"/>
      <w:marTop w:val="0"/>
      <w:marBottom w:val="0"/>
      <w:divBdr>
        <w:top w:val="none" w:sz="0" w:space="0" w:color="auto"/>
        <w:left w:val="none" w:sz="0" w:space="0" w:color="auto"/>
        <w:bottom w:val="none" w:sz="0" w:space="0" w:color="auto"/>
        <w:right w:val="none" w:sz="0" w:space="0" w:color="auto"/>
      </w:divBdr>
    </w:div>
    <w:div w:id="919605369">
      <w:bodyDiv w:val="1"/>
      <w:marLeft w:val="0"/>
      <w:marRight w:val="0"/>
      <w:marTop w:val="0"/>
      <w:marBottom w:val="0"/>
      <w:divBdr>
        <w:top w:val="none" w:sz="0" w:space="0" w:color="auto"/>
        <w:left w:val="none" w:sz="0" w:space="0" w:color="auto"/>
        <w:bottom w:val="none" w:sz="0" w:space="0" w:color="auto"/>
        <w:right w:val="none" w:sz="0" w:space="0" w:color="auto"/>
      </w:divBdr>
    </w:div>
    <w:div w:id="996424081">
      <w:bodyDiv w:val="1"/>
      <w:marLeft w:val="0"/>
      <w:marRight w:val="0"/>
      <w:marTop w:val="0"/>
      <w:marBottom w:val="0"/>
      <w:divBdr>
        <w:top w:val="none" w:sz="0" w:space="0" w:color="auto"/>
        <w:left w:val="none" w:sz="0" w:space="0" w:color="auto"/>
        <w:bottom w:val="none" w:sz="0" w:space="0" w:color="auto"/>
        <w:right w:val="none" w:sz="0" w:space="0" w:color="auto"/>
      </w:divBdr>
    </w:div>
    <w:div w:id="1004934692">
      <w:bodyDiv w:val="1"/>
      <w:marLeft w:val="0"/>
      <w:marRight w:val="0"/>
      <w:marTop w:val="0"/>
      <w:marBottom w:val="0"/>
      <w:divBdr>
        <w:top w:val="none" w:sz="0" w:space="0" w:color="auto"/>
        <w:left w:val="none" w:sz="0" w:space="0" w:color="auto"/>
        <w:bottom w:val="none" w:sz="0" w:space="0" w:color="auto"/>
        <w:right w:val="none" w:sz="0" w:space="0" w:color="auto"/>
      </w:divBdr>
    </w:div>
    <w:div w:id="1265113930">
      <w:bodyDiv w:val="1"/>
      <w:marLeft w:val="0"/>
      <w:marRight w:val="0"/>
      <w:marTop w:val="0"/>
      <w:marBottom w:val="0"/>
      <w:divBdr>
        <w:top w:val="none" w:sz="0" w:space="0" w:color="auto"/>
        <w:left w:val="none" w:sz="0" w:space="0" w:color="auto"/>
        <w:bottom w:val="none" w:sz="0" w:space="0" w:color="auto"/>
        <w:right w:val="none" w:sz="0" w:space="0" w:color="auto"/>
      </w:divBdr>
    </w:div>
    <w:div w:id="1481386105">
      <w:bodyDiv w:val="1"/>
      <w:marLeft w:val="0"/>
      <w:marRight w:val="0"/>
      <w:marTop w:val="0"/>
      <w:marBottom w:val="0"/>
      <w:divBdr>
        <w:top w:val="none" w:sz="0" w:space="0" w:color="auto"/>
        <w:left w:val="none" w:sz="0" w:space="0" w:color="auto"/>
        <w:bottom w:val="none" w:sz="0" w:space="0" w:color="auto"/>
        <w:right w:val="none" w:sz="0" w:space="0" w:color="auto"/>
      </w:divBdr>
    </w:div>
    <w:div w:id="1487360982">
      <w:bodyDiv w:val="1"/>
      <w:marLeft w:val="0"/>
      <w:marRight w:val="0"/>
      <w:marTop w:val="0"/>
      <w:marBottom w:val="0"/>
      <w:divBdr>
        <w:top w:val="none" w:sz="0" w:space="0" w:color="auto"/>
        <w:left w:val="none" w:sz="0" w:space="0" w:color="auto"/>
        <w:bottom w:val="none" w:sz="0" w:space="0" w:color="auto"/>
        <w:right w:val="none" w:sz="0" w:space="0" w:color="auto"/>
      </w:divBdr>
      <w:divsChild>
        <w:div w:id="2104108935">
          <w:marLeft w:val="0"/>
          <w:marRight w:val="0"/>
          <w:marTop w:val="0"/>
          <w:marBottom w:val="0"/>
          <w:divBdr>
            <w:top w:val="none" w:sz="0" w:space="0" w:color="auto"/>
            <w:left w:val="none" w:sz="0" w:space="0" w:color="auto"/>
            <w:bottom w:val="none" w:sz="0" w:space="0" w:color="auto"/>
            <w:right w:val="none" w:sz="0" w:space="0" w:color="auto"/>
          </w:divBdr>
        </w:div>
        <w:div w:id="1826431287">
          <w:marLeft w:val="0"/>
          <w:marRight w:val="0"/>
          <w:marTop w:val="0"/>
          <w:marBottom w:val="0"/>
          <w:divBdr>
            <w:top w:val="none" w:sz="0" w:space="0" w:color="auto"/>
            <w:left w:val="none" w:sz="0" w:space="0" w:color="auto"/>
            <w:bottom w:val="none" w:sz="0" w:space="0" w:color="auto"/>
            <w:right w:val="none" w:sz="0" w:space="0" w:color="auto"/>
          </w:divBdr>
        </w:div>
      </w:divsChild>
    </w:div>
    <w:div w:id="1558853712">
      <w:bodyDiv w:val="1"/>
      <w:marLeft w:val="0"/>
      <w:marRight w:val="0"/>
      <w:marTop w:val="0"/>
      <w:marBottom w:val="0"/>
      <w:divBdr>
        <w:top w:val="none" w:sz="0" w:space="0" w:color="auto"/>
        <w:left w:val="none" w:sz="0" w:space="0" w:color="auto"/>
        <w:bottom w:val="none" w:sz="0" w:space="0" w:color="auto"/>
        <w:right w:val="none" w:sz="0" w:space="0" w:color="auto"/>
      </w:divBdr>
    </w:div>
    <w:div w:id="1681810655">
      <w:bodyDiv w:val="1"/>
      <w:marLeft w:val="0"/>
      <w:marRight w:val="0"/>
      <w:marTop w:val="0"/>
      <w:marBottom w:val="0"/>
      <w:divBdr>
        <w:top w:val="none" w:sz="0" w:space="0" w:color="auto"/>
        <w:left w:val="none" w:sz="0" w:space="0" w:color="auto"/>
        <w:bottom w:val="none" w:sz="0" w:space="0" w:color="auto"/>
        <w:right w:val="none" w:sz="0" w:space="0" w:color="auto"/>
      </w:divBdr>
    </w:div>
    <w:div w:id="1689260057">
      <w:bodyDiv w:val="1"/>
      <w:marLeft w:val="0"/>
      <w:marRight w:val="0"/>
      <w:marTop w:val="0"/>
      <w:marBottom w:val="0"/>
      <w:divBdr>
        <w:top w:val="none" w:sz="0" w:space="0" w:color="auto"/>
        <w:left w:val="none" w:sz="0" w:space="0" w:color="auto"/>
        <w:bottom w:val="none" w:sz="0" w:space="0" w:color="auto"/>
        <w:right w:val="none" w:sz="0" w:space="0" w:color="auto"/>
      </w:divBdr>
    </w:div>
    <w:div w:id="1700087110">
      <w:bodyDiv w:val="1"/>
      <w:marLeft w:val="0"/>
      <w:marRight w:val="0"/>
      <w:marTop w:val="0"/>
      <w:marBottom w:val="0"/>
      <w:divBdr>
        <w:top w:val="none" w:sz="0" w:space="0" w:color="auto"/>
        <w:left w:val="none" w:sz="0" w:space="0" w:color="auto"/>
        <w:bottom w:val="none" w:sz="0" w:space="0" w:color="auto"/>
        <w:right w:val="none" w:sz="0" w:space="0" w:color="auto"/>
      </w:divBdr>
    </w:div>
    <w:div w:id="1711028963">
      <w:bodyDiv w:val="1"/>
      <w:marLeft w:val="0"/>
      <w:marRight w:val="0"/>
      <w:marTop w:val="0"/>
      <w:marBottom w:val="0"/>
      <w:divBdr>
        <w:top w:val="none" w:sz="0" w:space="0" w:color="auto"/>
        <w:left w:val="none" w:sz="0" w:space="0" w:color="auto"/>
        <w:bottom w:val="none" w:sz="0" w:space="0" w:color="auto"/>
        <w:right w:val="none" w:sz="0" w:space="0" w:color="auto"/>
      </w:divBdr>
    </w:div>
    <w:div w:id="1786727113">
      <w:bodyDiv w:val="1"/>
      <w:marLeft w:val="0"/>
      <w:marRight w:val="0"/>
      <w:marTop w:val="0"/>
      <w:marBottom w:val="0"/>
      <w:divBdr>
        <w:top w:val="none" w:sz="0" w:space="0" w:color="auto"/>
        <w:left w:val="none" w:sz="0" w:space="0" w:color="auto"/>
        <w:bottom w:val="none" w:sz="0" w:space="0" w:color="auto"/>
        <w:right w:val="none" w:sz="0" w:space="0" w:color="auto"/>
      </w:divBdr>
    </w:div>
    <w:div w:id="1788503889">
      <w:bodyDiv w:val="1"/>
      <w:marLeft w:val="0"/>
      <w:marRight w:val="0"/>
      <w:marTop w:val="0"/>
      <w:marBottom w:val="0"/>
      <w:divBdr>
        <w:top w:val="none" w:sz="0" w:space="0" w:color="auto"/>
        <w:left w:val="none" w:sz="0" w:space="0" w:color="auto"/>
        <w:bottom w:val="none" w:sz="0" w:space="0" w:color="auto"/>
        <w:right w:val="none" w:sz="0" w:space="0" w:color="auto"/>
      </w:divBdr>
    </w:div>
    <w:div w:id="1818065842">
      <w:bodyDiv w:val="1"/>
      <w:marLeft w:val="0"/>
      <w:marRight w:val="0"/>
      <w:marTop w:val="0"/>
      <w:marBottom w:val="0"/>
      <w:divBdr>
        <w:top w:val="none" w:sz="0" w:space="0" w:color="auto"/>
        <w:left w:val="none" w:sz="0" w:space="0" w:color="auto"/>
        <w:bottom w:val="none" w:sz="0" w:space="0" w:color="auto"/>
        <w:right w:val="none" w:sz="0" w:space="0" w:color="auto"/>
      </w:divBdr>
    </w:div>
    <w:div w:id="1864857996">
      <w:bodyDiv w:val="1"/>
      <w:marLeft w:val="0"/>
      <w:marRight w:val="0"/>
      <w:marTop w:val="0"/>
      <w:marBottom w:val="0"/>
      <w:divBdr>
        <w:top w:val="none" w:sz="0" w:space="0" w:color="auto"/>
        <w:left w:val="none" w:sz="0" w:space="0" w:color="auto"/>
        <w:bottom w:val="none" w:sz="0" w:space="0" w:color="auto"/>
        <w:right w:val="none" w:sz="0" w:space="0" w:color="auto"/>
      </w:divBdr>
    </w:div>
    <w:div w:id="21303186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3.xml"/><Relationship Id="rId117" Type="http://schemas.openxmlformats.org/officeDocument/2006/relationships/image" Target="media/image34.emf"/><Relationship Id="rId21" Type="http://schemas.openxmlformats.org/officeDocument/2006/relationships/chart" Target="charts/chart8.xml"/><Relationship Id="rId42" Type="http://schemas.openxmlformats.org/officeDocument/2006/relationships/chart" Target="charts/chart29.xml"/><Relationship Id="rId47" Type="http://schemas.openxmlformats.org/officeDocument/2006/relationships/chart" Target="charts/chart34.xml"/><Relationship Id="rId63" Type="http://schemas.openxmlformats.org/officeDocument/2006/relationships/chart" Target="charts/chart50.xml"/><Relationship Id="rId68" Type="http://schemas.openxmlformats.org/officeDocument/2006/relationships/chart" Target="charts/chart55.xml"/><Relationship Id="rId84" Type="http://schemas.openxmlformats.org/officeDocument/2006/relationships/chart" Target="charts/chart71.xml"/><Relationship Id="rId89" Type="http://schemas.openxmlformats.org/officeDocument/2006/relationships/image" Target="media/image6.emf"/><Relationship Id="rId112" Type="http://schemas.openxmlformats.org/officeDocument/2006/relationships/image" Target="media/image29.emf"/><Relationship Id="rId16" Type="http://schemas.openxmlformats.org/officeDocument/2006/relationships/chart" Target="charts/chart3.xml"/><Relationship Id="rId107" Type="http://schemas.openxmlformats.org/officeDocument/2006/relationships/image" Target="media/image24.emf"/><Relationship Id="rId11" Type="http://schemas.openxmlformats.org/officeDocument/2006/relationships/footer" Target="footer1.xml"/><Relationship Id="rId32" Type="http://schemas.openxmlformats.org/officeDocument/2006/relationships/chart" Target="charts/chart19.xml"/><Relationship Id="rId37" Type="http://schemas.openxmlformats.org/officeDocument/2006/relationships/chart" Target="charts/chart24.xml"/><Relationship Id="rId53" Type="http://schemas.openxmlformats.org/officeDocument/2006/relationships/chart" Target="charts/chart40.xml"/><Relationship Id="rId58" Type="http://schemas.openxmlformats.org/officeDocument/2006/relationships/chart" Target="charts/chart45.xml"/><Relationship Id="rId74" Type="http://schemas.openxmlformats.org/officeDocument/2006/relationships/chart" Target="charts/chart61.xml"/><Relationship Id="rId79" Type="http://schemas.openxmlformats.org/officeDocument/2006/relationships/chart" Target="charts/chart66.xml"/><Relationship Id="rId102" Type="http://schemas.openxmlformats.org/officeDocument/2006/relationships/image" Target="media/image19.emf"/><Relationship Id="rId5" Type="http://schemas.openxmlformats.org/officeDocument/2006/relationships/numbering" Target="numbering.xml"/><Relationship Id="rId90" Type="http://schemas.openxmlformats.org/officeDocument/2006/relationships/image" Target="media/image7.emf"/><Relationship Id="rId95" Type="http://schemas.openxmlformats.org/officeDocument/2006/relationships/image" Target="media/image12.emf"/><Relationship Id="rId22" Type="http://schemas.openxmlformats.org/officeDocument/2006/relationships/chart" Target="charts/chart9.xml"/><Relationship Id="rId27" Type="http://schemas.openxmlformats.org/officeDocument/2006/relationships/chart" Target="charts/chart14.xml"/><Relationship Id="rId43" Type="http://schemas.openxmlformats.org/officeDocument/2006/relationships/chart" Target="charts/chart30.xml"/><Relationship Id="rId48" Type="http://schemas.openxmlformats.org/officeDocument/2006/relationships/chart" Target="charts/chart35.xml"/><Relationship Id="rId64" Type="http://schemas.openxmlformats.org/officeDocument/2006/relationships/chart" Target="charts/chart51.xml"/><Relationship Id="rId69" Type="http://schemas.openxmlformats.org/officeDocument/2006/relationships/chart" Target="charts/chart56.xml"/><Relationship Id="rId113" Type="http://schemas.openxmlformats.org/officeDocument/2006/relationships/image" Target="media/image30.emf"/><Relationship Id="rId118" Type="http://schemas.openxmlformats.org/officeDocument/2006/relationships/image" Target="media/image35.emf"/><Relationship Id="rId80" Type="http://schemas.openxmlformats.org/officeDocument/2006/relationships/chart" Target="charts/chart67.xml"/><Relationship Id="rId85" Type="http://schemas.openxmlformats.org/officeDocument/2006/relationships/chart" Target="charts/chart72.xml"/><Relationship Id="rId12" Type="http://schemas.openxmlformats.org/officeDocument/2006/relationships/hyperlink" Target="https://www.google.com/search?sxsrf=AOaemvJq9HIHWCmlFn4b6zmC04c2Zg9l5A:1635194739525&amp;q=Luxembourg&amp;stick=H4sIAAAAAAAAAOPgE-LWT9c3TClLsshOKVbi0M_VNzBJNzPU0spOttLPL0pPzMusSizJzM9D4VhlpCamFJYmFpWkFhUvYuXyKa1IzU3KLy1K38HKCAA6kQwHVQAAAA&amp;sa=X&amp;ved=2ahUKEwjxsdmMt-bzAhXTTDABHSWODWEQmxMoAXoECDkQAw" TargetMode="External"/><Relationship Id="rId17" Type="http://schemas.openxmlformats.org/officeDocument/2006/relationships/chart" Target="charts/chart4.xml"/><Relationship Id="rId33" Type="http://schemas.openxmlformats.org/officeDocument/2006/relationships/chart" Target="charts/chart20.xml"/><Relationship Id="rId38" Type="http://schemas.openxmlformats.org/officeDocument/2006/relationships/chart" Target="charts/chart25.xml"/><Relationship Id="rId59" Type="http://schemas.openxmlformats.org/officeDocument/2006/relationships/chart" Target="charts/chart46.xml"/><Relationship Id="rId103" Type="http://schemas.openxmlformats.org/officeDocument/2006/relationships/image" Target="media/image20.emf"/><Relationship Id="rId108" Type="http://schemas.openxmlformats.org/officeDocument/2006/relationships/image" Target="media/image25.emf"/><Relationship Id="rId54" Type="http://schemas.openxmlformats.org/officeDocument/2006/relationships/chart" Target="charts/chart41.xml"/><Relationship Id="rId70" Type="http://schemas.openxmlformats.org/officeDocument/2006/relationships/chart" Target="charts/chart57.xml"/><Relationship Id="rId75" Type="http://schemas.openxmlformats.org/officeDocument/2006/relationships/chart" Target="charts/chart62.xml"/><Relationship Id="rId91" Type="http://schemas.openxmlformats.org/officeDocument/2006/relationships/image" Target="media/image8.emf"/><Relationship Id="rId96"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chart" Target="charts/chart10.xml"/><Relationship Id="rId28" Type="http://schemas.openxmlformats.org/officeDocument/2006/relationships/chart" Target="charts/chart15.xml"/><Relationship Id="rId49" Type="http://schemas.openxmlformats.org/officeDocument/2006/relationships/chart" Target="charts/chart36.xml"/><Relationship Id="rId114" Type="http://schemas.openxmlformats.org/officeDocument/2006/relationships/image" Target="media/image31.emf"/><Relationship Id="rId119" Type="http://schemas.openxmlformats.org/officeDocument/2006/relationships/image" Target="media/image36.emf"/><Relationship Id="rId44" Type="http://schemas.openxmlformats.org/officeDocument/2006/relationships/chart" Target="charts/chart31.xml"/><Relationship Id="rId60" Type="http://schemas.openxmlformats.org/officeDocument/2006/relationships/chart" Target="charts/chart47.xml"/><Relationship Id="rId65" Type="http://schemas.openxmlformats.org/officeDocument/2006/relationships/chart" Target="charts/chart52.xml"/><Relationship Id="rId81" Type="http://schemas.openxmlformats.org/officeDocument/2006/relationships/chart" Target="charts/chart68.xml"/><Relationship Id="rId86"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ogle.com/search?sxsrf=AOaemvIs8fIhzB4UYIiAoHMC4B3fw4RX0Q:1635436636723&amp;q=Z%C3%B6rbig&amp;stick=H4sIAAAAAAAAAOPgE-LRT9c3zEgqy0opySlQ4tTP1TdIrjA1NNXSzk620k_LzEvMS07VLy7JT862Ss7PLUjMq9TNzEvLV8hITUwpLE0sKkktKl7Eyh51eFtRUmb6DlZGAFAUz1pVAAAA&amp;sa=X&amp;ved=2ahUKEwis3qKevO3zAhVgSjABHYpxAnwQmxMoAHoECEMQAg" TargetMode="External"/><Relationship Id="rId18" Type="http://schemas.openxmlformats.org/officeDocument/2006/relationships/chart" Target="charts/chart5.xml"/><Relationship Id="rId39" Type="http://schemas.openxmlformats.org/officeDocument/2006/relationships/chart" Target="charts/chart26.xml"/><Relationship Id="rId109" Type="http://schemas.openxmlformats.org/officeDocument/2006/relationships/image" Target="media/image26.emf"/><Relationship Id="rId34" Type="http://schemas.openxmlformats.org/officeDocument/2006/relationships/chart" Target="charts/chart21.xml"/><Relationship Id="rId50" Type="http://schemas.openxmlformats.org/officeDocument/2006/relationships/chart" Target="charts/chart37.xml"/><Relationship Id="rId55" Type="http://schemas.openxmlformats.org/officeDocument/2006/relationships/chart" Target="charts/chart42.xml"/><Relationship Id="rId76" Type="http://schemas.openxmlformats.org/officeDocument/2006/relationships/chart" Target="charts/chart63.xml"/><Relationship Id="rId97" Type="http://schemas.openxmlformats.org/officeDocument/2006/relationships/image" Target="media/image14.emf"/><Relationship Id="rId104" Type="http://schemas.openxmlformats.org/officeDocument/2006/relationships/image" Target="media/image21.emf"/><Relationship Id="rId120" Type="http://schemas.openxmlformats.org/officeDocument/2006/relationships/image" Target="media/image37.emf"/><Relationship Id="rId7" Type="http://schemas.openxmlformats.org/officeDocument/2006/relationships/settings" Target="settings.xml"/><Relationship Id="rId71" Type="http://schemas.openxmlformats.org/officeDocument/2006/relationships/chart" Target="charts/chart58.xml"/><Relationship Id="rId92" Type="http://schemas.openxmlformats.org/officeDocument/2006/relationships/image" Target="media/image9.emf"/><Relationship Id="rId2" Type="http://schemas.openxmlformats.org/officeDocument/2006/relationships/customXml" Target="../customXml/item2.xml"/><Relationship Id="rId29" Type="http://schemas.openxmlformats.org/officeDocument/2006/relationships/chart" Target="charts/chart16.xml"/><Relationship Id="rId24" Type="http://schemas.openxmlformats.org/officeDocument/2006/relationships/chart" Target="charts/chart11.xml"/><Relationship Id="rId40" Type="http://schemas.openxmlformats.org/officeDocument/2006/relationships/chart" Target="charts/chart27.xml"/><Relationship Id="rId45" Type="http://schemas.openxmlformats.org/officeDocument/2006/relationships/chart" Target="charts/chart32.xml"/><Relationship Id="rId66" Type="http://schemas.openxmlformats.org/officeDocument/2006/relationships/chart" Target="charts/chart53.xml"/><Relationship Id="rId87" Type="http://schemas.openxmlformats.org/officeDocument/2006/relationships/image" Target="media/image4.emf"/><Relationship Id="rId110" Type="http://schemas.openxmlformats.org/officeDocument/2006/relationships/image" Target="media/image27.emf"/><Relationship Id="rId115" Type="http://schemas.openxmlformats.org/officeDocument/2006/relationships/image" Target="media/image32.emf"/><Relationship Id="rId61" Type="http://schemas.openxmlformats.org/officeDocument/2006/relationships/chart" Target="charts/chart48.xml"/><Relationship Id="rId82" Type="http://schemas.openxmlformats.org/officeDocument/2006/relationships/chart" Target="charts/chart69.xml"/><Relationship Id="rId19" Type="http://schemas.openxmlformats.org/officeDocument/2006/relationships/chart" Target="charts/chart6.xml"/><Relationship Id="rId14" Type="http://schemas.openxmlformats.org/officeDocument/2006/relationships/chart" Target="charts/chart1.xml"/><Relationship Id="rId30" Type="http://schemas.openxmlformats.org/officeDocument/2006/relationships/chart" Target="charts/chart17.xml"/><Relationship Id="rId35" Type="http://schemas.openxmlformats.org/officeDocument/2006/relationships/chart" Target="charts/chart22.xml"/><Relationship Id="rId56" Type="http://schemas.openxmlformats.org/officeDocument/2006/relationships/chart" Target="charts/chart43.xml"/><Relationship Id="rId77" Type="http://schemas.openxmlformats.org/officeDocument/2006/relationships/chart" Target="charts/chart64.xml"/><Relationship Id="rId100" Type="http://schemas.openxmlformats.org/officeDocument/2006/relationships/image" Target="media/image17.emf"/><Relationship Id="rId105" Type="http://schemas.openxmlformats.org/officeDocument/2006/relationships/image" Target="media/image22.emf"/><Relationship Id="rId8" Type="http://schemas.openxmlformats.org/officeDocument/2006/relationships/webSettings" Target="webSettings.xml"/><Relationship Id="rId51" Type="http://schemas.openxmlformats.org/officeDocument/2006/relationships/chart" Target="charts/chart38.xml"/><Relationship Id="rId72" Type="http://schemas.openxmlformats.org/officeDocument/2006/relationships/chart" Target="charts/chart59.xml"/><Relationship Id="rId93" Type="http://schemas.openxmlformats.org/officeDocument/2006/relationships/image" Target="media/image10.emf"/><Relationship Id="rId98" Type="http://schemas.openxmlformats.org/officeDocument/2006/relationships/image" Target="media/image15.emf"/><Relationship Id="rId121"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chart" Target="charts/chart12.xml"/><Relationship Id="rId46" Type="http://schemas.openxmlformats.org/officeDocument/2006/relationships/chart" Target="charts/chart33.xml"/><Relationship Id="rId67" Type="http://schemas.openxmlformats.org/officeDocument/2006/relationships/chart" Target="charts/chart54.xml"/><Relationship Id="rId116" Type="http://schemas.openxmlformats.org/officeDocument/2006/relationships/image" Target="media/image33.emf"/><Relationship Id="rId20" Type="http://schemas.openxmlformats.org/officeDocument/2006/relationships/chart" Target="charts/chart7.xml"/><Relationship Id="rId41" Type="http://schemas.openxmlformats.org/officeDocument/2006/relationships/chart" Target="charts/chart28.xml"/><Relationship Id="rId62" Type="http://schemas.openxmlformats.org/officeDocument/2006/relationships/chart" Target="charts/chart49.xml"/><Relationship Id="rId83" Type="http://schemas.openxmlformats.org/officeDocument/2006/relationships/chart" Target="charts/chart70.xml"/><Relationship Id="rId88" Type="http://schemas.openxmlformats.org/officeDocument/2006/relationships/image" Target="media/image5.emf"/><Relationship Id="rId111" Type="http://schemas.openxmlformats.org/officeDocument/2006/relationships/image" Target="media/image28.emf"/><Relationship Id="rId15" Type="http://schemas.openxmlformats.org/officeDocument/2006/relationships/chart" Target="charts/chart2.xml"/><Relationship Id="rId36" Type="http://schemas.openxmlformats.org/officeDocument/2006/relationships/chart" Target="charts/chart23.xml"/><Relationship Id="rId57" Type="http://schemas.openxmlformats.org/officeDocument/2006/relationships/chart" Target="charts/chart44.xml"/><Relationship Id="rId106" Type="http://schemas.openxmlformats.org/officeDocument/2006/relationships/image" Target="media/image23.emf"/><Relationship Id="rId10" Type="http://schemas.openxmlformats.org/officeDocument/2006/relationships/endnotes" Target="endnotes.xml"/><Relationship Id="rId31" Type="http://schemas.openxmlformats.org/officeDocument/2006/relationships/chart" Target="charts/chart18.xml"/><Relationship Id="rId52" Type="http://schemas.openxmlformats.org/officeDocument/2006/relationships/chart" Target="charts/chart39.xml"/><Relationship Id="rId73" Type="http://schemas.openxmlformats.org/officeDocument/2006/relationships/chart" Target="charts/chart60.xml"/><Relationship Id="rId78" Type="http://schemas.openxmlformats.org/officeDocument/2006/relationships/chart" Target="charts/chart65.xml"/><Relationship Id="rId94" Type="http://schemas.openxmlformats.org/officeDocument/2006/relationships/image" Target="media/image11.emf"/><Relationship Id="rId99" Type="http://schemas.openxmlformats.org/officeDocument/2006/relationships/image" Target="media/image16.emf"/><Relationship Id="rId101" Type="http://schemas.openxmlformats.org/officeDocument/2006/relationships/image" Target="media/image18.emf"/><Relationship Id="rId1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21.xml"/><Relationship Id="rId1" Type="http://schemas.microsoft.com/office/2011/relationships/chartStyle" Target="style21.xml"/><Relationship Id="rId4" Type="http://schemas.openxmlformats.org/officeDocument/2006/relationships/chartUserShapes" Target="../drawings/drawing1.xml"/></Relationships>
</file>

<file path=word/charts/_rels/chart22.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22.xml"/><Relationship Id="rId1" Type="http://schemas.microsoft.com/office/2011/relationships/chartStyle" Target="style22.xml"/><Relationship Id="rId4" Type="http://schemas.openxmlformats.org/officeDocument/2006/relationships/chartUserShapes" Target="../drawings/drawing2.xml"/></Relationships>
</file>

<file path=word/charts/_rels/chart23.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31.xml"/><Relationship Id="rId1" Type="http://schemas.microsoft.com/office/2011/relationships/chartStyle" Target="style31.xml"/></Relationships>
</file>

<file path=word/charts/_rels/chart32.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32.xml"/><Relationship Id="rId1" Type="http://schemas.microsoft.com/office/2011/relationships/chartStyle" Target="style32.xml"/></Relationships>
</file>

<file path=word/charts/_rels/chart33.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33.xml"/><Relationship Id="rId1" Type="http://schemas.microsoft.com/office/2011/relationships/chartStyle" Target="style33.xml"/></Relationships>
</file>

<file path=word/charts/_rels/chart34.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34.xml"/><Relationship Id="rId1" Type="http://schemas.microsoft.com/office/2011/relationships/chartStyle" Target="style34.xml"/></Relationships>
</file>

<file path=word/charts/_rels/chart35.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35.xml"/><Relationship Id="rId1" Type="http://schemas.microsoft.com/office/2011/relationships/chartStyle" Target="style35.xml"/></Relationships>
</file>

<file path=word/charts/_rels/chart36.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36.xml"/><Relationship Id="rId1" Type="http://schemas.microsoft.com/office/2011/relationships/chartStyle" Target="style36.xml"/></Relationships>
</file>

<file path=word/charts/_rels/chart37.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37.xml"/><Relationship Id="rId1" Type="http://schemas.microsoft.com/office/2011/relationships/chartStyle" Target="style37.xml"/><Relationship Id="rId4" Type="http://schemas.openxmlformats.org/officeDocument/2006/relationships/chartUserShapes" Target="../drawings/drawing3.xml"/></Relationships>
</file>

<file path=word/charts/_rels/chart38.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38.xml"/><Relationship Id="rId1" Type="http://schemas.microsoft.com/office/2011/relationships/chartStyle" Target="style38.xml"/></Relationships>
</file>

<file path=word/charts/_rels/chart39.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39.xml"/><Relationship Id="rId1" Type="http://schemas.microsoft.com/office/2011/relationships/chartStyle" Target="style39.xml"/><Relationship Id="rId4" Type="http://schemas.openxmlformats.org/officeDocument/2006/relationships/chartUserShapes" Target="../drawings/drawing4.xml"/></Relationships>
</file>

<file path=word/charts/_rels/chart40.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40.xml"/><Relationship Id="rId1" Type="http://schemas.microsoft.com/office/2011/relationships/chartStyle" Target="style40.xml"/></Relationships>
</file>

<file path=word/charts/_rels/chart41.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41.xml"/><Relationship Id="rId1" Type="http://schemas.microsoft.com/office/2011/relationships/chartStyle" Target="style41.xml"/></Relationships>
</file>

<file path=word/charts/_rels/chart42.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42.xml"/><Relationship Id="rId1" Type="http://schemas.microsoft.com/office/2011/relationships/chartStyle" Target="style42.xml"/></Relationships>
</file>

<file path=word/charts/_rels/chart43.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43.xml"/><Relationship Id="rId1" Type="http://schemas.microsoft.com/office/2011/relationships/chartStyle" Target="style43.xml"/></Relationships>
</file>

<file path=word/charts/_rels/chart44.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44.xml"/><Relationship Id="rId1" Type="http://schemas.microsoft.com/office/2011/relationships/chartStyle" Target="style44.xml"/></Relationships>
</file>

<file path=word/charts/_rels/chart45.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45.xml"/><Relationship Id="rId1" Type="http://schemas.microsoft.com/office/2011/relationships/chartStyle" Target="style45.xml"/></Relationships>
</file>

<file path=word/charts/_rels/chart46.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46.xml"/><Relationship Id="rId1" Type="http://schemas.microsoft.com/office/2011/relationships/chartStyle" Target="style46.xml"/></Relationships>
</file>

<file path=word/charts/_rels/chart47.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47.xml"/><Relationship Id="rId1" Type="http://schemas.microsoft.com/office/2011/relationships/chartStyle" Target="style47.xml"/></Relationships>
</file>

<file path=word/charts/_rels/chart48.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48.xml"/><Relationship Id="rId1" Type="http://schemas.microsoft.com/office/2011/relationships/chartStyle" Target="style48.xml"/></Relationships>
</file>

<file path=word/charts/_rels/chart49.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49.xml"/><Relationship Id="rId1" Type="http://schemas.microsoft.com/office/2011/relationships/chartStyle" Target="style49.xml"/></Relationships>
</file>

<file path=word/charts/_rels/chart50.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50.xml"/><Relationship Id="rId1" Type="http://schemas.microsoft.com/office/2011/relationships/chartStyle" Target="style50.xml"/></Relationships>
</file>

<file path=word/charts/_rels/chart51.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51.xml"/><Relationship Id="rId1" Type="http://schemas.microsoft.com/office/2011/relationships/chartStyle" Target="style51.xml"/></Relationships>
</file>

<file path=word/charts/_rels/chart52.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52.xml"/><Relationship Id="rId1" Type="http://schemas.microsoft.com/office/2011/relationships/chartStyle" Target="style52.xml"/></Relationships>
</file>

<file path=word/charts/_rels/chart53.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53.xml"/><Relationship Id="rId1" Type="http://schemas.microsoft.com/office/2011/relationships/chartStyle" Target="style53.xml"/></Relationships>
</file>

<file path=word/charts/_rels/chart54.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54.xml"/><Relationship Id="rId1" Type="http://schemas.microsoft.com/office/2011/relationships/chartStyle" Target="style54.xml"/></Relationships>
</file>

<file path=word/charts/_rels/chart55.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55.xml"/><Relationship Id="rId1" Type="http://schemas.microsoft.com/office/2011/relationships/chartStyle" Target="style55.xml"/></Relationships>
</file>

<file path=word/charts/_rels/chart56.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56.xml"/><Relationship Id="rId1" Type="http://schemas.microsoft.com/office/2011/relationships/chartStyle" Target="style56.xml"/></Relationships>
</file>

<file path=word/charts/_rels/chart57.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57.xml"/><Relationship Id="rId1" Type="http://schemas.microsoft.com/office/2011/relationships/chartStyle" Target="style57.xml"/></Relationships>
</file>

<file path=word/charts/_rels/chart58.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58.xml"/><Relationship Id="rId1" Type="http://schemas.microsoft.com/office/2011/relationships/chartStyle" Target="style58.xml"/></Relationships>
</file>

<file path=word/charts/_rels/chart59.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59.xml"/><Relationship Id="rId1" Type="http://schemas.microsoft.com/office/2011/relationships/chartStyle" Target="style59.xml"/></Relationships>
</file>

<file path=word/charts/_rels/chart60.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60.xml"/><Relationship Id="rId1" Type="http://schemas.microsoft.com/office/2011/relationships/chartStyle" Target="style60.xml"/></Relationships>
</file>

<file path=word/charts/_rels/chart61.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61.xml"/><Relationship Id="rId1" Type="http://schemas.microsoft.com/office/2011/relationships/chartStyle" Target="style61.xml"/></Relationships>
</file>

<file path=word/charts/_rels/chart62.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62.xml"/><Relationship Id="rId1" Type="http://schemas.microsoft.com/office/2011/relationships/chartStyle" Target="style62.xml"/></Relationships>
</file>

<file path=word/charts/_rels/chart63.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63.xml"/><Relationship Id="rId1" Type="http://schemas.microsoft.com/office/2011/relationships/chartStyle" Target="style63.xml"/></Relationships>
</file>

<file path=word/charts/_rels/chart64.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64.xml"/><Relationship Id="rId1" Type="http://schemas.microsoft.com/office/2011/relationships/chartStyle" Target="style64.xml"/></Relationships>
</file>

<file path=word/charts/_rels/chart65.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65.xml"/><Relationship Id="rId1" Type="http://schemas.microsoft.com/office/2011/relationships/chartStyle" Target="style65.xml"/></Relationships>
</file>

<file path=word/charts/_rels/chart66.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66.xml"/><Relationship Id="rId1" Type="http://schemas.microsoft.com/office/2011/relationships/chartStyle" Target="style66.xml"/><Relationship Id="rId4" Type="http://schemas.openxmlformats.org/officeDocument/2006/relationships/chartUserShapes" Target="../drawings/drawing5.xml"/></Relationships>
</file>

<file path=word/charts/_rels/chart67.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67.xml"/><Relationship Id="rId1" Type="http://schemas.microsoft.com/office/2011/relationships/chartStyle" Target="style67.xml"/><Relationship Id="rId4" Type="http://schemas.openxmlformats.org/officeDocument/2006/relationships/chartUserShapes" Target="../drawings/drawing6.xml"/></Relationships>
</file>

<file path=word/charts/_rels/chart68.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68.xml"/><Relationship Id="rId1" Type="http://schemas.microsoft.com/office/2011/relationships/chartStyle" Target="style68.xml"/></Relationships>
</file>

<file path=word/charts/_rels/chart69.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69.xml"/><Relationship Id="rId1" Type="http://schemas.microsoft.com/office/2011/relationships/chartStyle" Target="style69.xml"/></Relationships>
</file>

<file path=word/charts/_rels/chart70.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70.xml"/><Relationship Id="rId1" Type="http://schemas.microsoft.com/office/2011/relationships/chartStyle" Target="style70.xml"/></Relationships>
</file>

<file path=word/charts/_rels/chart71.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71.xml"/><Relationship Id="rId1" Type="http://schemas.microsoft.com/office/2011/relationships/chartStyle" Target="style71.xml"/></Relationships>
</file>

<file path=word/charts/_rels/chart72.xml.rels><?xml version="1.0" encoding="UTF-8" standalone="yes"?>
<Relationships xmlns="http://schemas.openxmlformats.org/package/2006/relationships"><Relationship Id="rId3" Type="http://schemas.openxmlformats.org/officeDocument/2006/relationships/oleObject" Target="file:///E:\MS_thesis_work\Financial%20Analysis\final%20data_1\risk%20analysis%20revision\Risk%20Analysis%202021,%202020,%202019,%202018.xlsx" TargetMode="External"/><Relationship Id="rId2" Type="http://schemas.microsoft.com/office/2011/relationships/chartColorStyle" Target="colors72.xml"/><Relationship Id="rId1" Type="http://schemas.microsoft.com/office/2011/relationships/chartStyle" Target="style7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All companies, 2021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4494444444444443"/>
          <c:w val="0.76524153230846148"/>
          <c:h val="0.70837051618547697"/>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E8C622F8-8EEE-414C-ACBA-51B3FE42712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6AFE-44A9-B22A-24BFC7230EC1}"/>
                </c:ext>
              </c:extLst>
            </c:dLbl>
            <c:dLbl>
              <c:idx val="1"/>
              <c:tx>
                <c:rich>
                  <a:bodyPr/>
                  <a:lstStyle/>
                  <a:p>
                    <a:fld id="{DEF6B95A-2D65-47AC-A90B-80FA73D7C4C3}"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6AFE-44A9-B22A-24BFC7230EC1}"/>
                </c:ext>
              </c:extLst>
            </c:dLbl>
            <c:dLbl>
              <c:idx val="2"/>
              <c:tx>
                <c:rich>
                  <a:bodyPr/>
                  <a:lstStyle/>
                  <a:p>
                    <a:fld id="{B01552B3-5039-4381-B5A3-413BE33DE9A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6AFE-44A9-B22A-24BFC7230EC1}"/>
                </c:ext>
              </c:extLst>
            </c:dLbl>
            <c:dLbl>
              <c:idx val="3"/>
              <c:tx>
                <c:rich>
                  <a:bodyPr/>
                  <a:lstStyle/>
                  <a:p>
                    <a:fld id="{B0DBA213-ECB0-453D-89FD-7CED4A73D99C}"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6AFE-44A9-B22A-24BFC7230EC1}"/>
                </c:ext>
              </c:extLst>
            </c:dLbl>
            <c:dLbl>
              <c:idx val="4"/>
              <c:tx>
                <c:rich>
                  <a:bodyPr/>
                  <a:lstStyle/>
                  <a:p>
                    <a:fld id="{0415F344-9B2C-4F5B-8448-7E3E4AD04873}"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6AFE-44A9-B22A-24BFC7230EC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Political!$C$3:$C$7</c:f>
              <c:numCache>
                <c:formatCode>General</c:formatCode>
                <c:ptCount val="5"/>
                <c:pt idx="0">
                  <c:v>17</c:v>
                </c:pt>
                <c:pt idx="1">
                  <c:v>15</c:v>
                </c:pt>
                <c:pt idx="2">
                  <c:v>8</c:v>
                </c:pt>
                <c:pt idx="3">
                  <c:v>13</c:v>
                </c:pt>
                <c:pt idx="4">
                  <c:v>17</c:v>
                </c:pt>
              </c:numCache>
            </c:numRef>
          </c:xVal>
          <c:yVal>
            <c:numRef>
              <c:f>Political!$D$3:$D$7</c:f>
              <c:numCache>
                <c:formatCode>General</c:formatCode>
                <c:ptCount val="5"/>
                <c:pt idx="0">
                  <c:v>7.4951505663330392E-2</c:v>
                </c:pt>
                <c:pt idx="1">
                  <c:v>5.2150492832129171E-2</c:v>
                </c:pt>
                <c:pt idx="2">
                  <c:v>3.6029693585361205E-2</c:v>
                </c:pt>
                <c:pt idx="3">
                  <c:v>6.329783975671438E-2</c:v>
                </c:pt>
                <c:pt idx="4">
                  <c:v>5.3664226776950506E-2</c:v>
                </c:pt>
              </c:numCache>
            </c:numRef>
          </c:yVal>
          <c:smooth val="0"/>
          <c:extLst>
            <c:ext xmlns:c15="http://schemas.microsoft.com/office/drawing/2012/chart" uri="{02D57815-91ED-43cb-92C2-25804820EDAC}">
              <c15:datalabelsRange>
                <c15:f>Political!$B$23:$B$27</c15:f>
                <c15:dlblRangeCache>
                  <c:ptCount val="5"/>
                  <c:pt idx="0">
                    <c:v>BFR</c:v>
                  </c:pt>
                  <c:pt idx="1">
                    <c:v>EHS</c:v>
                  </c:pt>
                  <c:pt idx="2">
                    <c:v>INT</c:v>
                  </c:pt>
                  <c:pt idx="3">
                    <c:v>INF</c:v>
                  </c:pt>
                  <c:pt idx="4">
                    <c:v>GNR</c:v>
                  </c:pt>
                </c15:dlblRangeCache>
              </c15:datalabelsRange>
            </c:ext>
            <c:ext xmlns:c16="http://schemas.microsoft.com/office/drawing/2014/chart" uri="{C3380CC4-5D6E-409C-BE32-E72D297353CC}">
              <c16:uniqueId val="{00000005-6AFE-44A9-B22A-24BFC7230EC1}"/>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Political!$C$9:$C$10</c:f>
              <c:numCache>
                <c:formatCode>General</c:formatCode>
                <c:ptCount val="2"/>
                <c:pt idx="0">
                  <c:v>0</c:v>
                </c:pt>
                <c:pt idx="1">
                  <c:v>21</c:v>
                </c:pt>
              </c:numCache>
            </c:numRef>
          </c:xVal>
          <c:yVal>
            <c:numRef>
              <c:f>Political!$D$9:$D$10</c:f>
              <c:numCache>
                <c:formatCode>General</c:formatCode>
                <c:ptCount val="2"/>
                <c:pt idx="0">
                  <c:v>5.6368289429504011E-2</c:v>
                </c:pt>
                <c:pt idx="1">
                  <c:v>5.6368289429504011E-2</c:v>
                </c:pt>
              </c:numCache>
            </c:numRef>
          </c:yVal>
          <c:smooth val="0"/>
          <c:extLst>
            <c:ext xmlns:c16="http://schemas.microsoft.com/office/drawing/2014/chart" uri="{C3380CC4-5D6E-409C-BE32-E72D297353CC}">
              <c16:uniqueId val="{00000006-6AFE-44A9-B22A-24BFC7230EC1}"/>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Political!$C$14:$C$15</c:f>
              <c:numCache>
                <c:formatCode>General</c:formatCode>
                <c:ptCount val="2"/>
                <c:pt idx="0">
                  <c:v>13.4</c:v>
                </c:pt>
                <c:pt idx="1">
                  <c:v>13.4</c:v>
                </c:pt>
              </c:numCache>
            </c:numRef>
          </c:xVal>
          <c:yVal>
            <c:numRef>
              <c:f>Political!$D$14:$D$15</c:f>
              <c:numCache>
                <c:formatCode>0.00</c:formatCode>
                <c:ptCount val="2"/>
                <c:pt idx="0" formatCode="General">
                  <c:v>0</c:v>
                </c:pt>
                <c:pt idx="1">
                  <c:v>0.15394838422728568</c:v>
                </c:pt>
              </c:numCache>
            </c:numRef>
          </c:yVal>
          <c:smooth val="0"/>
          <c:extLst>
            <c:ext xmlns:c16="http://schemas.microsoft.com/office/drawing/2014/chart" uri="{C3380CC4-5D6E-409C-BE32-E72D297353CC}">
              <c16:uniqueId val="{00000007-6AFE-44A9-B22A-24BFC7230EC1}"/>
            </c:ext>
          </c:extLst>
        </c:ser>
        <c:dLbls>
          <c:showLegendKey val="0"/>
          <c:showVal val="0"/>
          <c:showCatName val="0"/>
          <c:showSerName val="0"/>
          <c:showPercent val="0"/>
          <c:showBubbleSize val="0"/>
        </c:dLbls>
        <c:axId val="340807024"/>
        <c:axId val="423992384"/>
      </c:scatterChart>
      <c:valAx>
        <c:axId val="340807024"/>
        <c:scaling>
          <c:orientation val="minMax"/>
          <c:max val="21"/>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92384"/>
        <c:crosses val="autoZero"/>
        <c:crossBetween val="midCat"/>
      </c:valAx>
      <c:valAx>
        <c:axId val="423992384"/>
        <c:scaling>
          <c:orientation val="minMax"/>
          <c:max val="0.15394838400000008"/>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807024"/>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2020</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488525809273841"/>
          <c:w val="0.76524153230846148"/>
          <c:h val="0.70740769903762035"/>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4FEDB7B3-4B86-4BD2-A04B-DFCF56C0F11E}"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1DC0-4AB6-A66B-E6F9CB75A3E6}"/>
                </c:ext>
              </c:extLst>
            </c:dLbl>
            <c:dLbl>
              <c:idx val="1"/>
              <c:tx>
                <c:rich>
                  <a:bodyPr/>
                  <a:lstStyle/>
                  <a:p>
                    <a:fld id="{AC00E7E6-9FB2-40A8-8609-7E54F60E4C65}"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1DC0-4AB6-A66B-E6F9CB75A3E6}"/>
                </c:ext>
              </c:extLst>
            </c:dLbl>
            <c:dLbl>
              <c:idx val="2"/>
              <c:tx>
                <c:rich>
                  <a:bodyPr/>
                  <a:lstStyle/>
                  <a:p>
                    <a:fld id="{ABF35FED-36AA-4C2F-A6B2-F4D3BB2D890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1DC0-4AB6-A66B-E6F9CB75A3E6}"/>
                </c:ext>
              </c:extLst>
            </c:dLbl>
            <c:dLbl>
              <c:idx val="3"/>
              <c:tx>
                <c:rich>
                  <a:bodyPr/>
                  <a:lstStyle/>
                  <a:p>
                    <a:fld id="{59E0F470-E34C-4B8B-979B-9F7B40F08820}"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1DC0-4AB6-A66B-E6F9CB75A3E6}"/>
                </c:ext>
              </c:extLst>
            </c:dLbl>
            <c:dLbl>
              <c:idx val="4"/>
              <c:tx>
                <c:rich>
                  <a:bodyPr/>
                  <a:lstStyle/>
                  <a:p>
                    <a:fld id="{245421DF-8F9F-4D03-86BE-E5128EB6C00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1DC0-4AB6-A66B-E6F9CB75A3E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Political!$C$23:$C$27</c:f>
              <c:numCache>
                <c:formatCode>General</c:formatCode>
                <c:ptCount val="5"/>
                <c:pt idx="0">
                  <c:v>19</c:v>
                </c:pt>
                <c:pt idx="1">
                  <c:v>16</c:v>
                </c:pt>
                <c:pt idx="2">
                  <c:v>9</c:v>
                </c:pt>
                <c:pt idx="3">
                  <c:v>13</c:v>
                </c:pt>
                <c:pt idx="4">
                  <c:v>17</c:v>
                </c:pt>
              </c:numCache>
            </c:numRef>
          </c:xVal>
          <c:yVal>
            <c:numRef>
              <c:f>Political!$D$23:$D$27</c:f>
              <c:numCache>
                <c:formatCode>General</c:formatCode>
                <c:ptCount val="5"/>
                <c:pt idx="0">
                  <c:v>7.9262692534992116E-2</c:v>
                </c:pt>
                <c:pt idx="1">
                  <c:v>4.3591140024005326E-2</c:v>
                </c:pt>
                <c:pt idx="2">
                  <c:v>3.8062640986161127E-2</c:v>
                </c:pt>
                <c:pt idx="3">
                  <c:v>5.7853271223557108E-2</c:v>
                </c:pt>
                <c:pt idx="4">
                  <c:v>5.3664226776950506E-2</c:v>
                </c:pt>
              </c:numCache>
            </c:numRef>
          </c:yVal>
          <c:smooth val="0"/>
          <c:extLst>
            <c:ext xmlns:c15="http://schemas.microsoft.com/office/drawing/2012/chart" uri="{02D57815-91ED-43cb-92C2-25804820EDAC}">
              <c15:datalabelsRange>
                <c15:f>Political!$B$23:$B$27</c15:f>
                <c15:dlblRangeCache>
                  <c:ptCount val="5"/>
                  <c:pt idx="0">
                    <c:v>BFR</c:v>
                  </c:pt>
                  <c:pt idx="1">
                    <c:v>EHS</c:v>
                  </c:pt>
                  <c:pt idx="2">
                    <c:v>INT</c:v>
                  </c:pt>
                  <c:pt idx="3">
                    <c:v>INF</c:v>
                  </c:pt>
                  <c:pt idx="4">
                    <c:v>GNR</c:v>
                  </c:pt>
                </c15:dlblRangeCache>
              </c15:datalabelsRange>
            </c:ext>
            <c:ext xmlns:c16="http://schemas.microsoft.com/office/drawing/2014/chart" uri="{C3380CC4-5D6E-409C-BE32-E72D297353CC}">
              <c16:uniqueId val="{00000005-1DC0-4AB6-A66B-E6F9CB75A3E6}"/>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Political!$C$29:$C$30</c:f>
              <c:numCache>
                <c:formatCode>General</c:formatCode>
                <c:ptCount val="2"/>
                <c:pt idx="0">
                  <c:v>0</c:v>
                </c:pt>
                <c:pt idx="1">
                  <c:v>22</c:v>
                </c:pt>
              </c:numCache>
            </c:numRef>
          </c:xVal>
          <c:yVal>
            <c:numRef>
              <c:f>Political!$D$29:$D$30</c:f>
              <c:numCache>
                <c:formatCode>General</c:formatCode>
                <c:ptCount val="2"/>
                <c:pt idx="0">
                  <c:v>5.6554202034834154E-2</c:v>
                </c:pt>
                <c:pt idx="1">
                  <c:v>5.6554202034834154E-2</c:v>
                </c:pt>
              </c:numCache>
            </c:numRef>
          </c:yVal>
          <c:smooth val="0"/>
          <c:extLst>
            <c:ext xmlns:c16="http://schemas.microsoft.com/office/drawing/2014/chart" uri="{C3380CC4-5D6E-409C-BE32-E72D297353CC}">
              <c16:uniqueId val="{00000006-1DC0-4AB6-A66B-E6F9CB75A3E6}"/>
            </c:ext>
          </c:extLst>
        </c:ser>
        <c:ser>
          <c:idx val="2"/>
          <c:order val="2"/>
          <c:tx>
            <c:strRef>
              <c:f>Political!$C$34:$C$35</c:f>
              <c:strCache>
                <c:ptCount val="2"/>
                <c:pt idx="0">
                  <c:v>14</c:v>
                </c:pt>
                <c:pt idx="1">
                  <c:v>14</c:v>
                </c:pt>
              </c:strCache>
            </c:strRef>
          </c:tx>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Political!$C$34:$C$35</c:f>
              <c:numCache>
                <c:formatCode>General</c:formatCode>
                <c:ptCount val="2"/>
                <c:pt idx="0">
                  <c:v>14</c:v>
                </c:pt>
                <c:pt idx="1">
                  <c:v>14</c:v>
                </c:pt>
              </c:numCache>
            </c:numRef>
          </c:xVal>
          <c:yVal>
            <c:numRef>
              <c:f>Political!$D$34:$D$35</c:f>
              <c:numCache>
                <c:formatCode>General</c:formatCode>
                <c:ptCount val="2"/>
                <c:pt idx="0">
                  <c:v>0</c:v>
                </c:pt>
                <c:pt idx="1">
                  <c:v>0.15103688125363621</c:v>
                </c:pt>
              </c:numCache>
            </c:numRef>
          </c:yVal>
          <c:smooth val="0"/>
          <c:extLst>
            <c:ext xmlns:c16="http://schemas.microsoft.com/office/drawing/2014/chart" uri="{C3380CC4-5D6E-409C-BE32-E72D297353CC}">
              <c16:uniqueId val="{00000007-1DC0-4AB6-A66B-E6F9CB75A3E6}"/>
            </c:ext>
          </c:extLst>
        </c:ser>
        <c:dLbls>
          <c:showLegendKey val="0"/>
          <c:showVal val="0"/>
          <c:showCatName val="0"/>
          <c:showSerName val="0"/>
          <c:showPercent val="0"/>
          <c:showBubbleSize val="0"/>
        </c:dLbls>
        <c:axId val="320434688"/>
        <c:axId val="320432192"/>
      </c:scatterChart>
      <c:valAx>
        <c:axId val="320434688"/>
        <c:scaling>
          <c:orientation val="minMax"/>
          <c:max val="2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2192"/>
        <c:crosses val="autoZero"/>
        <c:crossBetween val="midCat"/>
      </c:valAx>
      <c:valAx>
        <c:axId val="320432192"/>
        <c:scaling>
          <c:orientation val="minMax"/>
          <c:max val="0.15103688100000004"/>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4688"/>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2019</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5049999999999999"/>
          <c:w val="0.76524153230846148"/>
          <c:h val="0.69725940507436568"/>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F7124F3D-660C-4774-9C4D-5C965D9E88C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55C5-45C0-9EC4-BD537E30328F}"/>
                </c:ext>
              </c:extLst>
            </c:dLbl>
            <c:dLbl>
              <c:idx val="1"/>
              <c:tx>
                <c:rich>
                  <a:bodyPr/>
                  <a:lstStyle/>
                  <a:p>
                    <a:fld id="{5789ED64-9DD4-4FC4-AB10-0BA2919B83D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55C5-45C0-9EC4-BD537E30328F}"/>
                </c:ext>
              </c:extLst>
            </c:dLbl>
            <c:dLbl>
              <c:idx val="2"/>
              <c:tx>
                <c:rich>
                  <a:bodyPr/>
                  <a:lstStyle/>
                  <a:p>
                    <a:fld id="{AA4FBCAB-4A84-4B6A-9EBD-6599D8E023E3}"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55C5-45C0-9EC4-BD537E30328F}"/>
                </c:ext>
              </c:extLst>
            </c:dLbl>
            <c:dLbl>
              <c:idx val="3"/>
              <c:tx>
                <c:rich>
                  <a:bodyPr/>
                  <a:lstStyle/>
                  <a:p>
                    <a:fld id="{1DFEE476-F5D5-495F-9F78-3CD98A00F7A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55C5-45C0-9EC4-BD537E30328F}"/>
                </c:ext>
              </c:extLst>
            </c:dLbl>
            <c:dLbl>
              <c:idx val="4"/>
              <c:tx>
                <c:rich>
                  <a:bodyPr/>
                  <a:lstStyle/>
                  <a:p>
                    <a:fld id="{9515354B-0CC2-4C17-B8E8-3D985FAB00DE}"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55C5-45C0-9EC4-BD537E30328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Political!$C$47:$C$51</c:f>
              <c:numCache>
                <c:formatCode>General</c:formatCode>
                <c:ptCount val="5"/>
                <c:pt idx="0">
                  <c:v>16</c:v>
                </c:pt>
                <c:pt idx="1">
                  <c:v>16</c:v>
                </c:pt>
                <c:pt idx="2">
                  <c:v>12</c:v>
                </c:pt>
                <c:pt idx="3">
                  <c:v>13</c:v>
                </c:pt>
                <c:pt idx="4">
                  <c:v>19</c:v>
                </c:pt>
              </c:numCache>
            </c:numRef>
          </c:xVal>
          <c:yVal>
            <c:numRef>
              <c:f>Political!$D$47:$D$51</c:f>
              <c:numCache>
                <c:formatCode>General</c:formatCode>
                <c:ptCount val="5"/>
                <c:pt idx="0">
                  <c:v>7.8835241189535429E-2</c:v>
                </c:pt>
                <c:pt idx="1">
                  <c:v>5.0300364102883917E-2</c:v>
                </c:pt>
                <c:pt idx="2">
                  <c:v>3.7127030675110612E-2</c:v>
                </c:pt>
                <c:pt idx="3">
                  <c:v>4.7280580092054186E-2</c:v>
                </c:pt>
                <c:pt idx="4">
                  <c:v>6.688459344878761E-2</c:v>
                </c:pt>
              </c:numCache>
            </c:numRef>
          </c:yVal>
          <c:smooth val="0"/>
          <c:extLst>
            <c:ext xmlns:c15="http://schemas.microsoft.com/office/drawing/2012/chart" uri="{02D57815-91ED-43cb-92C2-25804820EDAC}">
              <c15:datalabelsRange>
                <c15:f>Political!$B$23:$B$27</c15:f>
                <c15:dlblRangeCache>
                  <c:ptCount val="5"/>
                  <c:pt idx="0">
                    <c:v>BFR</c:v>
                  </c:pt>
                  <c:pt idx="1">
                    <c:v>EHS</c:v>
                  </c:pt>
                  <c:pt idx="2">
                    <c:v>INT</c:v>
                  </c:pt>
                  <c:pt idx="3">
                    <c:v>INF</c:v>
                  </c:pt>
                  <c:pt idx="4">
                    <c:v>GNR</c:v>
                  </c:pt>
                </c15:dlblRangeCache>
              </c15:datalabelsRange>
            </c:ext>
            <c:ext xmlns:c16="http://schemas.microsoft.com/office/drawing/2014/chart" uri="{C3380CC4-5D6E-409C-BE32-E72D297353CC}">
              <c16:uniqueId val="{00000005-55C5-45C0-9EC4-BD537E30328F}"/>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Political!$C$53:$C$54</c:f>
              <c:numCache>
                <c:formatCode>General</c:formatCode>
                <c:ptCount val="2"/>
                <c:pt idx="0">
                  <c:v>0</c:v>
                </c:pt>
                <c:pt idx="1">
                  <c:v>21</c:v>
                </c:pt>
              </c:numCache>
            </c:numRef>
          </c:xVal>
          <c:yVal>
            <c:numRef>
              <c:f>Political!$D$53:$D$54</c:f>
              <c:numCache>
                <c:formatCode>General</c:formatCode>
                <c:ptCount val="2"/>
                <c:pt idx="0">
                  <c:v>5.6137770630382826E-2</c:v>
                </c:pt>
                <c:pt idx="1">
                  <c:v>5.6137770630382826E-2</c:v>
                </c:pt>
              </c:numCache>
            </c:numRef>
          </c:yVal>
          <c:smooth val="0"/>
          <c:extLst>
            <c:ext xmlns:c16="http://schemas.microsoft.com/office/drawing/2014/chart" uri="{C3380CC4-5D6E-409C-BE32-E72D297353CC}">
              <c16:uniqueId val="{00000006-55C5-45C0-9EC4-BD537E30328F}"/>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Political!$C$58:$C$59</c:f>
              <c:numCache>
                <c:formatCode>General</c:formatCode>
                <c:ptCount val="2"/>
                <c:pt idx="0">
                  <c:v>13.8</c:v>
                </c:pt>
                <c:pt idx="1">
                  <c:v>13.8</c:v>
                </c:pt>
              </c:numCache>
            </c:numRef>
          </c:xVal>
          <c:yVal>
            <c:numRef>
              <c:f>Political!$D$58:$D$59</c:f>
              <c:numCache>
                <c:formatCode>0.00</c:formatCode>
                <c:ptCount val="2"/>
                <c:pt idx="0" formatCode="General">
                  <c:v>0</c:v>
                </c:pt>
                <c:pt idx="1">
                  <c:v>0.14617558799295174</c:v>
                </c:pt>
              </c:numCache>
            </c:numRef>
          </c:yVal>
          <c:smooth val="0"/>
          <c:extLst>
            <c:ext xmlns:c16="http://schemas.microsoft.com/office/drawing/2014/chart" uri="{C3380CC4-5D6E-409C-BE32-E72D297353CC}">
              <c16:uniqueId val="{00000007-55C5-45C0-9EC4-BD537E30328F}"/>
            </c:ext>
          </c:extLst>
        </c:ser>
        <c:dLbls>
          <c:showLegendKey val="0"/>
          <c:showVal val="0"/>
          <c:showCatName val="0"/>
          <c:showSerName val="0"/>
          <c:showPercent val="0"/>
          <c:showBubbleSize val="0"/>
        </c:dLbls>
        <c:axId val="426555360"/>
        <c:axId val="426551200"/>
      </c:scatterChart>
      <c:valAx>
        <c:axId val="426555360"/>
        <c:scaling>
          <c:orientation val="minMax"/>
          <c:max val="21"/>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1200"/>
        <c:crosses val="autoZero"/>
        <c:crossBetween val="midCat"/>
      </c:valAx>
      <c:valAx>
        <c:axId val="426551200"/>
        <c:scaling>
          <c:orientation val="minMax"/>
          <c:max val="0.146175588"/>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5360"/>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2018</a:t>
            </a:r>
          </a:p>
        </c:rich>
      </c:tx>
      <c:layout>
        <c:manualLayout>
          <c:xMode val="edge"/>
          <c:yMode val="edge"/>
          <c:x val="0.31663573303337078"/>
          <c:y val="3.240726159230096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5605555555555559"/>
          <c:w val="0.76524153230846148"/>
          <c:h val="0.69170384951881014"/>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6D3E3665-8184-4AA9-B739-DC8AAB8A04B8}"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AD56-4978-8EB1-DCC2A96CF254}"/>
                </c:ext>
              </c:extLst>
            </c:dLbl>
            <c:dLbl>
              <c:idx val="1"/>
              <c:tx>
                <c:rich>
                  <a:bodyPr/>
                  <a:lstStyle/>
                  <a:p>
                    <a:fld id="{F8E3342B-988D-45BC-B3CE-3ED157FED24B}"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AD56-4978-8EB1-DCC2A96CF254}"/>
                </c:ext>
              </c:extLst>
            </c:dLbl>
            <c:dLbl>
              <c:idx val="2"/>
              <c:tx>
                <c:rich>
                  <a:bodyPr/>
                  <a:lstStyle/>
                  <a:p>
                    <a:fld id="{15D26001-47D6-4E19-9AA2-C6127842158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AD56-4978-8EB1-DCC2A96CF254}"/>
                </c:ext>
              </c:extLst>
            </c:dLbl>
            <c:dLbl>
              <c:idx val="3"/>
              <c:tx>
                <c:rich>
                  <a:bodyPr/>
                  <a:lstStyle/>
                  <a:p>
                    <a:fld id="{DF502CF1-A64F-4C9D-AF90-5F99E83F6AE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AD56-4978-8EB1-DCC2A96CF254}"/>
                </c:ext>
              </c:extLst>
            </c:dLbl>
            <c:dLbl>
              <c:idx val="4"/>
              <c:tx>
                <c:rich>
                  <a:bodyPr/>
                  <a:lstStyle/>
                  <a:p>
                    <a:fld id="{2DCEE409-8BAF-48DA-AB35-E21F8AC970C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AD56-4978-8EB1-DCC2A96CF25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Political!$C$70:$C$74</c:f>
              <c:numCache>
                <c:formatCode>General</c:formatCode>
                <c:ptCount val="5"/>
                <c:pt idx="0">
                  <c:v>16</c:v>
                </c:pt>
                <c:pt idx="1">
                  <c:v>17</c:v>
                </c:pt>
                <c:pt idx="2">
                  <c:v>12</c:v>
                </c:pt>
                <c:pt idx="3">
                  <c:v>14</c:v>
                </c:pt>
                <c:pt idx="4">
                  <c:v>20</c:v>
                </c:pt>
              </c:numCache>
            </c:numRef>
          </c:xVal>
          <c:yVal>
            <c:numRef>
              <c:f>Political!$D$70:$D$74</c:f>
              <c:numCache>
                <c:formatCode>General</c:formatCode>
                <c:ptCount val="5"/>
                <c:pt idx="0">
                  <c:v>7.7698124963211795E-2</c:v>
                </c:pt>
                <c:pt idx="1">
                  <c:v>4.7384027495491941E-2</c:v>
                </c:pt>
                <c:pt idx="2">
                  <c:v>3.8931947247351363E-2</c:v>
                </c:pt>
                <c:pt idx="3">
                  <c:v>4.4143861970367744E-2</c:v>
                </c:pt>
                <c:pt idx="4">
                  <c:v>6.7158521193325299E-2</c:v>
                </c:pt>
              </c:numCache>
            </c:numRef>
          </c:yVal>
          <c:smooth val="0"/>
          <c:extLst>
            <c:ext xmlns:c15="http://schemas.microsoft.com/office/drawing/2012/chart" uri="{02D57815-91ED-43cb-92C2-25804820EDAC}">
              <c15:datalabelsRange>
                <c15:f>Political!$B$70:$B$74</c15:f>
                <c15:dlblRangeCache>
                  <c:ptCount val="5"/>
                  <c:pt idx="0">
                    <c:v>BFR</c:v>
                  </c:pt>
                  <c:pt idx="1">
                    <c:v>EHS</c:v>
                  </c:pt>
                  <c:pt idx="2">
                    <c:v>INT</c:v>
                  </c:pt>
                  <c:pt idx="3">
                    <c:v>INF</c:v>
                  </c:pt>
                  <c:pt idx="4">
                    <c:v>GNR</c:v>
                  </c:pt>
                </c15:dlblRangeCache>
              </c15:datalabelsRange>
            </c:ext>
            <c:ext xmlns:c16="http://schemas.microsoft.com/office/drawing/2014/chart" uri="{C3380CC4-5D6E-409C-BE32-E72D297353CC}">
              <c16:uniqueId val="{00000005-AD56-4978-8EB1-DCC2A96CF254}"/>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Political!$C$76:$C$77</c:f>
              <c:numCache>
                <c:formatCode>General</c:formatCode>
                <c:ptCount val="2"/>
                <c:pt idx="0">
                  <c:v>0</c:v>
                </c:pt>
                <c:pt idx="1">
                  <c:v>21</c:v>
                </c:pt>
              </c:numCache>
            </c:numRef>
          </c:xVal>
          <c:yVal>
            <c:numRef>
              <c:f>Political!$D$76:$D$77</c:f>
              <c:numCache>
                <c:formatCode>General</c:formatCode>
                <c:ptCount val="2"/>
                <c:pt idx="0">
                  <c:v>5.6830165929940897E-2</c:v>
                </c:pt>
                <c:pt idx="1">
                  <c:v>5.6830165929940897E-2</c:v>
                </c:pt>
              </c:numCache>
            </c:numRef>
          </c:yVal>
          <c:smooth val="0"/>
          <c:extLst>
            <c:ext xmlns:c16="http://schemas.microsoft.com/office/drawing/2014/chart" uri="{C3380CC4-5D6E-409C-BE32-E72D297353CC}">
              <c16:uniqueId val="{00000006-AD56-4978-8EB1-DCC2A96CF254}"/>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Political!$C$81:$C$82</c:f>
              <c:numCache>
                <c:formatCode>General</c:formatCode>
                <c:ptCount val="2"/>
                <c:pt idx="0">
                  <c:v>13.92</c:v>
                </c:pt>
                <c:pt idx="1">
                  <c:v>13.92</c:v>
                </c:pt>
              </c:numCache>
            </c:numRef>
          </c:xVal>
          <c:yVal>
            <c:numRef>
              <c:f>Political!$D$81:$D$82</c:f>
              <c:numCache>
                <c:formatCode>0.00</c:formatCode>
                <c:ptCount val="2"/>
                <c:pt idx="0" formatCode="General">
                  <c:v>0</c:v>
                </c:pt>
                <c:pt idx="1">
                  <c:v>0.13591806377731477</c:v>
                </c:pt>
              </c:numCache>
            </c:numRef>
          </c:yVal>
          <c:smooth val="0"/>
          <c:extLst>
            <c:ext xmlns:c16="http://schemas.microsoft.com/office/drawing/2014/chart" uri="{C3380CC4-5D6E-409C-BE32-E72D297353CC}">
              <c16:uniqueId val="{00000007-AD56-4978-8EB1-DCC2A96CF254}"/>
            </c:ext>
          </c:extLst>
        </c:ser>
        <c:dLbls>
          <c:showLegendKey val="0"/>
          <c:showVal val="0"/>
          <c:showCatName val="0"/>
          <c:showSerName val="0"/>
          <c:showPercent val="0"/>
          <c:showBubbleSize val="0"/>
        </c:dLbls>
        <c:axId val="314595056"/>
        <c:axId val="314594640"/>
      </c:scatterChart>
      <c:valAx>
        <c:axId val="314595056"/>
        <c:scaling>
          <c:orientation val="minMax"/>
          <c:max val="21"/>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4640"/>
        <c:crosses val="autoZero"/>
        <c:crossBetween val="midCat"/>
      </c:valAx>
      <c:valAx>
        <c:axId val="314594640"/>
        <c:scaling>
          <c:orientation val="minMax"/>
          <c:max val="0.13591806400000003"/>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5056"/>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2021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5049999999999999"/>
          <c:w val="0.76524153230846148"/>
          <c:h val="0.69725940507436557"/>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808F0577-9717-4EC2-A0A0-E8D94AC5EE9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3A59-4994-BCA8-3E97A7CE311C}"/>
                </c:ext>
              </c:extLst>
            </c:dLbl>
            <c:dLbl>
              <c:idx val="1"/>
              <c:tx>
                <c:rich>
                  <a:bodyPr/>
                  <a:lstStyle/>
                  <a:p>
                    <a:fld id="{54613B37-B23E-4388-8C1F-33C058B58443}"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3A59-4994-BCA8-3E97A7CE311C}"/>
                </c:ext>
              </c:extLst>
            </c:dLbl>
            <c:dLbl>
              <c:idx val="2"/>
              <c:tx>
                <c:rich>
                  <a:bodyPr/>
                  <a:lstStyle/>
                  <a:p>
                    <a:fld id="{E780A743-B09C-4894-8A44-0B070E85AEF3}"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3A59-4994-BCA8-3E97A7CE311C}"/>
                </c:ext>
              </c:extLst>
            </c:dLbl>
            <c:dLbl>
              <c:idx val="3"/>
              <c:tx>
                <c:rich>
                  <a:bodyPr/>
                  <a:lstStyle/>
                  <a:p>
                    <a:fld id="{F47A7ABD-0EF2-4B6C-9F41-17C42018C340}"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3A59-4994-BCA8-3E97A7CE311C}"/>
                </c:ext>
              </c:extLst>
            </c:dLbl>
            <c:dLbl>
              <c:idx val="4"/>
              <c:tx>
                <c:rich>
                  <a:bodyPr/>
                  <a:lstStyle/>
                  <a:p>
                    <a:fld id="{1BB5D072-74EE-4137-B43D-F435DC37F835}"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3A59-4994-BCA8-3E97A7CE311C}"/>
                </c:ext>
              </c:extLst>
            </c:dLbl>
            <c:dLbl>
              <c:idx val="5"/>
              <c:tx>
                <c:rich>
                  <a:bodyPr/>
                  <a:lstStyle/>
                  <a:p>
                    <a:fld id="{72F3171F-8471-43FA-B3F0-7D3997D6C1B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3A59-4994-BCA8-3E97A7CE311C}"/>
                </c:ext>
              </c:extLst>
            </c:dLbl>
            <c:dLbl>
              <c:idx val="6"/>
              <c:tx>
                <c:rich>
                  <a:bodyPr/>
                  <a:lstStyle/>
                  <a:p>
                    <a:fld id="{49AA101F-5AB4-40E0-9771-24473840DBDD}"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3A59-4994-BCA8-3E97A7CE311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Economic!$C$3:$C$9</c:f>
              <c:numCache>
                <c:formatCode>General</c:formatCode>
                <c:ptCount val="7"/>
                <c:pt idx="0">
                  <c:v>13</c:v>
                </c:pt>
                <c:pt idx="1">
                  <c:v>12</c:v>
                </c:pt>
                <c:pt idx="2">
                  <c:v>11</c:v>
                </c:pt>
                <c:pt idx="3">
                  <c:v>6</c:v>
                </c:pt>
                <c:pt idx="4">
                  <c:v>18</c:v>
                </c:pt>
                <c:pt idx="5">
                  <c:v>20</c:v>
                </c:pt>
                <c:pt idx="6">
                  <c:v>13</c:v>
                </c:pt>
              </c:numCache>
            </c:numRef>
          </c:xVal>
          <c:yVal>
            <c:numRef>
              <c:f>Economic!$D$3:$D$9</c:f>
              <c:numCache>
                <c:formatCode>General</c:formatCode>
                <c:ptCount val="7"/>
                <c:pt idx="0">
                  <c:v>6.8878406168098733E-2</c:v>
                </c:pt>
                <c:pt idx="1">
                  <c:v>7.9755061324476753E-2</c:v>
                </c:pt>
                <c:pt idx="2">
                  <c:v>3.8347545168688678E-2</c:v>
                </c:pt>
                <c:pt idx="3">
                  <c:v>4.9553566413469495E-2</c:v>
                </c:pt>
                <c:pt idx="4">
                  <c:v>4.5554685310264395E-2</c:v>
                </c:pt>
                <c:pt idx="5">
                  <c:v>7.5340585320261361E-2</c:v>
                </c:pt>
                <c:pt idx="6">
                  <c:v>3.3623702626766235E-2</c:v>
                </c:pt>
              </c:numCache>
            </c:numRef>
          </c:yVal>
          <c:smooth val="0"/>
          <c:extLst>
            <c:ext xmlns:c15="http://schemas.microsoft.com/office/drawing/2012/chart" uri="{02D57815-91ED-43cb-92C2-25804820EDAC}">
              <c15:datalabelsRange>
                <c15:f>Economic!$B$3:$B$9</c15:f>
                <c15:dlblRangeCache>
                  <c:ptCount val="7"/>
                  <c:pt idx="0">
                    <c:v>MRF</c:v>
                  </c:pt>
                  <c:pt idx="1">
                    <c:v>MRB</c:v>
                  </c:pt>
                  <c:pt idx="2">
                    <c:v>MRC</c:v>
                  </c:pt>
                  <c:pt idx="3">
                    <c:v>MRE</c:v>
                  </c:pt>
                  <c:pt idx="4">
                    <c:v>COM</c:v>
                  </c:pt>
                  <c:pt idx="5">
                    <c:v>GEC</c:v>
                  </c:pt>
                  <c:pt idx="6">
                    <c:v>STR</c:v>
                  </c:pt>
                </c15:dlblRangeCache>
              </c15:datalabelsRange>
            </c:ext>
            <c:ext xmlns:c16="http://schemas.microsoft.com/office/drawing/2014/chart" uri="{C3380CC4-5D6E-409C-BE32-E72D297353CC}">
              <c16:uniqueId val="{00000007-3A59-4994-BCA8-3E97A7CE311C}"/>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Economic!$C$11:$C$12</c:f>
              <c:numCache>
                <c:formatCode>General</c:formatCode>
                <c:ptCount val="2"/>
                <c:pt idx="0">
                  <c:v>0</c:v>
                </c:pt>
                <c:pt idx="1">
                  <c:v>21</c:v>
                </c:pt>
              </c:numCache>
            </c:numRef>
          </c:xVal>
          <c:yVal>
            <c:numRef>
              <c:f>Economic!$D$11:$D$12</c:f>
              <c:numCache>
                <c:formatCode>General</c:formatCode>
                <c:ptCount val="2"/>
                <c:pt idx="0">
                  <c:v>5.6368289429504011E-2</c:v>
                </c:pt>
                <c:pt idx="1">
                  <c:v>5.6368289429504011E-2</c:v>
                </c:pt>
              </c:numCache>
            </c:numRef>
          </c:yVal>
          <c:smooth val="0"/>
          <c:extLst>
            <c:ext xmlns:c16="http://schemas.microsoft.com/office/drawing/2014/chart" uri="{C3380CC4-5D6E-409C-BE32-E72D297353CC}">
              <c16:uniqueId val="{00000008-3A59-4994-BCA8-3E97A7CE311C}"/>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Economic!$C$16:$C$17</c:f>
              <c:numCache>
                <c:formatCode>General</c:formatCode>
                <c:ptCount val="2"/>
                <c:pt idx="0">
                  <c:v>13.4</c:v>
                </c:pt>
                <c:pt idx="1">
                  <c:v>13.4</c:v>
                </c:pt>
              </c:numCache>
            </c:numRef>
          </c:xVal>
          <c:yVal>
            <c:numRef>
              <c:f>Economic!$D$16:$D$17</c:f>
              <c:numCache>
                <c:formatCode>0.00</c:formatCode>
                <c:ptCount val="2"/>
                <c:pt idx="0" formatCode="General">
                  <c:v>0</c:v>
                </c:pt>
                <c:pt idx="1">
                  <c:v>0.15394838422728568</c:v>
                </c:pt>
              </c:numCache>
            </c:numRef>
          </c:yVal>
          <c:smooth val="0"/>
          <c:extLst>
            <c:ext xmlns:c16="http://schemas.microsoft.com/office/drawing/2014/chart" uri="{C3380CC4-5D6E-409C-BE32-E72D297353CC}">
              <c16:uniqueId val="{00000009-3A59-4994-BCA8-3E97A7CE311C}"/>
            </c:ext>
          </c:extLst>
        </c:ser>
        <c:dLbls>
          <c:showLegendKey val="0"/>
          <c:showVal val="0"/>
          <c:showCatName val="0"/>
          <c:showSerName val="0"/>
          <c:showPercent val="0"/>
          <c:showBubbleSize val="0"/>
        </c:dLbls>
        <c:axId val="340807024"/>
        <c:axId val="423992384"/>
      </c:scatterChart>
      <c:valAx>
        <c:axId val="340807024"/>
        <c:scaling>
          <c:orientation val="minMax"/>
          <c:max val="21"/>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92384"/>
        <c:crosses val="autoZero"/>
        <c:crossBetween val="midCat"/>
      </c:valAx>
      <c:valAx>
        <c:axId val="423992384"/>
        <c:scaling>
          <c:orientation val="minMax"/>
          <c:max val="0.15394838400000008"/>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807024"/>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2020</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4494444444444443"/>
          <c:w val="0.76524153230846148"/>
          <c:h val="0.70950962379702531"/>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CEAB198F-FFEC-4D92-B127-0479F115FE49}"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1F7A-4E92-A4F4-844A481A1936}"/>
                </c:ext>
              </c:extLst>
            </c:dLbl>
            <c:dLbl>
              <c:idx val="1"/>
              <c:tx>
                <c:rich>
                  <a:bodyPr/>
                  <a:lstStyle/>
                  <a:p>
                    <a:fld id="{9C6BE450-1F82-4FEB-82DB-F70FA6A15C2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1F7A-4E92-A4F4-844A481A1936}"/>
                </c:ext>
              </c:extLst>
            </c:dLbl>
            <c:dLbl>
              <c:idx val="2"/>
              <c:tx>
                <c:rich>
                  <a:bodyPr/>
                  <a:lstStyle/>
                  <a:p>
                    <a:fld id="{F02AE44D-9BE6-41FF-A0F5-AE7C26D24DE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1F7A-4E92-A4F4-844A481A1936}"/>
                </c:ext>
              </c:extLst>
            </c:dLbl>
            <c:dLbl>
              <c:idx val="3"/>
              <c:tx>
                <c:rich>
                  <a:bodyPr/>
                  <a:lstStyle/>
                  <a:p>
                    <a:fld id="{F85C2086-BFFF-47F2-915A-D8DB0E4715FE}"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1F7A-4E92-A4F4-844A481A1936}"/>
                </c:ext>
              </c:extLst>
            </c:dLbl>
            <c:dLbl>
              <c:idx val="4"/>
              <c:tx>
                <c:rich>
                  <a:bodyPr/>
                  <a:lstStyle/>
                  <a:p>
                    <a:fld id="{C6EF985D-F0C9-4F25-8701-F3F653BC27B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1F7A-4E92-A4F4-844A481A1936}"/>
                </c:ext>
              </c:extLst>
            </c:dLbl>
            <c:dLbl>
              <c:idx val="5"/>
              <c:tx>
                <c:rich>
                  <a:bodyPr/>
                  <a:lstStyle/>
                  <a:p>
                    <a:fld id="{E54A86C3-8D16-49A8-9E59-93420034E138}"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1F7A-4E92-A4F4-844A481A1936}"/>
                </c:ext>
              </c:extLst>
            </c:dLbl>
            <c:dLbl>
              <c:idx val="6"/>
              <c:tx>
                <c:rich>
                  <a:bodyPr/>
                  <a:lstStyle/>
                  <a:p>
                    <a:fld id="{924341F9-2195-416E-945E-AE3D5E8ABC3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1F7A-4E92-A4F4-844A481A193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Economic!$C$25:$C$31</c:f>
              <c:numCache>
                <c:formatCode>General</c:formatCode>
                <c:ptCount val="7"/>
                <c:pt idx="0">
                  <c:v>14</c:v>
                </c:pt>
                <c:pt idx="1">
                  <c:v>14</c:v>
                </c:pt>
                <c:pt idx="2">
                  <c:v>12</c:v>
                </c:pt>
                <c:pt idx="3">
                  <c:v>6</c:v>
                </c:pt>
                <c:pt idx="4">
                  <c:v>19</c:v>
                </c:pt>
                <c:pt idx="5">
                  <c:v>18</c:v>
                </c:pt>
                <c:pt idx="6">
                  <c:v>14</c:v>
                </c:pt>
              </c:numCache>
            </c:numRef>
          </c:xVal>
          <c:yVal>
            <c:numRef>
              <c:f>Economic!$D$25:$D$31</c:f>
              <c:numCache>
                <c:formatCode>General</c:formatCode>
                <c:ptCount val="7"/>
                <c:pt idx="0">
                  <c:v>7.1323323006461506E-2</c:v>
                </c:pt>
                <c:pt idx="1">
                  <c:v>8.1366603832414328E-2</c:v>
                </c:pt>
                <c:pt idx="2">
                  <c:v>4.5305538337345408E-2</c:v>
                </c:pt>
                <c:pt idx="3">
                  <c:v>4.9289367977111954E-2</c:v>
                </c:pt>
                <c:pt idx="4">
                  <c:v>4.7041453924346888E-2</c:v>
                </c:pt>
                <c:pt idx="5">
                  <c:v>7.334469809775343E-2</c:v>
                </c:pt>
                <c:pt idx="6">
                  <c:v>3.5893347226022956E-2</c:v>
                </c:pt>
              </c:numCache>
            </c:numRef>
          </c:yVal>
          <c:smooth val="0"/>
          <c:extLst>
            <c:ext xmlns:c15="http://schemas.microsoft.com/office/drawing/2012/chart" uri="{02D57815-91ED-43cb-92C2-25804820EDAC}">
              <c15:datalabelsRange>
                <c15:f>Economic!$B$25:$B$31</c15:f>
                <c15:dlblRangeCache>
                  <c:ptCount val="7"/>
                  <c:pt idx="0">
                    <c:v>MRF</c:v>
                  </c:pt>
                  <c:pt idx="1">
                    <c:v>MRB</c:v>
                  </c:pt>
                  <c:pt idx="2">
                    <c:v>MRC</c:v>
                  </c:pt>
                  <c:pt idx="3">
                    <c:v>MRE</c:v>
                  </c:pt>
                  <c:pt idx="4">
                    <c:v>COM</c:v>
                  </c:pt>
                  <c:pt idx="5">
                    <c:v>GEC</c:v>
                  </c:pt>
                  <c:pt idx="6">
                    <c:v>STR</c:v>
                  </c:pt>
                </c15:dlblRangeCache>
              </c15:datalabelsRange>
            </c:ext>
            <c:ext xmlns:c16="http://schemas.microsoft.com/office/drawing/2014/chart" uri="{C3380CC4-5D6E-409C-BE32-E72D297353CC}">
              <c16:uniqueId val="{00000007-1F7A-4E92-A4F4-844A481A1936}"/>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Economic!$C$33:$C$34</c:f>
              <c:numCache>
                <c:formatCode>General</c:formatCode>
                <c:ptCount val="2"/>
                <c:pt idx="0">
                  <c:v>0</c:v>
                </c:pt>
                <c:pt idx="1">
                  <c:v>22</c:v>
                </c:pt>
              </c:numCache>
            </c:numRef>
          </c:xVal>
          <c:yVal>
            <c:numRef>
              <c:f>Economic!$D$33:$D$34</c:f>
              <c:numCache>
                <c:formatCode>General</c:formatCode>
                <c:ptCount val="2"/>
                <c:pt idx="0">
                  <c:v>5.6554202034834154E-2</c:v>
                </c:pt>
                <c:pt idx="1">
                  <c:v>5.6554202034834154E-2</c:v>
                </c:pt>
              </c:numCache>
            </c:numRef>
          </c:yVal>
          <c:smooth val="0"/>
          <c:extLst>
            <c:ext xmlns:c16="http://schemas.microsoft.com/office/drawing/2014/chart" uri="{C3380CC4-5D6E-409C-BE32-E72D297353CC}">
              <c16:uniqueId val="{00000008-1F7A-4E92-A4F4-844A481A1936}"/>
            </c:ext>
          </c:extLst>
        </c:ser>
        <c:ser>
          <c:idx val="2"/>
          <c:order val="2"/>
          <c:tx>
            <c:strRef>
              <c:f>Economic!$C$38:$C$39</c:f>
              <c:strCache>
                <c:ptCount val="2"/>
                <c:pt idx="0">
                  <c:v>14</c:v>
                </c:pt>
                <c:pt idx="1">
                  <c:v>14</c:v>
                </c:pt>
              </c:strCache>
            </c:strRef>
          </c:tx>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Economic!$C$38:$C$39</c:f>
              <c:numCache>
                <c:formatCode>General</c:formatCode>
                <c:ptCount val="2"/>
                <c:pt idx="0">
                  <c:v>14</c:v>
                </c:pt>
                <c:pt idx="1">
                  <c:v>14</c:v>
                </c:pt>
              </c:numCache>
            </c:numRef>
          </c:xVal>
          <c:yVal>
            <c:numRef>
              <c:f>Economic!$D$38:$D$39</c:f>
              <c:numCache>
                <c:formatCode>General</c:formatCode>
                <c:ptCount val="2"/>
                <c:pt idx="0">
                  <c:v>0</c:v>
                </c:pt>
                <c:pt idx="1">
                  <c:v>0.15103688125363621</c:v>
                </c:pt>
              </c:numCache>
            </c:numRef>
          </c:yVal>
          <c:smooth val="0"/>
          <c:extLst>
            <c:ext xmlns:c16="http://schemas.microsoft.com/office/drawing/2014/chart" uri="{C3380CC4-5D6E-409C-BE32-E72D297353CC}">
              <c16:uniqueId val="{00000009-1F7A-4E92-A4F4-844A481A1936}"/>
            </c:ext>
          </c:extLst>
        </c:ser>
        <c:dLbls>
          <c:showLegendKey val="0"/>
          <c:showVal val="0"/>
          <c:showCatName val="0"/>
          <c:showSerName val="0"/>
          <c:showPercent val="0"/>
          <c:showBubbleSize val="0"/>
        </c:dLbls>
        <c:axId val="320434688"/>
        <c:axId val="320432192"/>
      </c:scatterChart>
      <c:valAx>
        <c:axId val="320434688"/>
        <c:scaling>
          <c:orientation val="minMax"/>
          <c:max val="2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2192"/>
        <c:crosses val="autoZero"/>
        <c:crossBetween val="midCat"/>
      </c:valAx>
      <c:valAx>
        <c:axId val="320432192"/>
        <c:scaling>
          <c:orientation val="minMax"/>
          <c:max val="0.15103688100000004"/>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4688"/>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2019</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36673540807399"/>
          <c:y val="0.16716666666666666"/>
          <c:w val="0.74458661417322836"/>
          <c:h val="0.68059273840769918"/>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8B7E2F0B-9519-42BB-AB75-13F97959E21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A4E0-4140-91B2-45B32E84340B}"/>
                </c:ext>
              </c:extLst>
            </c:dLbl>
            <c:dLbl>
              <c:idx val="1"/>
              <c:tx>
                <c:rich>
                  <a:bodyPr/>
                  <a:lstStyle/>
                  <a:p>
                    <a:fld id="{DB1D881B-A445-4E56-B9D8-0B620D97FAC0}"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A4E0-4140-91B2-45B32E84340B}"/>
                </c:ext>
              </c:extLst>
            </c:dLbl>
            <c:dLbl>
              <c:idx val="2"/>
              <c:tx>
                <c:rich>
                  <a:bodyPr/>
                  <a:lstStyle/>
                  <a:p>
                    <a:fld id="{1CE3F8FD-B66A-4807-B60E-32B9769D7E3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A4E0-4140-91B2-45B32E84340B}"/>
                </c:ext>
              </c:extLst>
            </c:dLbl>
            <c:dLbl>
              <c:idx val="3"/>
              <c:tx>
                <c:rich>
                  <a:bodyPr/>
                  <a:lstStyle/>
                  <a:p>
                    <a:fld id="{304EF8E6-AECD-408C-90DB-19FEA96EEB35}"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A4E0-4140-91B2-45B32E84340B}"/>
                </c:ext>
              </c:extLst>
            </c:dLbl>
            <c:dLbl>
              <c:idx val="4"/>
              <c:tx>
                <c:rich>
                  <a:bodyPr/>
                  <a:lstStyle/>
                  <a:p>
                    <a:fld id="{175242AE-2CEB-4F85-9476-A7313105FD8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A4E0-4140-91B2-45B32E84340B}"/>
                </c:ext>
              </c:extLst>
            </c:dLbl>
            <c:dLbl>
              <c:idx val="5"/>
              <c:tx>
                <c:rich>
                  <a:bodyPr/>
                  <a:lstStyle/>
                  <a:p>
                    <a:fld id="{23252BAF-F626-4AC4-905E-20DB42D269E3}"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A4E0-4140-91B2-45B32E84340B}"/>
                </c:ext>
              </c:extLst>
            </c:dLbl>
            <c:dLbl>
              <c:idx val="6"/>
              <c:tx>
                <c:rich>
                  <a:bodyPr/>
                  <a:lstStyle/>
                  <a:p>
                    <a:fld id="{AE7E4EA3-93E2-4BC2-94D3-F822112DC8B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A4E0-4140-91B2-45B32E84340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Economic!$C$51:$C$57</c:f>
              <c:numCache>
                <c:formatCode>General</c:formatCode>
                <c:ptCount val="7"/>
                <c:pt idx="0">
                  <c:v>15</c:v>
                </c:pt>
                <c:pt idx="1">
                  <c:v>11</c:v>
                </c:pt>
                <c:pt idx="2">
                  <c:v>14</c:v>
                </c:pt>
                <c:pt idx="3">
                  <c:v>6</c:v>
                </c:pt>
                <c:pt idx="4">
                  <c:v>17</c:v>
                </c:pt>
                <c:pt idx="5">
                  <c:v>16</c:v>
                </c:pt>
                <c:pt idx="6">
                  <c:v>14</c:v>
                </c:pt>
              </c:numCache>
            </c:numRef>
          </c:xVal>
          <c:yVal>
            <c:numRef>
              <c:f>Economic!$D$51:$D$57</c:f>
              <c:numCache>
                <c:formatCode>General</c:formatCode>
                <c:ptCount val="7"/>
                <c:pt idx="0">
                  <c:v>6.440292361729083E-2</c:v>
                </c:pt>
                <c:pt idx="1">
                  <c:v>0.11235557262003487</c:v>
                </c:pt>
                <c:pt idx="2">
                  <c:v>5.1362872912073421E-2</c:v>
                </c:pt>
                <c:pt idx="3">
                  <c:v>3.4755920640454803E-2</c:v>
                </c:pt>
                <c:pt idx="4">
                  <c:v>4.747441043519407E-2</c:v>
                </c:pt>
                <c:pt idx="5">
                  <c:v>7.4362548016589064E-2</c:v>
                </c:pt>
                <c:pt idx="6">
                  <c:v>2.9130738001774664E-2</c:v>
                </c:pt>
              </c:numCache>
            </c:numRef>
          </c:yVal>
          <c:smooth val="0"/>
          <c:extLst>
            <c:ext xmlns:c15="http://schemas.microsoft.com/office/drawing/2012/chart" uri="{02D57815-91ED-43cb-92C2-25804820EDAC}">
              <c15:datalabelsRange>
                <c15:f>Economic!$B$51:$B$57</c15:f>
                <c15:dlblRangeCache>
                  <c:ptCount val="7"/>
                  <c:pt idx="0">
                    <c:v>MRF</c:v>
                  </c:pt>
                  <c:pt idx="1">
                    <c:v>MRB</c:v>
                  </c:pt>
                  <c:pt idx="2">
                    <c:v>MRC</c:v>
                  </c:pt>
                  <c:pt idx="3">
                    <c:v>MRE</c:v>
                  </c:pt>
                  <c:pt idx="4">
                    <c:v>COM</c:v>
                  </c:pt>
                  <c:pt idx="5">
                    <c:v>GEC</c:v>
                  </c:pt>
                  <c:pt idx="6">
                    <c:v>STR</c:v>
                  </c:pt>
                </c15:dlblRangeCache>
              </c15:datalabelsRange>
            </c:ext>
            <c:ext xmlns:c16="http://schemas.microsoft.com/office/drawing/2014/chart" uri="{C3380CC4-5D6E-409C-BE32-E72D297353CC}">
              <c16:uniqueId val="{00000007-A4E0-4140-91B2-45B32E84340B}"/>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Economic!$C$59:$C$60</c:f>
              <c:numCache>
                <c:formatCode>General</c:formatCode>
                <c:ptCount val="2"/>
                <c:pt idx="0">
                  <c:v>0</c:v>
                </c:pt>
                <c:pt idx="1">
                  <c:v>21</c:v>
                </c:pt>
              </c:numCache>
            </c:numRef>
          </c:xVal>
          <c:yVal>
            <c:numRef>
              <c:f>Economic!$D$59:$D$60</c:f>
              <c:numCache>
                <c:formatCode>General</c:formatCode>
                <c:ptCount val="2"/>
                <c:pt idx="0">
                  <c:v>5.6137770630382826E-2</c:v>
                </c:pt>
                <c:pt idx="1">
                  <c:v>5.6137770630382826E-2</c:v>
                </c:pt>
              </c:numCache>
            </c:numRef>
          </c:yVal>
          <c:smooth val="0"/>
          <c:extLst>
            <c:ext xmlns:c16="http://schemas.microsoft.com/office/drawing/2014/chart" uri="{C3380CC4-5D6E-409C-BE32-E72D297353CC}">
              <c16:uniqueId val="{00000008-A4E0-4140-91B2-45B32E84340B}"/>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Economic!$C$64:$C$65</c:f>
              <c:numCache>
                <c:formatCode>General</c:formatCode>
                <c:ptCount val="2"/>
                <c:pt idx="0">
                  <c:v>13.8</c:v>
                </c:pt>
                <c:pt idx="1">
                  <c:v>13.8</c:v>
                </c:pt>
              </c:numCache>
            </c:numRef>
          </c:xVal>
          <c:yVal>
            <c:numRef>
              <c:f>Economic!$D$64:$D$65</c:f>
              <c:numCache>
                <c:formatCode>0.00</c:formatCode>
                <c:ptCount val="2"/>
                <c:pt idx="0" formatCode="General">
                  <c:v>0</c:v>
                </c:pt>
                <c:pt idx="1">
                  <c:v>0.14617558799295174</c:v>
                </c:pt>
              </c:numCache>
            </c:numRef>
          </c:yVal>
          <c:smooth val="0"/>
          <c:extLst>
            <c:ext xmlns:c16="http://schemas.microsoft.com/office/drawing/2014/chart" uri="{C3380CC4-5D6E-409C-BE32-E72D297353CC}">
              <c16:uniqueId val="{00000009-A4E0-4140-91B2-45B32E84340B}"/>
            </c:ext>
          </c:extLst>
        </c:ser>
        <c:dLbls>
          <c:showLegendKey val="0"/>
          <c:showVal val="0"/>
          <c:showCatName val="0"/>
          <c:showSerName val="0"/>
          <c:showPercent val="0"/>
          <c:showBubbleSize val="0"/>
        </c:dLbls>
        <c:axId val="426555360"/>
        <c:axId val="426551200"/>
      </c:scatterChart>
      <c:valAx>
        <c:axId val="426555360"/>
        <c:scaling>
          <c:orientation val="minMax"/>
          <c:max val="21"/>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1200"/>
        <c:crosses val="autoZero"/>
        <c:crossBetween val="midCat"/>
      </c:valAx>
      <c:valAx>
        <c:axId val="426551200"/>
        <c:scaling>
          <c:orientation val="minMax"/>
          <c:max val="0.146175588"/>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5360"/>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2018</a:t>
            </a:r>
          </a:p>
        </c:rich>
      </c:tx>
      <c:layout>
        <c:manualLayout>
          <c:xMode val="edge"/>
          <c:yMode val="edge"/>
          <c:x val="0.28488970128733909"/>
          <c:y val="3.240726159230096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6161111111111115"/>
          <c:w val="0.76524153230846148"/>
          <c:h val="0.68614829396325472"/>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D6FA5CDF-D64F-4EDB-9A73-7B6458F03AF3}"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29D9-4385-A296-48822F9DBBE1}"/>
                </c:ext>
              </c:extLst>
            </c:dLbl>
            <c:dLbl>
              <c:idx val="1"/>
              <c:tx>
                <c:rich>
                  <a:bodyPr/>
                  <a:lstStyle/>
                  <a:p>
                    <a:fld id="{0802C597-A58E-4A1B-B2D3-141E6661839B}"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29D9-4385-A296-48822F9DBBE1}"/>
                </c:ext>
              </c:extLst>
            </c:dLbl>
            <c:dLbl>
              <c:idx val="2"/>
              <c:tx>
                <c:rich>
                  <a:bodyPr/>
                  <a:lstStyle/>
                  <a:p>
                    <a:fld id="{A3C18AE2-AB11-40B4-8B53-501ED5B5E2C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29D9-4385-A296-48822F9DBBE1}"/>
                </c:ext>
              </c:extLst>
            </c:dLbl>
            <c:dLbl>
              <c:idx val="3"/>
              <c:tx>
                <c:rich>
                  <a:bodyPr/>
                  <a:lstStyle/>
                  <a:p>
                    <a:fld id="{4EE1E8A4-2418-426A-BFF4-F60BAC19B4AB}"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29D9-4385-A296-48822F9DBBE1}"/>
                </c:ext>
              </c:extLst>
            </c:dLbl>
            <c:dLbl>
              <c:idx val="4"/>
              <c:tx>
                <c:rich>
                  <a:bodyPr/>
                  <a:lstStyle/>
                  <a:p>
                    <a:fld id="{4FDC3C40-F50E-44C9-8249-A7C3BCAA0E9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29D9-4385-A296-48822F9DBBE1}"/>
                </c:ext>
              </c:extLst>
            </c:dLbl>
            <c:dLbl>
              <c:idx val="5"/>
              <c:tx>
                <c:rich>
                  <a:bodyPr/>
                  <a:lstStyle/>
                  <a:p>
                    <a:fld id="{85C3E3E0-D85D-45CE-B8CE-05A8B61276D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29D9-4385-A296-48822F9DBBE1}"/>
                </c:ext>
              </c:extLst>
            </c:dLbl>
            <c:dLbl>
              <c:idx val="6"/>
              <c:tx>
                <c:rich>
                  <a:bodyPr/>
                  <a:lstStyle/>
                  <a:p>
                    <a:fld id="{C036450B-71E7-40EF-BA9F-24E6FCA1E4AD}"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29D9-4385-A296-48822F9DBBE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Economic!$C$76:$C$82</c:f>
              <c:numCache>
                <c:formatCode>General</c:formatCode>
                <c:ptCount val="7"/>
                <c:pt idx="0">
                  <c:v>16</c:v>
                </c:pt>
                <c:pt idx="1">
                  <c:v>12</c:v>
                </c:pt>
                <c:pt idx="2">
                  <c:v>14</c:v>
                </c:pt>
                <c:pt idx="3">
                  <c:v>6</c:v>
                </c:pt>
                <c:pt idx="4">
                  <c:v>17</c:v>
                </c:pt>
                <c:pt idx="5">
                  <c:v>17</c:v>
                </c:pt>
                <c:pt idx="6">
                  <c:v>14</c:v>
                </c:pt>
              </c:numCache>
            </c:numRef>
          </c:xVal>
          <c:yVal>
            <c:numRef>
              <c:f>Economic!$D$76:$D$82</c:f>
              <c:numCache>
                <c:formatCode>General</c:formatCode>
                <c:ptCount val="7"/>
                <c:pt idx="0">
                  <c:v>6.9408413273685882E-2</c:v>
                </c:pt>
                <c:pt idx="1">
                  <c:v>0.11174931163073466</c:v>
                </c:pt>
                <c:pt idx="2">
                  <c:v>5.2388606611399956E-2</c:v>
                </c:pt>
                <c:pt idx="3">
                  <c:v>5.1739742859484177E-2</c:v>
                </c:pt>
                <c:pt idx="4">
                  <c:v>5.6074558347641586E-2</c:v>
                </c:pt>
                <c:pt idx="5">
                  <c:v>7.7461951042897048E-2</c:v>
                </c:pt>
                <c:pt idx="6">
                  <c:v>2.1237901652912759E-2</c:v>
                </c:pt>
              </c:numCache>
            </c:numRef>
          </c:yVal>
          <c:smooth val="0"/>
          <c:extLst>
            <c:ext xmlns:c15="http://schemas.microsoft.com/office/drawing/2012/chart" uri="{02D57815-91ED-43cb-92C2-25804820EDAC}">
              <c15:datalabelsRange>
                <c15:f>Economic!$B$76:$B$82</c15:f>
                <c15:dlblRangeCache>
                  <c:ptCount val="7"/>
                  <c:pt idx="0">
                    <c:v>MRF</c:v>
                  </c:pt>
                  <c:pt idx="1">
                    <c:v>MRB</c:v>
                  </c:pt>
                  <c:pt idx="2">
                    <c:v>MRC</c:v>
                  </c:pt>
                  <c:pt idx="3">
                    <c:v>MRE</c:v>
                  </c:pt>
                  <c:pt idx="4">
                    <c:v>COM</c:v>
                  </c:pt>
                  <c:pt idx="5">
                    <c:v>GEC</c:v>
                  </c:pt>
                  <c:pt idx="6">
                    <c:v>STR</c:v>
                  </c:pt>
                </c15:dlblRangeCache>
              </c15:datalabelsRange>
            </c:ext>
            <c:ext xmlns:c16="http://schemas.microsoft.com/office/drawing/2014/chart" uri="{C3380CC4-5D6E-409C-BE32-E72D297353CC}">
              <c16:uniqueId val="{00000007-29D9-4385-A296-48822F9DBBE1}"/>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Economic!$C$84:$C$85</c:f>
              <c:numCache>
                <c:formatCode>General</c:formatCode>
                <c:ptCount val="2"/>
                <c:pt idx="0">
                  <c:v>0</c:v>
                </c:pt>
                <c:pt idx="1">
                  <c:v>21</c:v>
                </c:pt>
              </c:numCache>
            </c:numRef>
          </c:xVal>
          <c:yVal>
            <c:numRef>
              <c:f>Economic!$D$84:$D$85</c:f>
              <c:numCache>
                <c:formatCode>General</c:formatCode>
                <c:ptCount val="2"/>
                <c:pt idx="0">
                  <c:v>5.6830165929940897E-2</c:v>
                </c:pt>
                <c:pt idx="1">
                  <c:v>5.6830165929940897E-2</c:v>
                </c:pt>
              </c:numCache>
            </c:numRef>
          </c:yVal>
          <c:smooth val="0"/>
          <c:extLst>
            <c:ext xmlns:c16="http://schemas.microsoft.com/office/drawing/2014/chart" uri="{C3380CC4-5D6E-409C-BE32-E72D297353CC}">
              <c16:uniqueId val="{00000008-29D9-4385-A296-48822F9DBBE1}"/>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Economic!$C$89:$C$90</c:f>
              <c:numCache>
                <c:formatCode>General</c:formatCode>
                <c:ptCount val="2"/>
                <c:pt idx="0">
                  <c:v>13.92</c:v>
                </c:pt>
                <c:pt idx="1">
                  <c:v>13.92</c:v>
                </c:pt>
              </c:numCache>
            </c:numRef>
          </c:xVal>
          <c:yVal>
            <c:numRef>
              <c:f>Economic!$D$89:$D$90</c:f>
              <c:numCache>
                <c:formatCode>0.00</c:formatCode>
                <c:ptCount val="2"/>
                <c:pt idx="0" formatCode="General">
                  <c:v>0</c:v>
                </c:pt>
                <c:pt idx="1">
                  <c:v>0.13591806377731477</c:v>
                </c:pt>
              </c:numCache>
            </c:numRef>
          </c:yVal>
          <c:smooth val="0"/>
          <c:extLst>
            <c:ext xmlns:c16="http://schemas.microsoft.com/office/drawing/2014/chart" uri="{C3380CC4-5D6E-409C-BE32-E72D297353CC}">
              <c16:uniqueId val="{00000009-29D9-4385-A296-48822F9DBBE1}"/>
            </c:ext>
          </c:extLst>
        </c:ser>
        <c:dLbls>
          <c:showLegendKey val="0"/>
          <c:showVal val="0"/>
          <c:showCatName val="0"/>
          <c:showSerName val="0"/>
          <c:showPercent val="0"/>
          <c:showBubbleSize val="0"/>
        </c:dLbls>
        <c:axId val="314595056"/>
        <c:axId val="314594640"/>
      </c:scatterChart>
      <c:valAx>
        <c:axId val="314595056"/>
        <c:scaling>
          <c:orientation val="minMax"/>
          <c:max val="21"/>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4640"/>
        <c:crosses val="autoZero"/>
        <c:crossBetween val="midCat"/>
      </c:valAx>
      <c:valAx>
        <c:axId val="314594640"/>
        <c:scaling>
          <c:orientation val="minMax"/>
          <c:max val="0.13591806400000003"/>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5056"/>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2021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5049999999999999"/>
          <c:w val="0.76524153230846148"/>
          <c:h val="0.69725940507436568"/>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5186013A-D599-44EF-844B-9A4F743BA3F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269A-40D1-A695-A5452FAE1BD4}"/>
                </c:ext>
              </c:extLst>
            </c:dLbl>
            <c:dLbl>
              <c:idx val="1"/>
              <c:tx>
                <c:rich>
                  <a:bodyPr/>
                  <a:lstStyle/>
                  <a:p>
                    <a:fld id="{D4724E34-751E-4429-A71A-27F09930DEE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269A-40D1-A695-A5452FAE1BD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Social!$C$3:$C$4</c:f>
              <c:numCache>
                <c:formatCode>General</c:formatCode>
                <c:ptCount val="2"/>
                <c:pt idx="0">
                  <c:v>5</c:v>
                </c:pt>
                <c:pt idx="1">
                  <c:v>12</c:v>
                </c:pt>
              </c:numCache>
            </c:numRef>
          </c:xVal>
          <c:yVal>
            <c:numRef>
              <c:f>Social!$D$3:$D$4</c:f>
              <c:numCache>
                <c:formatCode>General</c:formatCode>
                <c:ptCount val="2"/>
                <c:pt idx="0">
                  <c:v>2.5100124643468297E-2</c:v>
                </c:pt>
                <c:pt idx="1">
                  <c:v>3.5594198928545817E-2</c:v>
                </c:pt>
              </c:numCache>
            </c:numRef>
          </c:yVal>
          <c:smooth val="0"/>
          <c:extLst>
            <c:ext xmlns:c15="http://schemas.microsoft.com/office/drawing/2012/chart" uri="{02D57815-91ED-43cb-92C2-25804820EDAC}">
              <c15:datalabelsRange>
                <c15:f>Social!$B$3:$B$4</c15:f>
                <c15:dlblRangeCache>
                  <c:ptCount val="2"/>
                  <c:pt idx="0">
                    <c:v>PUO</c:v>
                  </c:pt>
                  <c:pt idx="1">
                    <c:v>PUP</c:v>
                  </c:pt>
                </c15:dlblRangeCache>
              </c15:datalabelsRange>
            </c:ext>
            <c:ext xmlns:c16="http://schemas.microsoft.com/office/drawing/2014/chart" uri="{C3380CC4-5D6E-409C-BE32-E72D297353CC}">
              <c16:uniqueId val="{00000002-269A-40D1-A695-A5452FAE1BD4}"/>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Social!$C$6:$C$7</c:f>
              <c:numCache>
                <c:formatCode>General</c:formatCode>
                <c:ptCount val="2"/>
                <c:pt idx="0">
                  <c:v>0</c:v>
                </c:pt>
                <c:pt idx="1">
                  <c:v>21</c:v>
                </c:pt>
              </c:numCache>
            </c:numRef>
          </c:xVal>
          <c:yVal>
            <c:numRef>
              <c:f>Social!$D$6:$D$7</c:f>
              <c:numCache>
                <c:formatCode>General</c:formatCode>
                <c:ptCount val="2"/>
                <c:pt idx="0">
                  <c:v>5.6368289429504011E-2</c:v>
                </c:pt>
                <c:pt idx="1">
                  <c:v>5.6368289429504011E-2</c:v>
                </c:pt>
              </c:numCache>
            </c:numRef>
          </c:yVal>
          <c:smooth val="0"/>
          <c:extLst>
            <c:ext xmlns:c16="http://schemas.microsoft.com/office/drawing/2014/chart" uri="{C3380CC4-5D6E-409C-BE32-E72D297353CC}">
              <c16:uniqueId val="{00000003-269A-40D1-A695-A5452FAE1BD4}"/>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Social!$C$11:$C$12</c:f>
              <c:numCache>
                <c:formatCode>General</c:formatCode>
                <c:ptCount val="2"/>
                <c:pt idx="0">
                  <c:v>13.4</c:v>
                </c:pt>
                <c:pt idx="1">
                  <c:v>13.4</c:v>
                </c:pt>
              </c:numCache>
            </c:numRef>
          </c:xVal>
          <c:yVal>
            <c:numRef>
              <c:f>Social!$D$11:$D$12</c:f>
              <c:numCache>
                <c:formatCode>0.00</c:formatCode>
                <c:ptCount val="2"/>
                <c:pt idx="0" formatCode="General">
                  <c:v>0</c:v>
                </c:pt>
                <c:pt idx="1">
                  <c:v>0.15394838422728568</c:v>
                </c:pt>
              </c:numCache>
            </c:numRef>
          </c:yVal>
          <c:smooth val="0"/>
          <c:extLst>
            <c:ext xmlns:c16="http://schemas.microsoft.com/office/drawing/2014/chart" uri="{C3380CC4-5D6E-409C-BE32-E72D297353CC}">
              <c16:uniqueId val="{00000004-269A-40D1-A695-A5452FAE1BD4}"/>
            </c:ext>
          </c:extLst>
        </c:ser>
        <c:dLbls>
          <c:showLegendKey val="0"/>
          <c:showVal val="0"/>
          <c:showCatName val="0"/>
          <c:showSerName val="0"/>
          <c:showPercent val="0"/>
          <c:showBubbleSize val="0"/>
        </c:dLbls>
        <c:axId val="340807024"/>
        <c:axId val="423992384"/>
      </c:scatterChart>
      <c:valAx>
        <c:axId val="340807024"/>
        <c:scaling>
          <c:orientation val="minMax"/>
          <c:max val="21"/>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92384"/>
        <c:crosses val="autoZero"/>
        <c:crossBetween val="midCat"/>
      </c:valAx>
      <c:valAx>
        <c:axId val="423992384"/>
        <c:scaling>
          <c:orientation val="minMax"/>
          <c:max val="0.15394838400000008"/>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807024"/>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2020</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5605555555555559"/>
          <c:w val="0.76524153230846148"/>
          <c:h val="0.69170384951881014"/>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86542387-01F0-4F02-97A1-3C714816D83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2176-45FB-A435-E99613DA4B42}"/>
                </c:ext>
              </c:extLst>
            </c:dLbl>
            <c:dLbl>
              <c:idx val="1"/>
              <c:tx>
                <c:rich>
                  <a:bodyPr/>
                  <a:lstStyle/>
                  <a:p>
                    <a:fld id="{3C9AE25E-E498-4BDC-A362-DC78A4C6B833}"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2176-45FB-A435-E99613DA4B4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Social!$C$20:$C$21</c:f>
              <c:numCache>
                <c:formatCode>General</c:formatCode>
                <c:ptCount val="2"/>
                <c:pt idx="0">
                  <c:v>6</c:v>
                </c:pt>
                <c:pt idx="1">
                  <c:v>10</c:v>
                </c:pt>
              </c:numCache>
            </c:numRef>
          </c:xVal>
          <c:yVal>
            <c:numRef>
              <c:f>Social!$D$20:$D$21</c:f>
              <c:numCache>
                <c:formatCode>General</c:formatCode>
                <c:ptCount val="2"/>
                <c:pt idx="0">
                  <c:v>2.4644899720448244E-2</c:v>
                </c:pt>
                <c:pt idx="1">
                  <c:v>4.1155288555706424E-2</c:v>
                </c:pt>
              </c:numCache>
            </c:numRef>
          </c:yVal>
          <c:smooth val="0"/>
          <c:extLst>
            <c:ext xmlns:c15="http://schemas.microsoft.com/office/drawing/2012/chart" uri="{02D57815-91ED-43cb-92C2-25804820EDAC}">
              <c15:datalabelsRange>
                <c15:f>Social!$B$20:$B$21</c15:f>
                <c15:dlblRangeCache>
                  <c:ptCount val="2"/>
                  <c:pt idx="0">
                    <c:v>PUO</c:v>
                  </c:pt>
                  <c:pt idx="1">
                    <c:v>PUP</c:v>
                  </c:pt>
                </c15:dlblRangeCache>
              </c15:datalabelsRange>
            </c:ext>
            <c:ext xmlns:c16="http://schemas.microsoft.com/office/drawing/2014/chart" uri="{C3380CC4-5D6E-409C-BE32-E72D297353CC}">
              <c16:uniqueId val="{00000002-2176-45FB-A435-E99613DA4B42}"/>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Social!$C$23:$C$24</c:f>
              <c:numCache>
                <c:formatCode>General</c:formatCode>
                <c:ptCount val="2"/>
                <c:pt idx="0">
                  <c:v>0</c:v>
                </c:pt>
                <c:pt idx="1">
                  <c:v>22</c:v>
                </c:pt>
              </c:numCache>
            </c:numRef>
          </c:xVal>
          <c:yVal>
            <c:numRef>
              <c:f>Social!$D$23:$D$24</c:f>
              <c:numCache>
                <c:formatCode>General</c:formatCode>
                <c:ptCount val="2"/>
                <c:pt idx="0">
                  <c:v>5.6554202034834154E-2</c:v>
                </c:pt>
                <c:pt idx="1">
                  <c:v>5.6554202034834154E-2</c:v>
                </c:pt>
              </c:numCache>
            </c:numRef>
          </c:yVal>
          <c:smooth val="0"/>
          <c:extLst>
            <c:ext xmlns:c16="http://schemas.microsoft.com/office/drawing/2014/chart" uri="{C3380CC4-5D6E-409C-BE32-E72D297353CC}">
              <c16:uniqueId val="{00000003-2176-45FB-A435-E99613DA4B42}"/>
            </c:ext>
          </c:extLst>
        </c:ser>
        <c:ser>
          <c:idx val="2"/>
          <c:order val="2"/>
          <c:tx>
            <c:strRef>
              <c:f>Social!$C$28:$C$29</c:f>
              <c:strCache>
                <c:ptCount val="2"/>
                <c:pt idx="0">
                  <c:v>14</c:v>
                </c:pt>
                <c:pt idx="1">
                  <c:v>14</c:v>
                </c:pt>
              </c:strCache>
            </c:strRef>
          </c:tx>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Social!$C$28:$C$29</c:f>
              <c:numCache>
                <c:formatCode>General</c:formatCode>
                <c:ptCount val="2"/>
                <c:pt idx="0">
                  <c:v>14</c:v>
                </c:pt>
                <c:pt idx="1">
                  <c:v>14</c:v>
                </c:pt>
              </c:numCache>
            </c:numRef>
          </c:xVal>
          <c:yVal>
            <c:numRef>
              <c:f>Social!$D$28:$D$29</c:f>
              <c:numCache>
                <c:formatCode>General</c:formatCode>
                <c:ptCount val="2"/>
                <c:pt idx="0">
                  <c:v>0</c:v>
                </c:pt>
                <c:pt idx="1">
                  <c:v>0.15103688125363621</c:v>
                </c:pt>
              </c:numCache>
            </c:numRef>
          </c:yVal>
          <c:smooth val="0"/>
          <c:extLst>
            <c:ext xmlns:c16="http://schemas.microsoft.com/office/drawing/2014/chart" uri="{C3380CC4-5D6E-409C-BE32-E72D297353CC}">
              <c16:uniqueId val="{00000004-2176-45FB-A435-E99613DA4B42}"/>
            </c:ext>
          </c:extLst>
        </c:ser>
        <c:dLbls>
          <c:showLegendKey val="0"/>
          <c:showVal val="0"/>
          <c:showCatName val="0"/>
          <c:showSerName val="0"/>
          <c:showPercent val="0"/>
          <c:showBubbleSize val="0"/>
        </c:dLbls>
        <c:axId val="320434688"/>
        <c:axId val="320432192"/>
      </c:scatterChart>
      <c:valAx>
        <c:axId val="320434688"/>
        <c:scaling>
          <c:orientation val="minMax"/>
          <c:max val="2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2192"/>
        <c:crosses val="autoZero"/>
        <c:crossBetween val="midCat"/>
      </c:valAx>
      <c:valAx>
        <c:axId val="320432192"/>
        <c:scaling>
          <c:orientation val="minMax"/>
          <c:max val="0.15103688100000004"/>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4688"/>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2019</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4494444444444443"/>
          <c:w val="0.76524153230846148"/>
          <c:h val="0.70837051618547697"/>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0B7488E1-7EB4-40D2-99DD-7FB5CC08349D}"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4EDB-44F9-BBD9-24C3E70EF591}"/>
                </c:ext>
              </c:extLst>
            </c:dLbl>
            <c:dLbl>
              <c:idx val="1"/>
              <c:tx>
                <c:rich>
                  <a:bodyPr/>
                  <a:lstStyle/>
                  <a:p>
                    <a:fld id="{681EB62F-C4F4-41C3-B038-3F4225E0FFB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4EDB-44F9-BBD9-24C3E70EF59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Social!$C$41:$C$42</c:f>
              <c:numCache>
                <c:formatCode>General</c:formatCode>
                <c:ptCount val="2"/>
                <c:pt idx="0">
                  <c:v>7</c:v>
                </c:pt>
                <c:pt idx="1">
                  <c:v>11</c:v>
                </c:pt>
              </c:numCache>
            </c:numRef>
          </c:xVal>
          <c:yVal>
            <c:numRef>
              <c:f>Social!$D$41:$D$42</c:f>
              <c:numCache>
                <c:formatCode>General</c:formatCode>
                <c:ptCount val="2"/>
                <c:pt idx="0">
                  <c:v>2.2895609663757928E-2</c:v>
                </c:pt>
                <c:pt idx="1">
                  <c:v>3.7535123362308777E-2</c:v>
                </c:pt>
              </c:numCache>
            </c:numRef>
          </c:yVal>
          <c:smooth val="0"/>
          <c:extLst>
            <c:ext xmlns:c15="http://schemas.microsoft.com/office/drawing/2012/chart" uri="{02D57815-91ED-43cb-92C2-25804820EDAC}">
              <c15:datalabelsRange>
                <c15:f>Social!$B$41:$B$42</c15:f>
                <c15:dlblRangeCache>
                  <c:ptCount val="2"/>
                  <c:pt idx="0">
                    <c:v>PUO</c:v>
                  </c:pt>
                  <c:pt idx="1">
                    <c:v>PUP</c:v>
                  </c:pt>
                </c15:dlblRangeCache>
              </c15:datalabelsRange>
            </c:ext>
            <c:ext xmlns:c16="http://schemas.microsoft.com/office/drawing/2014/chart" uri="{C3380CC4-5D6E-409C-BE32-E72D297353CC}">
              <c16:uniqueId val="{00000002-4EDB-44F9-BBD9-24C3E70EF591}"/>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Social!$C$44:$C$45</c:f>
              <c:numCache>
                <c:formatCode>General</c:formatCode>
                <c:ptCount val="2"/>
                <c:pt idx="0">
                  <c:v>0</c:v>
                </c:pt>
                <c:pt idx="1">
                  <c:v>21</c:v>
                </c:pt>
              </c:numCache>
            </c:numRef>
          </c:xVal>
          <c:yVal>
            <c:numRef>
              <c:f>Social!$D$44:$D$45</c:f>
              <c:numCache>
                <c:formatCode>General</c:formatCode>
                <c:ptCount val="2"/>
                <c:pt idx="0">
                  <c:v>5.6137770630382826E-2</c:v>
                </c:pt>
                <c:pt idx="1">
                  <c:v>5.6137770630382826E-2</c:v>
                </c:pt>
              </c:numCache>
            </c:numRef>
          </c:yVal>
          <c:smooth val="0"/>
          <c:extLst>
            <c:ext xmlns:c16="http://schemas.microsoft.com/office/drawing/2014/chart" uri="{C3380CC4-5D6E-409C-BE32-E72D297353CC}">
              <c16:uniqueId val="{00000003-4EDB-44F9-BBD9-24C3E70EF591}"/>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Social!$C$49:$C$50</c:f>
              <c:numCache>
                <c:formatCode>General</c:formatCode>
                <c:ptCount val="2"/>
                <c:pt idx="0">
                  <c:v>13.8</c:v>
                </c:pt>
                <c:pt idx="1">
                  <c:v>13.8</c:v>
                </c:pt>
              </c:numCache>
            </c:numRef>
          </c:xVal>
          <c:yVal>
            <c:numRef>
              <c:f>Social!$D$49:$D$50</c:f>
              <c:numCache>
                <c:formatCode>0.00</c:formatCode>
                <c:ptCount val="2"/>
                <c:pt idx="0" formatCode="General">
                  <c:v>0</c:v>
                </c:pt>
                <c:pt idx="1">
                  <c:v>0.14617558799295174</c:v>
                </c:pt>
              </c:numCache>
            </c:numRef>
          </c:yVal>
          <c:smooth val="0"/>
          <c:extLst>
            <c:ext xmlns:c16="http://schemas.microsoft.com/office/drawing/2014/chart" uri="{C3380CC4-5D6E-409C-BE32-E72D297353CC}">
              <c16:uniqueId val="{00000004-4EDB-44F9-BBD9-24C3E70EF591}"/>
            </c:ext>
          </c:extLst>
        </c:ser>
        <c:dLbls>
          <c:showLegendKey val="0"/>
          <c:showVal val="0"/>
          <c:showCatName val="0"/>
          <c:showSerName val="0"/>
          <c:showPercent val="0"/>
          <c:showBubbleSize val="0"/>
        </c:dLbls>
        <c:axId val="426555360"/>
        <c:axId val="426551200"/>
      </c:scatterChart>
      <c:valAx>
        <c:axId val="426555360"/>
        <c:scaling>
          <c:orientation val="minMax"/>
          <c:max val="21"/>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1200"/>
        <c:crosses val="autoZero"/>
        <c:crossBetween val="midCat"/>
      </c:valAx>
      <c:valAx>
        <c:axId val="426551200"/>
        <c:scaling>
          <c:orientation val="minMax"/>
          <c:max val="0.146175588"/>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5360"/>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2018</a:t>
            </a:r>
          </a:p>
        </c:rich>
      </c:tx>
      <c:layout>
        <c:manualLayout>
          <c:xMode val="edge"/>
          <c:yMode val="edge"/>
          <c:x val="0.30869922509686287"/>
          <c:y val="3.240726159230096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4494444444444443"/>
          <c:w val="0.76524153230846148"/>
          <c:h val="0.70837051618547697"/>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CE03FE13-0860-44FB-AE78-9585BA8D415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BEC0-4F7A-A27C-23BC247271DE}"/>
                </c:ext>
              </c:extLst>
            </c:dLbl>
            <c:dLbl>
              <c:idx val="1"/>
              <c:tx>
                <c:rich>
                  <a:bodyPr/>
                  <a:lstStyle/>
                  <a:p>
                    <a:fld id="{AE8FBAA6-25EC-4702-B9EB-A0D3FBB6429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BEC0-4F7A-A27C-23BC247271D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Social!$C$61:$C$62</c:f>
              <c:numCache>
                <c:formatCode>General</c:formatCode>
                <c:ptCount val="2"/>
                <c:pt idx="0">
                  <c:v>6</c:v>
                </c:pt>
                <c:pt idx="1">
                  <c:v>10</c:v>
                </c:pt>
              </c:numCache>
            </c:numRef>
          </c:xVal>
          <c:yVal>
            <c:numRef>
              <c:f>Social!$D$61:$D$62</c:f>
              <c:numCache>
                <c:formatCode>General</c:formatCode>
                <c:ptCount val="2"/>
                <c:pt idx="0">
                  <c:v>2.5007036373480656E-2</c:v>
                </c:pt>
                <c:pt idx="1">
                  <c:v>3.5396542827238336E-2</c:v>
                </c:pt>
              </c:numCache>
            </c:numRef>
          </c:yVal>
          <c:smooth val="0"/>
          <c:extLst>
            <c:ext xmlns:c15="http://schemas.microsoft.com/office/drawing/2012/chart" uri="{02D57815-91ED-43cb-92C2-25804820EDAC}">
              <c15:datalabelsRange>
                <c15:f>Social!$B$61:$B$62</c15:f>
                <c15:dlblRangeCache>
                  <c:ptCount val="2"/>
                  <c:pt idx="0">
                    <c:v>PUO</c:v>
                  </c:pt>
                  <c:pt idx="1">
                    <c:v>PUP</c:v>
                  </c:pt>
                </c15:dlblRangeCache>
              </c15:datalabelsRange>
            </c:ext>
            <c:ext xmlns:c16="http://schemas.microsoft.com/office/drawing/2014/chart" uri="{C3380CC4-5D6E-409C-BE32-E72D297353CC}">
              <c16:uniqueId val="{00000002-BEC0-4F7A-A27C-23BC247271DE}"/>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Social!$C$64:$C$65</c:f>
              <c:numCache>
                <c:formatCode>General</c:formatCode>
                <c:ptCount val="2"/>
                <c:pt idx="0">
                  <c:v>0</c:v>
                </c:pt>
                <c:pt idx="1">
                  <c:v>21</c:v>
                </c:pt>
              </c:numCache>
            </c:numRef>
          </c:xVal>
          <c:yVal>
            <c:numRef>
              <c:f>Social!$D$64:$D$65</c:f>
              <c:numCache>
                <c:formatCode>General</c:formatCode>
                <c:ptCount val="2"/>
                <c:pt idx="0">
                  <c:v>5.6830165929940897E-2</c:v>
                </c:pt>
                <c:pt idx="1">
                  <c:v>5.6830165929940897E-2</c:v>
                </c:pt>
              </c:numCache>
            </c:numRef>
          </c:yVal>
          <c:smooth val="0"/>
          <c:extLst>
            <c:ext xmlns:c16="http://schemas.microsoft.com/office/drawing/2014/chart" uri="{C3380CC4-5D6E-409C-BE32-E72D297353CC}">
              <c16:uniqueId val="{00000003-BEC0-4F7A-A27C-23BC247271DE}"/>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Social!$C$69:$C$70</c:f>
              <c:numCache>
                <c:formatCode>General</c:formatCode>
                <c:ptCount val="2"/>
                <c:pt idx="0">
                  <c:v>13.92</c:v>
                </c:pt>
                <c:pt idx="1">
                  <c:v>13.92</c:v>
                </c:pt>
              </c:numCache>
            </c:numRef>
          </c:xVal>
          <c:yVal>
            <c:numRef>
              <c:f>Social!$D$69:$D$70</c:f>
              <c:numCache>
                <c:formatCode>0.00</c:formatCode>
                <c:ptCount val="2"/>
                <c:pt idx="0" formatCode="General">
                  <c:v>0</c:v>
                </c:pt>
                <c:pt idx="1">
                  <c:v>0.13591806377731477</c:v>
                </c:pt>
              </c:numCache>
            </c:numRef>
          </c:yVal>
          <c:smooth val="0"/>
          <c:extLst>
            <c:ext xmlns:c16="http://schemas.microsoft.com/office/drawing/2014/chart" uri="{C3380CC4-5D6E-409C-BE32-E72D297353CC}">
              <c16:uniqueId val="{00000004-BEC0-4F7A-A27C-23BC247271DE}"/>
            </c:ext>
          </c:extLst>
        </c:ser>
        <c:dLbls>
          <c:showLegendKey val="0"/>
          <c:showVal val="0"/>
          <c:showCatName val="0"/>
          <c:showSerName val="0"/>
          <c:showPercent val="0"/>
          <c:showBubbleSize val="0"/>
        </c:dLbls>
        <c:axId val="314595056"/>
        <c:axId val="314594640"/>
      </c:scatterChart>
      <c:valAx>
        <c:axId val="314595056"/>
        <c:scaling>
          <c:orientation val="minMax"/>
          <c:max val="21"/>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4640"/>
        <c:crosses val="autoZero"/>
        <c:crossBetween val="midCat"/>
      </c:valAx>
      <c:valAx>
        <c:axId val="314594640"/>
        <c:scaling>
          <c:orientation val="minMax"/>
          <c:max val="0.13591806400000003"/>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5056"/>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2021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5605555555555559"/>
          <c:w val="0.75252312210973626"/>
          <c:h val="0.69170384951881014"/>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4FA05C51-57A0-40DC-B2DC-AFA595113FE8}"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2DA8-472A-88E6-569BDB59A1E1}"/>
                </c:ext>
              </c:extLst>
            </c:dLbl>
            <c:dLbl>
              <c:idx val="1"/>
              <c:tx>
                <c:rich>
                  <a:bodyPr/>
                  <a:lstStyle/>
                  <a:p>
                    <a:fld id="{B34882B8-E971-471A-9EF9-C3E1AD483A6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2DA8-472A-88E6-569BDB59A1E1}"/>
                </c:ext>
              </c:extLst>
            </c:dLbl>
            <c:dLbl>
              <c:idx val="2"/>
              <c:tx>
                <c:rich>
                  <a:bodyPr/>
                  <a:lstStyle/>
                  <a:p>
                    <a:fld id="{FFD02B19-7C77-44FB-A617-BEF3372E69B9}"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2DA8-472A-88E6-569BDB59A1E1}"/>
                </c:ext>
              </c:extLst>
            </c:dLbl>
            <c:dLbl>
              <c:idx val="3"/>
              <c:tx>
                <c:rich>
                  <a:bodyPr/>
                  <a:lstStyle/>
                  <a:p>
                    <a:fld id="{23235917-D477-4E26-AAA3-6CB89EB4573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2DA8-472A-88E6-569BDB59A1E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Technological!$C$3:$C$6</c:f>
              <c:numCache>
                <c:formatCode>General</c:formatCode>
                <c:ptCount val="4"/>
                <c:pt idx="0">
                  <c:v>11</c:v>
                </c:pt>
                <c:pt idx="1">
                  <c:v>2</c:v>
                </c:pt>
                <c:pt idx="2">
                  <c:v>6</c:v>
                </c:pt>
                <c:pt idx="3">
                  <c:v>21</c:v>
                </c:pt>
              </c:numCache>
            </c:numRef>
          </c:xVal>
          <c:yVal>
            <c:numRef>
              <c:f>Technological!$D$3:$D$6</c:f>
              <c:numCache>
                <c:formatCode>General</c:formatCode>
                <c:ptCount val="4"/>
                <c:pt idx="0">
                  <c:v>4.5213534156906432E-2</c:v>
                </c:pt>
                <c:pt idx="1">
                  <c:v>3.1504176241018346E-2</c:v>
                </c:pt>
                <c:pt idx="2">
                  <c:v>2.6147051905491353E-2</c:v>
                </c:pt>
                <c:pt idx="3">
                  <c:v>3.688056227687727E-2</c:v>
                </c:pt>
              </c:numCache>
            </c:numRef>
          </c:yVal>
          <c:smooth val="0"/>
          <c:extLst>
            <c:ext xmlns:c15="http://schemas.microsoft.com/office/drawing/2012/chart" uri="{02D57815-91ED-43cb-92C2-25804820EDAC}">
              <c15:datalabelsRange>
                <c15:f>Technological!$B$3:$B$6</c15:f>
                <c15:dlblRangeCache>
                  <c:ptCount val="4"/>
                  <c:pt idx="0">
                    <c:v>CNT</c:v>
                  </c:pt>
                  <c:pt idx="1">
                    <c:v>FLC</c:v>
                  </c:pt>
                  <c:pt idx="2">
                    <c:v>INP</c:v>
                  </c:pt>
                  <c:pt idx="3">
                    <c:v>CYS</c:v>
                  </c:pt>
                </c15:dlblRangeCache>
              </c15:datalabelsRange>
            </c:ext>
            <c:ext xmlns:c16="http://schemas.microsoft.com/office/drawing/2014/chart" uri="{C3380CC4-5D6E-409C-BE32-E72D297353CC}">
              <c16:uniqueId val="{00000004-2DA8-472A-88E6-569BDB59A1E1}"/>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Technological!$C$8:$C$9</c:f>
              <c:numCache>
                <c:formatCode>General</c:formatCode>
                <c:ptCount val="2"/>
                <c:pt idx="0">
                  <c:v>0</c:v>
                </c:pt>
                <c:pt idx="1">
                  <c:v>21</c:v>
                </c:pt>
              </c:numCache>
            </c:numRef>
          </c:xVal>
          <c:yVal>
            <c:numRef>
              <c:f>Technological!$D$8:$D$9</c:f>
              <c:numCache>
                <c:formatCode>General</c:formatCode>
                <c:ptCount val="2"/>
                <c:pt idx="0">
                  <c:v>5.6368289429504011E-2</c:v>
                </c:pt>
                <c:pt idx="1">
                  <c:v>5.6368289429504011E-2</c:v>
                </c:pt>
              </c:numCache>
            </c:numRef>
          </c:yVal>
          <c:smooth val="0"/>
          <c:extLst>
            <c:ext xmlns:c16="http://schemas.microsoft.com/office/drawing/2014/chart" uri="{C3380CC4-5D6E-409C-BE32-E72D297353CC}">
              <c16:uniqueId val="{00000005-2DA8-472A-88E6-569BDB59A1E1}"/>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Technological!$C$13:$C$14</c:f>
              <c:numCache>
                <c:formatCode>General</c:formatCode>
                <c:ptCount val="2"/>
                <c:pt idx="0">
                  <c:v>13.4</c:v>
                </c:pt>
                <c:pt idx="1">
                  <c:v>13.4</c:v>
                </c:pt>
              </c:numCache>
            </c:numRef>
          </c:xVal>
          <c:yVal>
            <c:numRef>
              <c:f>Technological!$D$13:$D$14</c:f>
              <c:numCache>
                <c:formatCode>0.00</c:formatCode>
                <c:ptCount val="2"/>
                <c:pt idx="0" formatCode="General">
                  <c:v>0</c:v>
                </c:pt>
                <c:pt idx="1">
                  <c:v>0.15394838422728568</c:v>
                </c:pt>
              </c:numCache>
            </c:numRef>
          </c:yVal>
          <c:smooth val="0"/>
          <c:extLst>
            <c:ext xmlns:c16="http://schemas.microsoft.com/office/drawing/2014/chart" uri="{C3380CC4-5D6E-409C-BE32-E72D297353CC}">
              <c16:uniqueId val="{00000006-2DA8-472A-88E6-569BDB59A1E1}"/>
            </c:ext>
          </c:extLst>
        </c:ser>
        <c:dLbls>
          <c:showLegendKey val="0"/>
          <c:showVal val="0"/>
          <c:showCatName val="0"/>
          <c:showSerName val="0"/>
          <c:showPercent val="0"/>
          <c:showBubbleSize val="0"/>
        </c:dLbls>
        <c:axId val="340807024"/>
        <c:axId val="423992384"/>
      </c:scatterChart>
      <c:valAx>
        <c:axId val="340807024"/>
        <c:scaling>
          <c:orientation val="minMax"/>
          <c:max val="21"/>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92384"/>
        <c:crosses val="autoZero"/>
        <c:crossBetween val="midCat"/>
      </c:valAx>
      <c:valAx>
        <c:axId val="423992384"/>
        <c:scaling>
          <c:orientation val="minMax"/>
          <c:max val="0.15394838400000008"/>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807024"/>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2020</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6161111111111115"/>
          <c:w val="0.76524153230846148"/>
          <c:h val="0.69725940507436568"/>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B4FB2A4C-B575-4B29-81FF-C1DB14CB65B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0546-40E8-833C-343969286D0D}"/>
                </c:ext>
              </c:extLst>
            </c:dLbl>
            <c:dLbl>
              <c:idx val="1"/>
              <c:tx>
                <c:rich>
                  <a:bodyPr/>
                  <a:lstStyle/>
                  <a:p>
                    <a:fld id="{D200D079-0983-48A1-A762-BBB86C04739C}"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0546-40E8-833C-343969286D0D}"/>
                </c:ext>
              </c:extLst>
            </c:dLbl>
            <c:dLbl>
              <c:idx val="2"/>
              <c:tx>
                <c:rich>
                  <a:bodyPr/>
                  <a:lstStyle/>
                  <a:p>
                    <a:fld id="{D5F84B8C-7AB1-44AF-82D9-3C244F2AC15C}"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0546-40E8-833C-343969286D0D}"/>
                </c:ext>
              </c:extLst>
            </c:dLbl>
            <c:dLbl>
              <c:idx val="3"/>
              <c:tx>
                <c:rich>
                  <a:bodyPr/>
                  <a:lstStyle/>
                  <a:p>
                    <a:fld id="{5965EF38-7E4D-48A3-9401-FC1187F9F5D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0546-40E8-833C-343969286D0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Technological!$C$22:$C$25</c:f>
              <c:numCache>
                <c:formatCode>General</c:formatCode>
                <c:ptCount val="4"/>
                <c:pt idx="0">
                  <c:v>12</c:v>
                </c:pt>
                <c:pt idx="1">
                  <c:v>2</c:v>
                </c:pt>
                <c:pt idx="2">
                  <c:v>6</c:v>
                </c:pt>
                <c:pt idx="3">
                  <c:v>21</c:v>
                </c:pt>
              </c:numCache>
            </c:numRef>
          </c:xVal>
          <c:yVal>
            <c:numRef>
              <c:f>Technological!$D$22:$D$25</c:f>
              <c:numCache>
                <c:formatCode>General</c:formatCode>
                <c:ptCount val="4"/>
                <c:pt idx="0">
                  <c:v>4.0378561529284734E-2</c:v>
                </c:pt>
                <c:pt idx="1">
                  <c:v>3.3230931063748401E-2</c:v>
                </c:pt>
                <c:pt idx="2">
                  <c:v>2.2000575017042643E-2</c:v>
                </c:pt>
                <c:pt idx="3">
                  <c:v>3.9295952244338239E-2</c:v>
                </c:pt>
              </c:numCache>
            </c:numRef>
          </c:yVal>
          <c:smooth val="0"/>
          <c:extLst>
            <c:ext xmlns:c15="http://schemas.microsoft.com/office/drawing/2012/chart" uri="{02D57815-91ED-43cb-92C2-25804820EDAC}">
              <c15:datalabelsRange>
                <c15:f>Technological!$B$22:$B$25</c15:f>
                <c15:dlblRangeCache>
                  <c:ptCount val="4"/>
                  <c:pt idx="0">
                    <c:v>CNT</c:v>
                  </c:pt>
                  <c:pt idx="1">
                    <c:v>FLC</c:v>
                  </c:pt>
                  <c:pt idx="2">
                    <c:v>INP</c:v>
                  </c:pt>
                  <c:pt idx="3">
                    <c:v>CYS</c:v>
                  </c:pt>
                </c15:dlblRangeCache>
              </c15:datalabelsRange>
            </c:ext>
            <c:ext xmlns:c16="http://schemas.microsoft.com/office/drawing/2014/chart" uri="{C3380CC4-5D6E-409C-BE32-E72D297353CC}">
              <c16:uniqueId val="{00000004-0546-40E8-833C-343969286D0D}"/>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Technological!$C$27:$C$28</c:f>
              <c:numCache>
                <c:formatCode>General</c:formatCode>
                <c:ptCount val="2"/>
                <c:pt idx="0">
                  <c:v>0</c:v>
                </c:pt>
                <c:pt idx="1">
                  <c:v>22</c:v>
                </c:pt>
              </c:numCache>
            </c:numRef>
          </c:xVal>
          <c:yVal>
            <c:numRef>
              <c:f>Technological!$D$27:$D$28</c:f>
              <c:numCache>
                <c:formatCode>General</c:formatCode>
                <c:ptCount val="2"/>
                <c:pt idx="0">
                  <c:v>5.6554202034834154E-2</c:v>
                </c:pt>
                <c:pt idx="1">
                  <c:v>5.6554202034834154E-2</c:v>
                </c:pt>
              </c:numCache>
            </c:numRef>
          </c:yVal>
          <c:smooth val="0"/>
          <c:extLst>
            <c:ext xmlns:c16="http://schemas.microsoft.com/office/drawing/2014/chart" uri="{C3380CC4-5D6E-409C-BE32-E72D297353CC}">
              <c16:uniqueId val="{00000005-0546-40E8-833C-343969286D0D}"/>
            </c:ext>
          </c:extLst>
        </c:ser>
        <c:ser>
          <c:idx val="2"/>
          <c:order val="2"/>
          <c:tx>
            <c:strRef>
              <c:f>Technological!$C$32:$C$33</c:f>
              <c:strCache>
                <c:ptCount val="2"/>
                <c:pt idx="0">
                  <c:v>14</c:v>
                </c:pt>
                <c:pt idx="1">
                  <c:v>14</c:v>
                </c:pt>
              </c:strCache>
            </c:strRef>
          </c:tx>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Technological!$C$32:$C$33</c:f>
              <c:numCache>
                <c:formatCode>General</c:formatCode>
                <c:ptCount val="2"/>
                <c:pt idx="0">
                  <c:v>14</c:v>
                </c:pt>
                <c:pt idx="1">
                  <c:v>14</c:v>
                </c:pt>
              </c:numCache>
            </c:numRef>
          </c:xVal>
          <c:yVal>
            <c:numRef>
              <c:f>Technological!$D$32:$D$33</c:f>
              <c:numCache>
                <c:formatCode>General</c:formatCode>
                <c:ptCount val="2"/>
                <c:pt idx="0">
                  <c:v>0</c:v>
                </c:pt>
                <c:pt idx="1">
                  <c:v>0.15103688125363621</c:v>
                </c:pt>
              </c:numCache>
            </c:numRef>
          </c:yVal>
          <c:smooth val="0"/>
          <c:extLst>
            <c:ext xmlns:c16="http://schemas.microsoft.com/office/drawing/2014/chart" uri="{C3380CC4-5D6E-409C-BE32-E72D297353CC}">
              <c16:uniqueId val="{00000006-0546-40E8-833C-343969286D0D}"/>
            </c:ext>
          </c:extLst>
        </c:ser>
        <c:dLbls>
          <c:showLegendKey val="0"/>
          <c:showVal val="0"/>
          <c:showCatName val="0"/>
          <c:showSerName val="0"/>
          <c:showPercent val="0"/>
          <c:showBubbleSize val="0"/>
        </c:dLbls>
        <c:axId val="320434688"/>
        <c:axId val="320432192"/>
      </c:scatterChart>
      <c:valAx>
        <c:axId val="320434688"/>
        <c:scaling>
          <c:orientation val="minMax"/>
          <c:max val="2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2192"/>
        <c:crosses val="autoZero"/>
        <c:crossBetween val="midCat"/>
      </c:valAx>
      <c:valAx>
        <c:axId val="320432192"/>
        <c:scaling>
          <c:orientation val="minMax"/>
          <c:max val="0.15103688100000004"/>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4688"/>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2019</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4494444444444443"/>
          <c:w val="0.76524153230846148"/>
          <c:h val="0.70837051618547697"/>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04D9860F-3046-4150-9DF4-2CADD4034A50}"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DF78-48EA-876F-92FD5FF8C2BE}"/>
                </c:ext>
              </c:extLst>
            </c:dLbl>
            <c:dLbl>
              <c:idx val="1"/>
              <c:tx>
                <c:rich>
                  <a:bodyPr/>
                  <a:lstStyle/>
                  <a:p>
                    <a:fld id="{518AD6C4-D534-4D6E-8673-12D31EFA3BA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DF78-48EA-876F-92FD5FF8C2B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Social!$C$41:$C$42</c:f>
              <c:numCache>
                <c:formatCode>General</c:formatCode>
                <c:ptCount val="2"/>
                <c:pt idx="0">
                  <c:v>7</c:v>
                </c:pt>
                <c:pt idx="1">
                  <c:v>11</c:v>
                </c:pt>
              </c:numCache>
            </c:numRef>
          </c:xVal>
          <c:yVal>
            <c:numRef>
              <c:f>Social!$D$41:$D$42</c:f>
              <c:numCache>
                <c:formatCode>General</c:formatCode>
                <c:ptCount val="2"/>
                <c:pt idx="0">
                  <c:v>2.2895609663757928E-2</c:v>
                </c:pt>
                <c:pt idx="1">
                  <c:v>3.7535123362308777E-2</c:v>
                </c:pt>
              </c:numCache>
            </c:numRef>
          </c:yVal>
          <c:smooth val="0"/>
          <c:extLst>
            <c:ext xmlns:c15="http://schemas.microsoft.com/office/drawing/2012/chart" uri="{02D57815-91ED-43cb-92C2-25804820EDAC}">
              <c15:datalabelsRange>
                <c15:f>Social!$B$41:$B$42</c15:f>
                <c15:dlblRangeCache>
                  <c:ptCount val="2"/>
                  <c:pt idx="0">
                    <c:v>PUO</c:v>
                  </c:pt>
                  <c:pt idx="1">
                    <c:v>PUP</c:v>
                  </c:pt>
                </c15:dlblRangeCache>
              </c15:datalabelsRange>
            </c:ext>
            <c:ext xmlns:c16="http://schemas.microsoft.com/office/drawing/2014/chart" uri="{C3380CC4-5D6E-409C-BE32-E72D297353CC}">
              <c16:uniqueId val="{00000002-DF78-48EA-876F-92FD5FF8C2BE}"/>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Social!$C$44:$C$45</c:f>
              <c:numCache>
                <c:formatCode>General</c:formatCode>
                <c:ptCount val="2"/>
                <c:pt idx="0">
                  <c:v>0</c:v>
                </c:pt>
                <c:pt idx="1">
                  <c:v>21</c:v>
                </c:pt>
              </c:numCache>
            </c:numRef>
          </c:xVal>
          <c:yVal>
            <c:numRef>
              <c:f>Social!$D$44:$D$45</c:f>
              <c:numCache>
                <c:formatCode>General</c:formatCode>
                <c:ptCount val="2"/>
                <c:pt idx="0">
                  <c:v>5.6137770630382826E-2</c:v>
                </c:pt>
                <c:pt idx="1">
                  <c:v>5.6137770630382826E-2</c:v>
                </c:pt>
              </c:numCache>
            </c:numRef>
          </c:yVal>
          <c:smooth val="0"/>
          <c:extLst>
            <c:ext xmlns:c16="http://schemas.microsoft.com/office/drawing/2014/chart" uri="{C3380CC4-5D6E-409C-BE32-E72D297353CC}">
              <c16:uniqueId val="{00000003-DF78-48EA-876F-92FD5FF8C2BE}"/>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Social!$C$49:$C$50</c:f>
              <c:numCache>
                <c:formatCode>General</c:formatCode>
                <c:ptCount val="2"/>
                <c:pt idx="0">
                  <c:v>13.8</c:v>
                </c:pt>
                <c:pt idx="1">
                  <c:v>13.8</c:v>
                </c:pt>
              </c:numCache>
            </c:numRef>
          </c:xVal>
          <c:yVal>
            <c:numRef>
              <c:f>Social!$D$49:$D$50</c:f>
              <c:numCache>
                <c:formatCode>0.00</c:formatCode>
                <c:ptCount val="2"/>
                <c:pt idx="0" formatCode="General">
                  <c:v>0</c:v>
                </c:pt>
                <c:pt idx="1">
                  <c:v>0.14617558799295174</c:v>
                </c:pt>
              </c:numCache>
            </c:numRef>
          </c:yVal>
          <c:smooth val="0"/>
          <c:extLst>
            <c:ext xmlns:c16="http://schemas.microsoft.com/office/drawing/2014/chart" uri="{C3380CC4-5D6E-409C-BE32-E72D297353CC}">
              <c16:uniqueId val="{00000004-DF78-48EA-876F-92FD5FF8C2BE}"/>
            </c:ext>
          </c:extLst>
        </c:ser>
        <c:dLbls>
          <c:showLegendKey val="0"/>
          <c:showVal val="0"/>
          <c:showCatName val="0"/>
          <c:showSerName val="0"/>
          <c:showPercent val="0"/>
          <c:showBubbleSize val="0"/>
        </c:dLbls>
        <c:axId val="426555360"/>
        <c:axId val="426551200"/>
      </c:scatterChart>
      <c:valAx>
        <c:axId val="426555360"/>
        <c:scaling>
          <c:orientation val="minMax"/>
          <c:max val="21"/>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1200"/>
        <c:crosses val="autoZero"/>
        <c:crossBetween val="midCat"/>
      </c:valAx>
      <c:valAx>
        <c:axId val="426551200"/>
        <c:scaling>
          <c:orientation val="minMax"/>
          <c:max val="0.146175588"/>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5360"/>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2018</a:t>
            </a:r>
          </a:p>
        </c:rich>
      </c:tx>
      <c:layout>
        <c:manualLayout>
          <c:xMode val="edge"/>
          <c:yMode val="edge"/>
          <c:x val="0.30076271716035491"/>
          <c:y val="3.240726159230096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4494444444444443"/>
          <c:w val="0.76524153230846148"/>
          <c:h val="0.70837051618547697"/>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0AE4C188-E0CA-4DEC-B237-8365D6656850}"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0914-4BA1-9912-D07F9F780687}"/>
                </c:ext>
              </c:extLst>
            </c:dLbl>
            <c:dLbl>
              <c:idx val="1"/>
              <c:tx>
                <c:rich>
                  <a:bodyPr/>
                  <a:lstStyle/>
                  <a:p>
                    <a:fld id="{770E8307-F175-4177-8E77-8323D06DAD6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0914-4BA1-9912-D07F9F78068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Social!$C$61:$C$62</c:f>
              <c:numCache>
                <c:formatCode>General</c:formatCode>
                <c:ptCount val="2"/>
                <c:pt idx="0">
                  <c:v>6</c:v>
                </c:pt>
                <c:pt idx="1">
                  <c:v>10</c:v>
                </c:pt>
              </c:numCache>
            </c:numRef>
          </c:xVal>
          <c:yVal>
            <c:numRef>
              <c:f>Social!$D$61:$D$62</c:f>
              <c:numCache>
                <c:formatCode>General</c:formatCode>
                <c:ptCount val="2"/>
                <c:pt idx="0">
                  <c:v>2.5007036373480656E-2</c:v>
                </c:pt>
                <c:pt idx="1">
                  <c:v>3.5396542827238336E-2</c:v>
                </c:pt>
              </c:numCache>
            </c:numRef>
          </c:yVal>
          <c:smooth val="0"/>
          <c:extLst>
            <c:ext xmlns:c15="http://schemas.microsoft.com/office/drawing/2012/chart" uri="{02D57815-91ED-43cb-92C2-25804820EDAC}">
              <c15:datalabelsRange>
                <c15:f>Social!$B$61:$B$62</c15:f>
                <c15:dlblRangeCache>
                  <c:ptCount val="2"/>
                  <c:pt idx="0">
                    <c:v>PUO</c:v>
                  </c:pt>
                  <c:pt idx="1">
                    <c:v>PUP</c:v>
                  </c:pt>
                </c15:dlblRangeCache>
              </c15:datalabelsRange>
            </c:ext>
            <c:ext xmlns:c16="http://schemas.microsoft.com/office/drawing/2014/chart" uri="{C3380CC4-5D6E-409C-BE32-E72D297353CC}">
              <c16:uniqueId val="{00000002-0914-4BA1-9912-D07F9F780687}"/>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Social!$C$64:$C$65</c:f>
              <c:numCache>
                <c:formatCode>General</c:formatCode>
                <c:ptCount val="2"/>
                <c:pt idx="0">
                  <c:v>0</c:v>
                </c:pt>
                <c:pt idx="1">
                  <c:v>21</c:v>
                </c:pt>
              </c:numCache>
            </c:numRef>
          </c:xVal>
          <c:yVal>
            <c:numRef>
              <c:f>Social!$D$64:$D$65</c:f>
              <c:numCache>
                <c:formatCode>General</c:formatCode>
                <c:ptCount val="2"/>
                <c:pt idx="0">
                  <c:v>5.6830165929940897E-2</c:v>
                </c:pt>
                <c:pt idx="1">
                  <c:v>5.6830165929940897E-2</c:v>
                </c:pt>
              </c:numCache>
            </c:numRef>
          </c:yVal>
          <c:smooth val="0"/>
          <c:extLst>
            <c:ext xmlns:c16="http://schemas.microsoft.com/office/drawing/2014/chart" uri="{C3380CC4-5D6E-409C-BE32-E72D297353CC}">
              <c16:uniqueId val="{00000003-0914-4BA1-9912-D07F9F780687}"/>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Social!$C$69:$C$70</c:f>
              <c:numCache>
                <c:formatCode>General</c:formatCode>
                <c:ptCount val="2"/>
                <c:pt idx="0">
                  <c:v>13.92</c:v>
                </c:pt>
                <c:pt idx="1">
                  <c:v>13.92</c:v>
                </c:pt>
              </c:numCache>
            </c:numRef>
          </c:xVal>
          <c:yVal>
            <c:numRef>
              <c:f>Social!$D$69:$D$70</c:f>
              <c:numCache>
                <c:formatCode>0.00</c:formatCode>
                <c:ptCount val="2"/>
                <c:pt idx="0" formatCode="General">
                  <c:v>0</c:v>
                </c:pt>
                <c:pt idx="1">
                  <c:v>0.13591806377731477</c:v>
                </c:pt>
              </c:numCache>
            </c:numRef>
          </c:yVal>
          <c:smooth val="0"/>
          <c:extLst>
            <c:ext xmlns:c16="http://schemas.microsoft.com/office/drawing/2014/chart" uri="{C3380CC4-5D6E-409C-BE32-E72D297353CC}">
              <c16:uniqueId val="{00000004-0914-4BA1-9912-D07F9F780687}"/>
            </c:ext>
          </c:extLst>
        </c:ser>
        <c:dLbls>
          <c:showLegendKey val="0"/>
          <c:showVal val="0"/>
          <c:showCatName val="0"/>
          <c:showSerName val="0"/>
          <c:showPercent val="0"/>
          <c:showBubbleSize val="0"/>
        </c:dLbls>
        <c:axId val="314595056"/>
        <c:axId val="314594640"/>
      </c:scatterChart>
      <c:valAx>
        <c:axId val="314595056"/>
        <c:scaling>
          <c:orientation val="minMax"/>
          <c:max val="21"/>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4640"/>
        <c:crosses val="autoZero"/>
        <c:crossBetween val="midCat"/>
      </c:valAx>
      <c:valAx>
        <c:axId val="314594640"/>
        <c:scaling>
          <c:orientation val="minMax"/>
          <c:max val="0.13591806400000003"/>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5056"/>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2021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5605555555555556"/>
          <c:w val="0.76524153230846148"/>
          <c:h val="0.69725940507436568"/>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A253DCAA-4703-46BE-833E-FDECD694C238}"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3B7C-4B43-82CD-587CA638F0AA}"/>
                </c:ext>
              </c:extLst>
            </c:dLbl>
            <c:dLbl>
              <c:idx val="1"/>
              <c:tx>
                <c:rich>
                  <a:bodyPr/>
                  <a:lstStyle/>
                  <a:p>
                    <a:fld id="{77E65049-9AA7-4B40-97D9-387B277B121D}"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3B7C-4B43-82CD-587CA638F0A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'Primary activities'!$C$3:$C$4</c:f>
              <c:numCache>
                <c:formatCode>General</c:formatCode>
                <c:ptCount val="2"/>
                <c:pt idx="0">
                  <c:v>9</c:v>
                </c:pt>
                <c:pt idx="1">
                  <c:v>21</c:v>
                </c:pt>
              </c:numCache>
            </c:numRef>
          </c:xVal>
          <c:yVal>
            <c:numRef>
              <c:f>'Primary activities'!$D$3:$D$4</c:f>
              <c:numCache>
                <c:formatCode>General</c:formatCode>
                <c:ptCount val="2"/>
                <c:pt idx="0">
                  <c:v>5.9976502728571725E-2</c:v>
                </c:pt>
                <c:pt idx="1">
                  <c:v>8.6887565803516101E-2</c:v>
                </c:pt>
              </c:numCache>
            </c:numRef>
          </c:yVal>
          <c:smooth val="0"/>
          <c:extLst>
            <c:ext xmlns:c15="http://schemas.microsoft.com/office/drawing/2012/chart" uri="{02D57815-91ED-43cb-92C2-25804820EDAC}">
              <c15:datalabelsRange>
                <c15:f>'Primary activities'!$B$3:$B$4</c15:f>
                <c15:dlblRangeCache>
                  <c:ptCount val="2"/>
                  <c:pt idx="0">
                    <c:v>FTD</c:v>
                  </c:pt>
                  <c:pt idx="1">
                    <c:v>PRO</c:v>
                  </c:pt>
                </c15:dlblRangeCache>
              </c15:datalabelsRange>
            </c:ext>
            <c:ext xmlns:c16="http://schemas.microsoft.com/office/drawing/2014/chart" uri="{C3380CC4-5D6E-409C-BE32-E72D297353CC}">
              <c16:uniqueId val="{00000002-3B7C-4B43-82CD-587CA638F0AA}"/>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'Primary activities'!$C$6:$C$7</c:f>
              <c:numCache>
                <c:formatCode>General</c:formatCode>
                <c:ptCount val="2"/>
                <c:pt idx="0">
                  <c:v>0</c:v>
                </c:pt>
                <c:pt idx="1">
                  <c:v>21</c:v>
                </c:pt>
              </c:numCache>
            </c:numRef>
          </c:xVal>
          <c:yVal>
            <c:numRef>
              <c:f>'Primary activities'!$D$6:$D$7</c:f>
              <c:numCache>
                <c:formatCode>General</c:formatCode>
                <c:ptCount val="2"/>
                <c:pt idx="0">
                  <c:v>5.6368289429504011E-2</c:v>
                </c:pt>
                <c:pt idx="1">
                  <c:v>5.6368289429504011E-2</c:v>
                </c:pt>
              </c:numCache>
            </c:numRef>
          </c:yVal>
          <c:smooth val="0"/>
          <c:extLst>
            <c:ext xmlns:c16="http://schemas.microsoft.com/office/drawing/2014/chart" uri="{C3380CC4-5D6E-409C-BE32-E72D297353CC}">
              <c16:uniqueId val="{00000003-3B7C-4B43-82CD-587CA638F0AA}"/>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'Primary activities'!$C$11:$C$12</c:f>
              <c:numCache>
                <c:formatCode>General</c:formatCode>
                <c:ptCount val="2"/>
                <c:pt idx="0">
                  <c:v>13.4</c:v>
                </c:pt>
                <c:pt idx="1">
                  <c:v>13.4</c:v>
                </c:pt>
              </c:numCache>
            </c:numRef>
          </c:xVal>
          <c:yVal>
            <c:numRef>
              <c:f>'Primary activities'!$D$11:$D$12</c:f>
              <c:numCache>
                <c:formatCode>0.00</c:formatCode>
                <c:ptCount val="2"/>
                <c:pt idx="0" formatCode="General">
                  <c:v>0</c:v>
                </c:pt>
                <c:pt idx="1">
                  <c:v>0.15394838422728568</c:v>
                </c:pt>
              </c:numCache>
            </c:numRef>
          </c:yVal>
          <c:smooth val="0"/>
          <c:extLst>
            <c:ext xmlns:c16="http://schemas.microsoft.com/office/drawing/2014/chart" uri="{C3380CC4-5D6E-409C-BE32-E72D297353CC}">
              <c16:uniqueId val="{00000004-3B7C-4B43-82CD-587CA638F0AA}"/>
            </c:ext>
          </c:extLst>
        </c:ser>
        <c:dLbls>
          <c:showLegendKey val="0"/>
          <c:showVal val="0"/>
          <c:showCatName val="0"/>
          <c:showSerName val="0"/>
          <c:showPercent val="0"/>
          <c:showBubbleSize val="0"/>
        </c:dLbls>
        <c:axId val="340807024"/>
        <c:axId val="423992384"/>
      </c:scatterChart>
      <c:valAx>
        <c:axId val="340807024"/>
        <c:scaling>
          <c:orientation val="minMax"/>
          <c:max val="21"/>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92384"/>
        <c:crosses val="autoZero"/>
        <c:crossBetween val="midCat"/>
      </c:valAx>
      <c:valAx>
        <c:axId val="423992384"/>
        <c:scaling>
          <c:orientation val="minMax"/>
          <c:max val="0.15394838400000008"/>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807024"/>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2020</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5605555555555559"/>
          <c:w val="0.76524153230846148"/>
          <c:h val="0.69170384951881014"/>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14CE672A-6F0C-4094-90E4-3EC092B26E9C}"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F319-4BAF-B12E-5AC696BD573A}"/>
                </c:ext>
              </c:extLst>
            </c:dLbl>
            <c:dLbl>
              <c:idx val="1"/>
              <c:tx>
                <c:rich>
                  <a:bodyPr/>
                  <a:lstStyle/>
                  <a:p>
                    <a:fld id="{04DDE273-084E-4E4F-8A1B-95CCD65C95B5}"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F319-4BAF-B12E-5AC696BD573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'Primary activities'!$C$20:$C$21</c:f>
              <c:numCache>
                <c:formatCode>General</c:formatCode>
                <c:ptCount val="2"/>
                <c:pt idx="0">
                  <c:v>9</c:v>
                </c:pt>
                <c:pt idx="1">
                  <c:v>22</c:v>
                </c:pt>
              </c:numCache>
            </c:numRef>
          </c:xVal>
          <c:yVal>
            <c:numRef>
              <c:f>'Primary activities'!$D$20:$D$21</c:f>
              <c:numCache>
                <c:formatCode>General</c:formatCode>
                <c:ptCount val="2"/>
                <c:pt idx="0">
                  <c:v>6.4603422698037108E-2</c:v>
                </c:pt>
                <c:pt idx="1">
                  <c:v>9.031570056212318E-2</c:v>
                </c:pt>
              </c:numCache>
            </c:numRef>
          </c:yVal>
          <c:smooth val="0"/>
          <c:extLst>
            <c:ext xmlns:c15="http://schemas.microsoft.com/office/drawing/2012/chart" uri="{02D57815-91ED-43cb-92C2-25804820EDAC}">
              <c15:datalabelsRange>
                <c15:f>'Primary activities'!$B$20:$B$21</c15:f>
                <c15:dlblRangeCache>
                  <c:ptCount val="2"/>
                  <c:pt idx="0">
                    <c:v>FTD</c:v>
                  </c:pt>
                  <c:pt idx="1">
                    <c:v>PRO</c:v>
                  </c:pt>
                </c15:dlblRangeCache>
              </c15:datalabelsRange>
            </c:ext>
            <c:ext xmlns:c16="http://schemas.microsoft.com/office/drawing/2014/chart" uri="{C3380CC4-5D6E-409C-BE32-E72D297353CC}">
              <c16:uniqueId val="{00000002-F319-4BAF-B12E-5AC696BD573A}"/>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'Primary activities'!$C$23:$C$24</c:f>
              <c:numCache>
                <c:formatCode>General</c:formatCode>
                <c:ptCount val="2"/>
                <c:pt idx="0">
                  <c:v>0</c:v>
                </c:pt>
                <c:pt idx="1">
                  <c:v>22</c:v>
                </c:pt>
              </c:numCache>
            </c:numRef>
          </c:xVal>
          <c:yVal>
            <c:numRef>
              <c:f>'Primary activities'!$D$23:$D$24</c:f>
              <c:numCache>
                <c:formatCode>General</c:formatCode>
                <c:ptCount val="2"/>
                <c:pt idx="0">
                  <c:v>5.6554202034834154E-2</c:v>
                </c:pt>
                <c:pt idx="1">
                  <c:v>5.6554202034834154E-2</c:v>
                </c:pt>
              </c:numCache>
            </c:numRef>
          </c:yVal>
          <c:smooth val="0"/>
          <c:extLst>
            <c:ext xmlns:c16="http://schemas.microsoft.com/office/drawing/2014/chart" uri="{C3380CC4-5D6E-409C-BE32-E72D297353CC}">
              <c16:uniqueId val="{00000003-F319-4BAF-B12E-5AC696BD573A}"/>
            </c:ext>
          </c:extLst>
        </c:ser>
        <c:ser>
          <c:idx val="2"/>
          <c:order val="2"/>
          <c:tx>
            <c:strRef>
              <c:f>'Primary activities'!$C$28:$C$29</c:f>
              <c:strCache>
                <c:ptCount val="2"/>
                <c:pt idx="0">
                  <c:v>14</c:v>
                </c:pt>
                <c:pt idx="1">
                  <c:v>14</c:v>
                </c:pt>
              </c:strCache>
            </c:strRef>
          </c:tx>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'Primary activities'!$C$28:$C$29</c:f>
              <c:numCache>
                <c:formatCode>General</c:formatCode>
                <c:ptCount val="2"/>
                <c:pt idx="0">
                  <c:v>14</c:v>
                </c:pt>
                <c:pt idx="1">
                  <c:v>14</c:v>
                </c:pt>
              </c:numCache>
            </c:numRef>
          </c:xVal>
          <c:yVal>
            <c:numRef>
              <c:f>'Primary activities'!$D$28:$D$29</c:f>
              <c:numCache>
                <c:formatCode>General</c:formatCode>
                <c:ptCount val="2"/>
                <c:pt idx="0">
                  <c:v>0</c:v>
                </c:pt>
                <c:pt idx="1">
                  <c:v>0.15103688125363621</c:v>
                </c:pt>
              </c:numCache>
            </c:numRef>
          </c:yVal>
          <c:smooth val="0"/>
          <c:extLst>
            <c:ext xmlns:c16="http://schemas.microsoft.com/office/drawing/2014/chart" uri="{C3380CC4-5D6E-409C-BE32-E72D297353CC}">
              <c16:uniqueId val="{00000004-F319-4BAF-B12E-5AC696BD573A}"/>
            </c:ext>
          </c:extLst>
        </c:ser>
        <c:dLbls>
          <c:showLegendKey val="0"/>
          <c:showVal val="0"/>
          <c:showCatName val="0"/>
          <c:showSerName val="0"/>
          <c:showPercent val="0"/>
          <c:showBubbleSize val="0"/>
        </c:dLbls>
        <c:axId val="320434688"/>
        <c:axId val="320432192"/>
      </c:scatterChart>
      <c:valAx>
        <c:axId val="320434688"/>
        <c:scaling>
          <c:orientation val="minMax"/>
          <c:max val="2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2192"/>
        <c:crosses val="autoZero"/>
        <c:crossBetween val="midCat"/>
      </c:valAx>
      <c:valAx>
        <c:axId val="320432192"/>
        <c:scaling>
          <c:orientation val="minMax"/>
          <c:max val="0.15103688100000004"/>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4688"/>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2019</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6161111111111112"/>
          <c:w val="0.76524153230846148"/>
          <c:h val="0.68059273840769918"/>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FB7F2A08-0F95-4AD3-B7B7-591701A2FF6E}"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1E86-46D0-854A-C8C5E06C0B83}"/>
                </c:ext>
              </c:extLst>
            </c:dLbl>
            <c:dLbl>
              <c:idx val="1"/>
              <c:tx>
                <c:rich>
                  <a:bodyPr/>
                  <a:lstStyle/>
                  <a:p>
                    <a:fld id="{224066FC-12EE-4D99-9269-7789AFC599A3}"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1E86-46D0-854A-C8C5E06C0B8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'Primary activities'!$C$41:$C$42</c:f>
              <c:numCache>
                <c:formatCode>General</c:formatCode>
                <c:ptCount val="2"/>
                <c:pt idx="0">
                  <c:v>10</c:v>
                </c:pt>
                <c:pt idx="1">
                  <c:v>20</c:v>
                </c:pt>
              </c:numCache>
            </c:numRef>
          </c:xVal>
          <c:yVal>
            <c:numRef>
              <c:f>'Primary activities'!$D$41:$D$42</c:f>
              <c:numCache>
                <c:formatCode>General</c:formatCode>
                <c:ptCount val="2"/>
                <c:pt idx="0">
                  <c:v>4.9027320402930938E-2</c:v>
                </c:pt>
                <c:pt idx="1">
                  <c:v>0.1060281799347087</c:v>
                </c:pt>
              </c:numCache>
            </c:numRef>
          </c:yVal>
          <c:smooth val="0"/>
          <c:extLst>
            <c:ext xmlns:c15="http://schemas.microsoft.com/office/drawing/2012/chart" uri="{02D57815-91ED-43cb-92C2-25804820EDAC}">
              <c15:datalabelsRange>
                <c15:f>'Primary activities'!$B$41:$B$42</c15:f>
                <c15:dlblRangeCache>
                  <c:ptCount val="2"/>
                  <c:pt idx="0">
                    <c:v>FTD</c:v>
                  </c:pt>
                  <c:pt idx="1">
                    <c:v>PRO</c:v>
                  </c:pt>
                </c15:dlblRangeCache>
              </c15:datalabelsRange>
            </c:ext>
            <c:ext xmlns:c16="http://schemas.microsoft.com/office/drawing/2014/chart" uri="{C3380CC4-5D6E-409C-BE32-E72D297353CC}">
              <c16:uniqueId val="{00000002-1E86-46D0-854A-C8C5E06C0B83}"/>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'Primary activities'!$C$44:$C$45</c:f>
              <c:numCache>
                <c:formatCode>General</c:formatCode>
                <c:ptCount val="2"/>
                <c:pt idx="0">
                  <c:v>0</c:v>
                </c:pt>
                <c:pt idx="1">
                  <c:v>21</c:v>
                </c:pt>
              </c:numCache>
            </c:numRef>
          </c:xVal>
          <c:yVal>
            <c:numRef>
              <c:f>'Primary activities'!$D$44:$D$45</c:f>
              <c:numCache>
                <c:formatCode>General</c:formatCode>
                <c:ptCount val="2"/>
                <c:pt idx="0">
                  <c:v>5.6137770630382826E-2</c:v>
                </c:pt>
                <c:pt idx="1">
                  <c:v>5.6137770630382826E-2</c:v>
                </c:pt>
              </c:numCache>
            </c:numRef>
          </c:yVal>
          <c:smooth val="0"/>
          <c:extLst>
            <c:ext xmlns:c16="http://schemas.microsoft.com/office/drawing/2014/chart" uri="{C3380CC4-5D6E-409C-BE32-E72D297353CC}">
              <c16:uniqueId val="{00000003-1E86-46D0-854A-C8C5E06C0B83}"/>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'Primary activities'!$C$49:$C$50</c:f>
              <c:numCache>
                <c:formatCode>General</c:formatCode>
                <c:ptCount val="2"/>
                <c:pt idx="0">
                  <c:v>13.8</c:v>
                </c:pt>
                <c:pt idx="1">
                  <c:v>13.8</c:v>
                </c:pt>
              </c:numCache>
            </c:numRef>
          </c:xVal>
          <c:yVal>
            <c:numRef>
              <c:f>'Primary activities'!$D$49:$D$50</c:f>
              <c:numCache>
                <c:formatCode>0.00</c:formatCode>
                <c:ptCount val="2"/>
                <c:pt idx="0" formatCode="General">
                  <c:v>0</c:v>
                </c:pt>
                <c:pt idx="1">
                  <c:v>0.14617558799295174</c:v>
                </c:pt>
              </c:numCache>
            </c:numRef>
          </c:yVal>
          <c:smooth val="0"/>
          <c:extLst>
            <c:ext xmlns:c16="http://schemas.microsoft.com/office/drawing/2014/chart" uri="{C3380CC4-5D6E-409C-BE32-E72D297353CC}">
              <c16:uniqueId val="{00000004-1E86-46D0-854A-C8C5E06C0B83}"/>
            </c:ext>
          </c:extLst>
        </c:ser>
        <c:dLbls>
          <c:showLegendKey val="0"/>
          <c:showVal val="0"/>
          <c:showCatName val="0"/>
          <c:showSerName val="0"/>
          <c:showPercent val="0"/>
          <c:showBubbleSize val="0"/>
        </c:dLbls>
        <c:axId val="426555360"/>
        <c:axId val="426551200"/>
      </c:scatterChart>
      <c:valAx>
        <c:axId val="426555360"/>
        <c:scaling>
          <c:orientation val="minMax"/>
          <c:max val="21"/>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1200"/>
        <c:crosses val="autoZero"/>
        <c:crossBetween val="midCat"/>
      </c:valAx>
      <c:valAx>
        <c:axId val="426551200"/>
        <c:scaling>
          <c:orientation val="minMax"/>
          <c:max val="0.146175588"/>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5360"/>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2018</a:t>
            </a:r>
          </a:p>
        </c:rich>
      </c:tx>
      <c:layout>
        <c:manualLayout>
          <c:xMode val="edge"/>
          <c:yMode val="edge"/>
          <c:x val="0.25671509811273591"/>
          <c:y val="3.240726159230096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5605555555555556"/>
          <c:w val="0.76524153230846148"/>
          <c:h val="0.69725940507436568"/>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3DED5E94-B317-489F-8CAA-0405CA34F125}"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BA08-4CBB-8D75-784A2304A729}"/>
                </c:ext>
              </c:extLst>
            </c:dLbl>
            <c:dLbl>
              <c:idx val="1"/>
              <c:tx>
                <c:rich>
                  <a:bodyPr/>
                  <a:lstStyle/>
                  <a:p>
                    <a:fld id="{DE3E0203-F865-464A-A167-3D29E727862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BA08-4CBB-8D75-784A2304A72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'Primary activities'!$C$61:$C$62</c:f>
              <c:numCache>
                <c:formatCode>General</c:formatCode>
                <c:ptCount val="2"/>
                <c:pt idx="0">
                  <c:v>11</c:v>
                </c:pt>
                <c:pt idx="1">
                  <c:v>18</c:v>
                </c:pt>
              </c:numCache>
            </c:numRef>
          </c:xVal>
          <c:yVal>
            <c:numRef>
              <c:f>'Primary activities'!$D$61:$D$62</c:f>
              <c:numCache>
                <c:formatCode>General</c:formatCode>
                <c:ptCount val="2"/>
                <c:pt idx="0">
                  <c:v>4.0451392982641284E-2</c:v>
                </c:pt>
                <c:pt idx="1">
                  <c:v>0.11233577168405613</c:v>
                </c:pt>
              </c:numCache>
            </c:numRef>
          </c:yVal>
          <c:smooth val="0"/>
          <c:extLst>
            <c:ext xmlns:c15="http://schemas.microsoft.com/office/drawing/2012/chart" uri="{02D57815-91ED-43cb-92C2-25804820EDAC}">
              <c15:datalabelsRange>
                <c15:f>'Primary activities'!$B$61:$B$62</c15:f>
                <c15:dlblRangeCache>
                  <c:ptCount val="2"/>
                  <c:pt idx="0">
                    <c:v>FTD</c:v>
                  </c:pt>
                  <c:pt idx="1">
                    <c:v>PRO</c:v>
                  </c:pt>
                </c15:dlblRangeCache>
              </c15:datalabelsRange>
            </c:ext>
            <c:ext xmlns:c16="http://schemas.microsoft.com/office/drawing/2014/chart" uri="{C3380CC4-5D6E-409C-BE32-E72D297353CC}">
              <c16:uniqueId val="{00000002-BA08-4CBB-8D75-784A2304A729}"/>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'Primary activities'!$C$64:$C$65</c:f>
              <c:numCache>
                <c:formatCode>General</c:formatCode>
                <c:ptCount val="2"/>
                <c:pt idx="0">
                  <c:v>0</c:v>
                </c:pt>
                <c:pt idx="1">
                  <c:v>21</c:v>
                </c:pt>
              </c:numCache>
            </c:numRef>
          </c:xVal>
          <c:yVal>
            <c:numRef>
              <c:f>'Primary activities'!$D$64:$D$65</c:f>
              <c:numCache>
                <c:formatCode>General</c:formatCode>
                <c:ptCount val="2"/>
                <c:pt idx="0">
                  <c:v>5.6830165929940897E-2</c:v>
                </c:pt>
                <c:pt idx="1">
                  <c:v>5.6830165929940897E-2</c:v>
                </c:pt>
              </c:numCache>
            </c:numRef>
          </c:yVal>
          <c:smooth val="0"/>
          <c:extLst>
            <c:ext xmlns:c16="http://schemas.microsoft.com/office/drawing/2014/chart" uri="{C3380CC4-5D6E-409C-BE32-E72D297353CC}">
              <c16:uniqueId val="{00000003-BA08-4CBB-8D75-784A2304A729}"/>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'Primary activities'!$C$69:$C$70</c:f>
              <c:numCache>
                <c:formatCode>General</c:formatCode>
                <c:ptCount val="2"/>
                <c:pt idx="0">
                  <c:v>13.92</c:v>
                </c:pt>
                <c:pt idx="1">
                  <c:v>13.92</c:v>
                </c:pt>
              </c:numCache>
            </c:numRef>
          </c:xVal>
          <c:yVal>
            <c:numRef>
              <c:f>'Primary activities'!$D$69:$D$70</c:f>
              <c:numCache>
                <c:formatCode>0.00</c:formatCode>
                <c:ptCount val="2"/>
                <c:pt idx="0" formatCode="General">
                  <c:v>0</c:v>
                </c:pt>
                <c:pt idx="1">
                  <c:v>0.13591806377731477</c:v>
                </c:pt>
              </c:numCache>
            </c:numRef>
          </c:yVal>
          <c:smooth val="0"/>
          <c:extLst>
            <c:ext xmlns:c16="http://schemas.microsoft.com/office/drawing/2014/chart" uri="{C3380CC4-5D6E-409C-BE32-E72D297353CC}">
              <c16:uniqueId val="{00000004-BA08-4CBB-8D75-784A2304A729}"/>
            </c:ext>
          </c:extLst>
        </c:ser>
        <c:dLbls>
          <c:showLegendKey val="0"/>
          <c:showVal val="0"/>
          <c:showCatName val="0"/>
          <c:showSerName val="0"/>
          <c:showPercent val="0"/>
          <c:showBubbleSize val="0"/>
        </c:dLbls>
        <c:axId val="314595056"/>
        <c:axId val="314594640"/>
      </c:scatterChart>
      <c:valAx>
        <c:axId val="314595056"/>
        <c:scaling>
          <c:orientation val="minMax"/>
          <c:max val="21"/>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4640"/>
        <c:crosses val="autoZero"/>
        <c:crossBetween val="midCat"/>
      </c:valAx>
      <c:valAx>
        <c:axId val="314594640"/>
        <c:scaling>
          <c:orientation val="minMax"/>
          <c:max val="0.13591806400000003"/>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5056"/>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2021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5605555555555559"/>
          <c:w val="0.76524153230846148"/>
          <c:h val="0.69170384951881014"/>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DA4007B6-678E-4EF6-92BD-CD20AAE31A2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D6BB-4677-BC73-17825851CD64}"/>
                </c:ext>
              </c:extLst>
            </c:dLbl>
            <c:dLbl>
              <c:idx val="1"/>
              <c:tx>
                <c:rich>
                  <a:bodyPr/>
                  <a:lstStyle/>
                  <a:p>
                    <a:fld id="{0A5AEF3A-70A8-4E3A-84EC-EEE720850D90}"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D6BB-4677-BC73-17825851CD64}"/>
                </c:ext>
              </c:extLst>
            </c:dLbl>
            <c:dLbl>
              <c:idx val="2"/>
              <c:tx>
                <c:rich>
                  <a:bodyPr/>
                  <a:lstStyle/>
                  <a:p>
                    <a:fld id="{163B8CF6-ED76-4859-BB2C-B00322400E2B}"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D6BB-4677-BC73-17825851CD64}"/>
                </c:ext>
              </c:extLst>
            </c:dLbl>
            <c:dLbl>
              <c:idx val="3"/>
              <c:tx>
                <c:rich>
                  <a:bodyPr/>
                  <a:lstStyle/>
                  <a:p>
                    <a:fld id="{1CD510A6-BA23-46C7-8FE4-179AA85BC02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D6BB-4677-BC73-17825851CD64}"/>
                </c:ext>
              </c:extLst>
            </c:dLbl>
            <c:dLbl>
              <c:idx val="4"/>
              <c:tx>
                <c:rich>
                  <a:bodyPr/>
                  <a:lstStyle/>
                  <a:p>
                    <a:fld id="{01B019F3-6C7D-40A3-A192-A7E69B56E33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D6BB-4677-BC73-17825851CD6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'Support activities'!$C$3:$C$7</c:f>
              <c:numCache>
                <c:formatCode>General</c:formatCode>
                <c:ptCount val="5"/>
                <c:pt idx="0">
                  <c:v>16</c:v>
                </c:pt>
                <c:pt idx="1">
                  <c:v>21</c:v>
                </c:pt>
                <c:pt idx="2">
                  <c:v>19</c:v>
                </c:pt>
                <c:pt idx="3">
                  <c:v>17</c:v>
                </c:pt>
                <c:pt idx="4">
                  <c:v>12</c:v>
                </c:pt>
              </c:numCache>
            </c:numRef>
          </c:xVal>
          <c:yVal>
            <c:numRef>
              <c:f>'Support activities'!$D$3:$D$7</c:f>
              <c:numCache>
                <c:formatCode>General</c:formatCode>
                <c:ptCount val="5"/>
                <c:pt idx="0">
                  <c:v>4.2060047211931267E-2</c:v>
                </c:pt>
                <c:pt idx="1">
                  <c:v>0.15394838422728568</c:v>
                </c:pt>
                <c:pt idx="2">
                  <c:v>6.8623205104894253E-2</c:v>
                </c:pt>
                <c:pt idx="3">
                  <c:v>9.0526951761127308E-2</c:v>
                </c:pt>
                <c:pt idx="4">
                  <c:v>3.5597619801454886E-2</c:v>
                </c:pt>
              </c:numCache>
            </c:numRef>
          </c:yVal>
          <c:smooth val="0"/>
          <c:extLst>
            <c:ext xmlns:c15="http://schemas.microsoft.com/office/drawing/2012/chart" uri="{02D57815-91ED-43cb-92C2-25804820EDAC}">
              <c15:datalabelsRange>
                <c15:f>'Support activities'!$B$3:$B$7</c15:f>
                <c15:dlblRangeCache>
                  <c:ptCount val="5"/>
                  <c:pt idx="0">
                    <c:v>GNM</c:v>
                  </c:pt>
                  <c:pt idx="1">
                    <c:v>RKM</c:v>
                  </c:pt>
                  <c:pt idx="2">
                    <c:v>FIN</c:v>
                  </c:pt>
                  <c:pt idx="3">
                    <c:v>CON</c:v>
                  </c:pt>
                  <c:pt idx="4">
                    <c:v>MNA</c:v>
                  </c:pt>
                </c15:dlblRangeCache>
              </c15:datalabelsRange>
            </c:ext>
            <c:ext xmlns:c16="http://schemas.microsoft.com/office/drawing/2014/chart" uri="{C3380CC4-5D6E-409C-BE32-E72D297353CC}">
              <c16:uniqueId val="{00000005-D6BB-4677-BC73-17825851CD64}"/>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'Support activities'!$C$9:$C$10</c:f>
              <c:numCache>
                <c:formatCode>General</c:formatCode>
                <c:ptCount val="2"/>
                <c:pt idx="0">
                  <c:v>0</c:v>
                </c:pt>
                <c:pt idx="1">
                  <c:v>21</c:v>
                </c:pt>
              </c:numCache>
            </c:numRef>
          </c:xVal>
          <c:yVal>
            <c:numRef>
              <c:f>'Support activities'!$D$9:$D$10</c:f>
              <c:numCache>
                <c:formatCode>General</c:formatCode>
                <c:ptCount val="2"/>
                <c:pt idx="0">
                  <c:v>5.6368289429504011E-2</c:v>
                </c:pt>
                <c:pt idx="1">
                  <c:v>5.6368289429504011E-2</c:v>
                </c:pt>
              </c:numCache>
            </c:numRef>
          </c:yVal>
          <c:smooth val="0"/>
          <c:extLst>
            <c:ext xmlns:c16="http://schemas.microsoft.com/office/drawing/2014/chart" uri="{C3380CC4-5D6E-409C-BE32-E72D297353CC}">
              <c16:uniqueId val="{00000006-D6BB-4677-BC73-17825851CD64}"/>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'Support activities'!$C$14:$C$15</c:f>
              <c:numCache>
                <c:formatCode>General</c:formatCode>
                <c:ptCount val="2"/>
                <c:pt idx="0">
                  <c:v>13.4</c:v>
                </c:pt>
                <c:pt idx="1">
                  <c:v>13.4</c:v>
                </c:pt>
              </c:numCache>
            </c:numRef>
          </c:xVal>
          <c:yVal>
            <c:numRef>
              <c:f>'Support activities'!$D$14:$D$15</c:f>
              <c:numCache>
                <c:formatCode>0.00</c:formatCode>
                <c:ptCount val="2"/>
                <c:pt idx="0" formatCode="General">
                  <c:v>0</c:v>
                </c:pt>
                <c:pt idx="1">
                  <c:v>0.15394838422728568</c:v>
                </c:pt>
              </c:numCache>
            </c:numRef>
          </c:yVal>
          <c:smooth val="0"/>
          <c:extLst>
            <c:ext xmlns:c16="http://schemas.microsoft.com/office/drawing/2014/chart" uri="{C3380CC4-5D6E-409C-BE32-E72D297353CC}">
              <c16:uniqueId val="{00000007-D6BB-4677-BC73-17825851CD64}"/>
            </c:ext>
          </c:extLst>
        </c:ser>
        <c:dLbls>
          <c:showLegendKey val="0"/>
          <c:showVal val="0"/>
          <c:showCatName val="0"/>
          <c:showSerName val="0"/>
          <c:showPercent val="0"/>
          <c:showBubbleSize val="0"/>
        </c:dLbls>
        <c:axId val="340807024"/>
        <c:axId val="423992384"/>
      </c:scatterChart>
      <c:valAx>
        <c:axId val="340807024"/>
        <c:scaling>
          <c:orientation val="minMax"/>
          <c:max val="21"/>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92384"/>
        <c:crosses val="autoZero"/>
        <c:crossBetween val="midCat"/>
      </c:valAx>
      <c:valAx>
        <c:axId val="423992384"/>
        <c:scaling>
          <c:orientation val="minMax"/>
          <c:max val="0.15394838400000008"/>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807024"/>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userShapes r:id="rId4"/>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2020</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6716666666666669"/>
          <c:w val="0.76524153230846148"/>
          <c:h val="0.69170384951881014"/>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3A97E60D-0F38-4667-8136-B4F3CEAF685E}"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881F-47BD-94D7-9069E9A771D5}"/>
                </c:ext>
              </c:extLst>
            </c:dLbl>
            <c:dLbl>
              <c:idx val="1"/>
              <c:tx>
                <c:rich>
                  <a:bodyPr/>
                  <a:lstStyle/>
                  <a:p>
                    <a:fld id="{EBAAC3B0-6442-4FE6-86E0-781A0F6B966F}"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881F-47BD-94D7-9069E9A771D5}"/>
                </c:ext>
              </c:extLst>
            </c:dLbl>
            <c:dLbl>
              <c:idx val="2"/>
              <c:tx>
                <c:rich>
                  <a:bodyPr/>
                  <a:lstStyle/>
                  <a:p>
                    <a:fld id="{E76B061F-0DAC-488F-AE76-FF69267E3CD5}"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881F-47BD-94D7-9069E9A771D5}"/>
                </c:ext>
              </c:extLst>
            </c:dLbl>
            <c:dLbl>
              <c:idx val="3"/>
              <c:tx>
                <c:rich>
                  <a:bodyPr/>
                  <a:lstStyle/>
                  <a:p>
                    <a:fld id="{28AD8BA8-FE98-49BD-B617-87E764841E07}"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881F-47BD-94D7-9069E9A771D5}"/>
                </c:ext>
              </c:extLst>
            </c:dLbl>
            <c:dLbl>
              <c:idx val="4"/>
              <c:tx>
                <c:rich>
                  <a:bodyPr/>
                  <a:lstStyle/>
                  <a:p>
                    <a:fld id="{0E5A1A7D-596F-4F26-BE18-87F593438ACC}"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881F-47BD-94D7-9069E9A771D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'Support activities'!$C$23:$C$27</c:f>
              <c:numCache>
                <c:formatCode>General</c:formatCode>
                <c:ptCount val="5"/>
                <c:pt idx="0">
                  <c:v>17</c:v>
                </c:pt>
                <c:pt idx="1">
                  <c:v>22</c:v>
                </c:pt>
                <c:pt idx="2">
                  <c:v>20</c:v>
                </c:pt>
                <c:pt idx="3">
                  <c:v>18</c:v>
                </c:pt>
                <c:pt idx="4">
                  <c:v>13</c:v>
                </c:pt>
              </c:numCache>
            </c:numRef>
          </c:xVal>
          <c:yVal>
            <c:numRef>
              <c:f>'Support activities'!$D$23:$D$27</c:f>
              <c:numCache>
                <c:formatCode>General</c:formatCode>
                <c:ptCount val="5"/>
                <c:pt idx="0">
                  <c:v>4.1129932740712853E-2</c:v>
                </c:pt>
                <c:pt idx="1">
                  <c:v>0.15103688125363621</c:v>
                </c:pt>
                <c:pt idx="2">
                  <c:v>6.7879361299603577E-2</c:v>
                </c:pt>
                <c:pt idx="3">
                  <c:v>9.0955266464891757E-2</c:v>
                </c:pt>
                <c:pt idx="4">
                  <c:v>3.451716263308708E-2</c:v>
                </c:pt>
              </c:numCache>
            </c:numRef>
          </c:yVal>
          <c:smooth val="0"/>
          <c:extLst>
            <c:ext xmlns:c15="http://schemas.microsoft.com/office/drawing/2012/chart" uri="{02D57815-91ED-43cb-92C2-25804820EDAC}">
              <c15:datalabelsRange>
                <c15:f>'Support activities'!$B$23:$B$27</c15:f>
                <c15:dlblRangeCache>
                  <c:ptCount val="5"/>
                  <c:pt idx="0">
                    <c:v>GNM</c:v>
                  </c:pt>
                  <c:pt idx="1">
                    <c:v>RKM</c:v>
                  </c:pt>
                  <c:pt idx="2">
                    <c:v>FIN</c:v>
                  </c:pt>
                  <c:pt idx="3">
                    <c:v>CON</c:v>
                  </c:pt>
                  <c:pt idx="4">
                    <c:v>MNA</c:v>
                  </c:pt>
                </c15:dlblRangeCache>
              </c15:datalabelsRange>
            </c:ext>
            <c:ext xmlns:c16="http://schemas.microsoft.com/office/drawing/2014/chart" uri="{C3380CC4-5D6E-409C-BE32-E72D297353CC}">
              <c16:uniqueId val="{00000005-881F-47BD-94D7-9069E9A771D5}"/>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'Support activities'!$C$29:$C$30</c:f>
              <c:numCache>
                <c:formatCode>General</c:formatCode>
                <c:ptCount val="2"/>
                <c:pt idx="0">
                  <c:v>0</c:v>
                </c:pt>
                <c:pt idx="1">
                  <c:v>22</c:v>
                </c:pt>
              </c:numCache>
            </c:numRef>
          </c:xVal>
          <c:yVal>
            <c:numRef>
              <c:f>'Support activities'!$D$29:$D$30</c:f>
              <c:numCache>
                <c:formatCode>General</c:formatCode>
                <c:ptCount val="2"/>
                <c:pt idx="0">
                  <c:v>5.6554202034834154E-2</c:v>
                </c:pt>
                <c:pt idx="1">
                  <c:v>5.6554202034834154E-2</c:v>
                </c:pt>
              </c:numCache>
            </c:numRef>
          </c:yVal>
          <c:smooth val="0"/>
          <c:extLst>
            <c:ext xmlns:c16="http://schemas.microsoft.com/office/drawing/2014/chart" uri="{C3380CC4-5D6E-409C-BE32-E72D297353CC}">
              <c16:uniqueId val="{00000006-881F-47BD-94D7-9069E9A771D5}"/>
            </c:ext>
          </c:extLst>
        </c:ser>
        <c:ser>
          <c:idx val="2"/>
          <c:order val="2"/>
          <c:tx>
            <c:strRef>
              <c:f>'Support activities'!$C$34:$C$35</c:f>
              <c:strCache>
                <c:ptCount val="2"/>
                <c:pt idx="0">
                  <c:v>14</c:v>
                </c:pt>
                <c:pt idx="1">
                  <c:v>14</c:v>
                </c:pt>
              </c:strCache>
            </c:strRef>
          </c:tx>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'Support activities'!$C$34:$C$35</c:f>
              <c:numCache>
                <c:formatCode>General</c:formatCode>
                <c:ptCount val="2"/>
                <c:pt idx="0">
                  <c:v>14</c:v>
                </c:pt>
                <c:pt idx="1">
                  <c:v>14</c:v>
                </c:pt>
              </c:numCache>
            </c:numRef>
          </c:xVal>
          <c:yVal>
            <c:numRef>
              <c:f>'Support activities'!$D$34:$D$35</c:f>
              <c:numCache>
                <c:formatCode>General</c:formatCode>
                <c:ptCount val="2"/>
                <c:pt idx="0">
                  <c:v>0</c:v>
                </c:pt>
                <c:pt idx="1">
                  <c:v>0.15103688125363621</c:v>
                </c:pt>
              </c:numCache>
            </c:numRef>
          </c:yVal>
          <c:smooth val="0"/>
          <c:extLst>
            <c:ext xmlns:c16="http://schemas.microsoft.com/office/drawing/2014/chart" uri="{C3380CC4-5D6E-409C-BE32-E72D297353CC}">
              <c16:uniqueId val="{00000007-881F-47BD-94D7-9069E9A771D5}"/>
            </c:ext>
          </c:extLst>
        </c:ser>
        <c:dLbls>
          <c:showLegendKey val="0"/>
          <c:showVal val="0"/>
          <c:showCatName val="0"/>
          <c:showSerName val="0"/>
          <c:showPercent val="0"/>
          <c:showBubbleSize val="0"/>
        </c:dLbls>
        <c:axId val="320434688"/>
        <c:axId val="320432192"/>
      </c:scatterChart>
      <c:valAx>
        <c:axId val="320434688"/>
        <c:scaling>
          <c:orientation val="minMax"/>
          <c:max val="2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2192"/>
        <c:crosses val="autoZero"/>
        <c:crossBetween val="midCat"/>
      </c:valAx>
      <c:valAx>
        <c:axId val="320432192"/>
        <c:scaling>
          <c:orientation val="minMax"/>
          <c:max val="0.15103688100000004"/>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4688"/>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userShapes r:id="rId4"/>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2019</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5605555555555556"/>
          <c:w val="0.76524153230846148"/>
          <c:h val="0.68614829396325472"/>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DFEBE32D-CD95-4470-969A-973A051B1EC8}"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78BC-40C1-853E-4AB95CEB8CBB}"/>
                </c:ext>
              </c:extLst>
            </c:dLbl>
            <c:dLbl>
              <c:idx val="1"/>
              <c:tx>
                <c:rich>
                  <a:bodyPr/>
                  <a:lstStyle/>
                  <a:p>
                    <a:fld id="{9331D452-DBB4-4A13-A970-95D1FC2BBF28}"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78BC-40C1-853E-4AB95CEB8CBB}"/>
                </c:ext>
              </c:extLst>
            </c:dLbl>
            <c:dLbl>
              <c:idx val="2"/>
              <c:tx>
                <c:rich>
                  <a:bodyPr/>
                  <a:lstStyle/>
                  <a:p>
                    <a:fld id="{1184F2B3-A781-42F0-8F43-E0179E16DF83}"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78BC-40C1-853E-4AB95CEB8CBB}"/>
                </c:ext>
              </c:extLst>
            </c:dLbl>
            <c:dLbl>
              <c:idx val="3"/>
              <c:tx>
                <c:rich>
                  <a:bodyPr/>
                  <a:lstStyle/>
                  <a:p>
                    <a:fld id="{E91DC2F8-5540-4D17-BA20-1F54A6B802BE}"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78BC-40C1-853E-4AB95CEB8CBB}"/>
                </c:ext>
              </c:extLst>
            </c:dLbl>
            <c:dLbl>
              <c:idx val="4"/>
              <c:tx>
                <c:rich>
                  <a:bodyPr/>
                  <a:lstStyle/>
                  <a:p>
                    <a:fld id="{E2A79C6F-F52E-41B6-A823-AA33E34389E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78BC-40C1-853E-4AB95CEB8CB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'Support activities'!$C$47:$C$51</c:f>
              <c:numCache>
                <c:formatCode>General</c:formatCode>
                <c:ptCount val="5"/>
                <c:pt idx="0">
                  <c:v>17</c:v>
                </c:pt>
                <c:pt idx="1">
                  <c:v>21</c:v>
                </c:pt>
                <c:pt idx="2">
                  <c:v>20</c:v>
                </c:pt>
                <c:pt idx="3">
                  <c:v>20</c:v>
                </c:pt>
                <c:pt idx="4">
                  <c:v>13</c:v>
                </c:pt>
              </c:numCache>
            </c:numRef>
          </c:xVal>
          <c:yVal>
            <c:numRef>
              <c:f>'Support activities'!$D$47:$D$51</c:f>
              <c:numCache>
                <c:formatCode>General</c:formatCode>
                <c:ptCount val="5"/>
                <c:pt idx="0">
                  <c:v>4.3881725432449781E-2</c:v>
                </c:pt>
                <c:pt idx="1">
                  <c:v>0.14617558799295174</c:v>
                </c:pt>
                <c:pt idx="2">
                  <c:v>9.7016688138929164E-2</c:v>
                </c:pt>
                <c:pt idx="3">
                  <c:v>6.7872138664114928E-2</c:v>
                </c:pt>
                <c:pt idx="4">
                  <c:v>2.968188694587489E-2</c:v>
                </c:pt>
              </c:numCache>
            </c:numRef>
          </c:yVal>
          <c:smooth val="0"/>
          <c:extLst>
            <c:ext xmlns:c15="http://schemas.microsoft.com/office/drawing/2012/chart" uri="{02D57815-91ED-43cb-92C2-25804820EDAC}">
              <c15:datalabelsRange>
                <c15:f>'Support activities'!$B$47:$B$51</c15:f>
                <c15:dlblRangeCache>
                  <c:ptCount val="5"/>
                  <c:pt idx="0">
                    <c:v>GNM</c:v>
                  </c:pt>
                  <c:pt idx="1">
                    <c:v>RKM</c:v>
                  </c:pt>
                  <c:pt idx="2">
                    <c:v>FIN</c:v>
                  </c:pt>
                  <c:pt idx="3">
                    <c:v>CON</c:v>
                  </c:pt>
                  <c:pt idx="4">
                    <c:v>MNA</c:v>
                  </c:pt>
                </c15:dlblRangeCache>
              </c15:datalabelsRange>
            </c:ext>
            <c:ext xmlns:c16="http://schemas.microsoft.com/office/drawing/2014/chart" uri="{C3380CC4-5D6E-409C-BE32-E72D297353CC}">
              <c16:uniqueId val="{00000005-78BC-40C1-853E-4AB95CEB8CBB}"/>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'Support activities'!$C$53:$C$54</c:f>
              <c:numCache>
                <c:formatCode>General</c:formatCode>
                <c:ptCount val="2"/>
                <c:pt idx="0">
                  <c:v>0</c:v>
                </c:pt>
                <c:pt idx="1">
                  <c:v>21</c:v>
                </c:pt>
              </c:numCache>
            </c:numRef>
          </c:xVal>
          <c:yVal>
            <c:numRef>
              <c:f>'Support activities'!$D$53:$D$54</c:f>
              <c:numCache>
                <c:formatCode>General</c:formatCode>
                <c:ptCount val="2"/>
                <c:pt idx="0">
                  <c:v>5.6137770630382826E-2</c:v>
                </c:pt>
                <c:pt idx="1">
                  <c:v>5.6137770630382826E-2</c:v>
                </c:pt>
              </c:numCache>
            </c:numRef>
          </c:yVal>
          <c:smooth val="0"/>
          <c:extLst>
            <c:ext xmlns:c16="http://schemas.microsoft.com/office/drawing/2014/chart" uri="{C3380CC4-5D6E-409C-BE32-E72D297353CC}">
              <c16:uniqueId val="{00000006-78BC-40C1-853E-4AB95CEB8CBB}"/>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'Support activities'!$C$58:$C$59</c:f>
              <c:numCache>
                <c:formatCode>General</c:formatCode>
                <c:ptCount val="2"/>
                <c:pt idx="0">
                  <c:v>13.8</c:v>
                </c:pt>
                <c:pt idx="1">
                  <c:v>13.8</c:v>
                </c:pt>
              </c:numCache>
            </c:numRef>
          </c:xVal>
          <c:yVal>
            <c:numRef>
              <c:f>'Support activities'!$D$58:$D$59</c:f>
              <c:numCache>
                <c:formatCode>0.00</c:formatCode>
                <c:ptCount val="2"/>
                <c:pt idx="0" formatCode="General">
                  <c:v>0</c:v>
                </c:pt>
                <c:pt idx="1">
                  <c:v>0.14617558799295174</c:v>
                </c:pt>
              </c:numCache>
            </c:numRef>
          </c:yVal>
          <c:smooth val="0"/>
          <c:extLst>
            <c:ext xmlns:c16="http://schemas.microsoft.com/office/drawing/2014/chart" uri="{C3380CC4-5D6E-409C-BE32-E72D297353CC}">
              <c16:uniqueId val="{00000007-78BC-40C1-853E-4AB95CEB8CBB}"/>
            </c:ext>
          </c:extLst>
        </c:ser>
        <c:dLbls>
          <c:showLegendKey val="0"/>
          <c:showVal val="0"/>
          <c:showCatName val="0"/>
          <c:showSerName val="0"/>
          <c:showPercent val="0"/>
          <c:showBubbleSize val="0"/>
        </c:dLbls>
        <c:axId val="426555360"/>
        <c:axId val="426551200"/>
      </c:scatterChart>
      <c:valAx>
        <c:axId val="426555360"/>
        <c:scaling>
          <c:orientation val="minMax"/>
          <c:max val="21"/>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1200"/>
        <c:crosses val="autoZero"/>
        <c:crossBetween val="midCat"/>
      </c:valAx>
      <c:valAx>
        <c:axId val="426551200"/>
        <c:scaling>
          <c:orientation val="minMax"/>
          <c:max val="0.146175588"/>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5360"/>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All companies, </a:t>
            </a:r>
            <a:r>
              <a:rPr lang="en-US" baseline="0"/>
              <a:t>2018</a:t>
            </a:r>
          </a:p>
        </c:rich>
      </c:tx>
      <c:layout>
        <c:manualLayout>
          <c:xMode val="edge"/>
          <c:yMode val="edge"/>
          <c:x val="0.230059680039995"/>
          <c:y val="3.240726159230096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6161111111111115"/>
          <c:w val="0.76524153230846148"/>
          <c:h val="0.67503718285214354"/>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EEFD384F-7764-498F-9B13-326F8FC5CED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8A72-40BE-976F-4967EAB2FA3B}"/>
                </c:ext>
              </c:extLst>
            </c:dLbl>
            <c:dLbl>
              <c:idx val="1"/>
              <c:tx>
                <c:rich>
                  <a:bodyPr/>
                  <a:lstStyle/>
                  <a:p>
                    <a:fld id="{663A21D5-48FC-497E-99B4-A4B1129A517D}"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8A72-40BE-976F-4967EAB2FA3B}"/>
                </c:ext>
              </c:extLst>
            </c:dLbl>
            <c:dLbl>
              <c:idx val="2"/>
              <c:tx>
                <c:rich>
                  <a:bodyPr/>
                  <a:lstStyle/>
                  <a:p>
                    <a:fld id="{56606B84-44CD-4D40-9CEA-0D94E35D837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8A72-40BE-976F-4967EAB2FA3B}"/>
                </c:ext>
              </c:extLst>
            </c:dLbl>
            <c:dLbl>
              <c:idx val="3"/>
              <c:tx>
                <c:rich>
                  <a:bodyPr/>
                  <a:lstStyle/>
                  <a:p>
                    <a:fld id="{CE028C44-476D-41A5-9431-C9AF783C9849}"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8A72-40BE-976F-4967EAB2FA3B}"/>
                </c:ext>
              </c:extLst>
            </c:dLbl>
            <c:dLbl>
              <c:idx val="4"/>
              <c:tx>
                <c:rich>
                  <a:bodyPr/>
                  <a:lstStyle/>
                  <a:p>
                    <a:fld id="{3B9B67CE-725D-4D8F-8684-28DAC2D54AD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8A72-40BE-976F-4967EAB2FA3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'Support activities'!$C$70:$C$74</c:f>
              <c:numCache>
                <c:formatCode>General</c:formatCode>
                <c:ptCount val="5"/>
                <c:pt idx="0">
                  <c:v>17</c:v>
                </c:pt>
                <c:pt idx="1">
                  <c:v>20</c:v>
                </c:pt>
                <c:pt idx="2">
                  <c:v>21</c:v>
                </c:pt>
                <c:pt idx="3">
                  <c:v>20</c:v>
                </c:pt>
                <c:pt idx="4">
                  <c:v>13</c:v>
                </c:pt>
              </c:numCache>
            </c:numRef>
          </c:xVal>
          <c:yVal>
            <c:numRef>
              <c:f>'Support activities'!$D$70:$D$74</c:f>
              <c:numCache>
                <c:formatCode>General</c:formatCode>
                <c:ptCount val="5"/>
                <c:pt idx="0">
                  <c:v>4.165591311949577E-2</c:v>
                </c:pt>
                <c:pt idx="1">
                  <c:v>0.13591806377731477</c:v>
                </c:pt>
                <c:pt idx="2">
                  <c:v>9.5895177490392752E-2</c:v>
                </c:pt>
                <c:pt idx="3">
                  <c:v>6.8868604449965287E-2</c:v>
                </c:pt>
                <c:pt idx="4">
                  <c:v>3.2578298498355689E-2</c:v>
                </c:pt>
              </c:numCache>
            </c:numRef>
          </c:yVal>
          <c:smooth val="0"/>
          <c:extLst>
            <c:ext xmlns:c15="http://schemas.microsoft.com/office/drawing/2012/chart" uri="{02D57815-91ED-43cb-92C2-25804820EDAC}">
              <c15:datalabelsRange>
                <c15:f>'Support activities'!$B$70:$B$74</c15:f>
                <c15:dlblRangeCache>
                  <c:ptCount val="5"/>
                  <c:pt idx="0">
                    <c:v>GNM</c:v>
                  </c:pt>
                  <c:pt idx="1">
                    <c:v>RKM</c:v>
                  </c:pt>
                  <c:pt idx="2">
                    <c:v>FIN</c:v>
                  </c:pt>
                  <c:pt idx="3">
                    <c:v>CON</c:v>
                  </c:pt>
                  <c:pt idx="4">
                    <c:v>MNA</c:v>
                  </c:pt>
                </c15:dlblRangeCache>
              </c15:datalabelsRange>
            </c:ext>
            <c:ext xmlns:c16="http://schemas.microsoft.com/office/drawing/2014/chart" uri="{C3380CC4-5D6E-409C-BE32-E72D297353CC}">
              <c16:uniqueId val="{00000005-8A72-40BE-976F-4967EAB2FA3B}"/>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'Support activities'!$C$76:$C$77</c:f>
              <c:numCache>
                <c:formatCode>General</c:formatCode>
                <c:ptCount val="2"/>
                <c:pt idx="0">
                  <c:v>0</c:v>
                </c:pt>
                <c:pt idx="1">
                  <c:v>21</c:v>
                </c:pt>
              </c:numCache>
            </c:numRef>
          </c:xVal>
          <c:yVal>
            <c:numRef>
              <c:f>'Support activities'!$D$76:$D$77</c:f>
              <c:numCache>
                <c:formatCode>General</c:formatCode>
                <c:ptCount val="2"/>
                <c:pt idx="0">
                  <c:v>5.6830165929940897E-2</c:v>
                </c:pt>
                <c:pt idx="1">
                  <c:v>5.6830165929940897E-2</c:v>
                </c:pt>
              </c:numCache>
            </c:numRef>
          </c:yVal>
          <c:smooth val="0"/>
          <c:extLst>
            <c:ext xmlns:c16="http://schemas.microsoft.com/office/drawing/2014/chart" uri="{C3380CC4-5D6E-409C-BE32-E72D297353CC}">
              <c16:uniqueId val="{00000006-8A72-40BE-976F-4967EAB2FA3B}"/>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'Support activities'!$C$81:$C$82</c:f>
              <c:numCache>
                <c:formatCode>General</c:formatCode>
                <c:ptCount val="2"/>
                <c:pt idx="0">
                  <c:v>13.92</c:v>
                </c:pt>
                <c:pt idx="1">
                  <c:v>13.92</c:v>
                </c:pt>
              </c:numCache>
            </c:numRef>
          </c:xVal>
          <c:yVal>
            <c:numRef>
              <c:f>'Support activities'!$D$81:$D$82</c:f>
              <c:numCache>
                <c:formatCode>0.00</c:formatCode>
                <c:ptCount val="2"/>
                <c:pt idx="0" formatCode="General">
                  <c:v>0</c:v>
                </c:pt>
                <c:pt idx="1">
                  <c:v>0.13591806377731477</c:v>
                </c:pt>
              </c:numCache>
            </c:numRef>
          </c:yVal>
          <c:smooth val="0"/>
          <c:extLst>
            <c:ext xmlns:c16="http://schemas.microsoft.com/office/drawing/2014/chart" uri="{C3380CC4-5D6E-409C-BE32-E72D297353CC}">
              <c16:uniqueId val="{00000007-8A72-40BE-976F-4967EAB2FA3B}"/>
            </c:ext>
          </c:extLst>
        </c:ser>
        <c:dLbls>
          <c:showLegendKey val="0"/>
          <c:showVal val="0"/>
          <c:showCatName val="0"/>
          <c:showSerName val="0"/>
          <c:showPercent val="0"/>
          <c:showBubbleSize val="0"/>
        </c:dLbls>
        <c:axId val="314595056"/>
        <c:axId val="314594640"/>
      </c:scatterChart>
      <c:valAx>
        <c:axId val="314595056"/>
        <c:scaling>
          <c:orientation val="minMax"/>
          <c:max val="21"/>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4640"/>
        <c:crosses val="autoZero"/>
        <c:crossBetween val="midCat"/>
      </c:valAx>
      <c:valAx>
        <c:axId val="314594640"/>
        <c:scaling>
          <c:orientation val="minMax"/>
          <c:max val="0.13591806400000003"/>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5056"/>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Primary biofuel, </a:t>
            </a:r>
            <a:r>
              <a:rPr lang="en-US" baseline="0"/>
              <a:t>2021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3938888888888892"/>
          <c:w val="0.77428915135608045"/>
          <c:h val="0.68614829396325461"/>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FB221B4E-4D7A-4A93-AAF7-8F10E98DA06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EBAC-4FF5-A191-CBC21EB50DA8}"/>
                </c:ext>
              </c:extLst>
            </c:dLbl>
            <c:dLbl>
              <c:idx val="1"/>
              <c:tx>
                <c:rich>
                  <a:bodyPr/>
                  <a:lstStyle/>
                  <a:p>
                    <a:fld id="{A3959564-272A-4ADD-BCB6-36D9FB5C4078}"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EBAC-4FF5-A191-CBC21EB50DA8}"/>
                </c:ext>
              </c:extLst>
            </c:dLbl>
            <c:dLbl>
              <c:idx val="2"/>
              <c:tx>
                <c:rich>
                  <a:bodyPr/>
                  <a:lstStyle/>
                  <a:p>
                    <a:fld id="{EBAC1CE3-73C1-41F5-922E-AA5E507445F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EBAC-4FF5-A191-CBC21EB50DA8}"/>
                </c:ext>
              </c:extLst>
            </c:dLbl>
            <c:dLbl>
              <c:idx val="3"/>
              <c:tx>
                <c:rich>
                  <a:bodyPr/>
                  <a:lstStyle/>
                  <a:p>
                    <a:fld id="{C3FB15DE-C1F2-424F-939F-72D1E4BF00D5}"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EBAC-4FF5-A191-CBC21EB50DA8}"/>
                </c:ext>
              </c:extLst>
            </c:dLbl>
            <c:dLbl>
              <c:idx val="4"/>
              <c:tx>
                <c:rich>
                  <a:bodyPr/>
                  <a:lstStyle/>
                  <a:p>
                    <a:fld id="{54A3AEF9-A7FE-403A-B821-CD38A5BD7600}"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EBAC-4FF5-A191-CBC21EB50DA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'Political (PB)'!$C$3:$C$7</c:f>
              <c:numCache>
                <c:formatCode>General</c:formatCode>
                <c:ptCount val="5"/>
                <c:pt idx="0">
                  <c:v>8</c:v>
                </c:pt>
                <c:pt idx="1">
                  <c:v>6</c:v>
                </c:pt>
                <c:pt idx="2">
                  <c:v>5</c:v>
                </c:pt>
                <c:pt idx="3">
                  <c:v>5</c:v>
                </c:pt>
                <c:pt idx="4">
                  <c:v>7</c:v>
                </c:pt>
              </c:numCache>
            </c:numRef>
          </c:xVal>
          <c:yVal>
            <c:numRef>
              <c:f>'Political (PB)'!$D$3:$D$7</c:f>
              <c:numCache>
                <c:formatCode>General</c:formatCode>
                <c:ptCount val="5"/>
                <c:pt idx="0">
                  <c:v>0.10511128149997039</c:v>
                </c:pt>
                <c:pt idx="1">
                  <c:v>4.1239342127210886E-2</c:v>
                </c:pt>
                <c:pt idx="2">
                  <c:v>3.7471149368334192E-2</c:v>
                </c:pt>
                <c:pt idx="3">
                  <c:v>3.0677227301546716E-2</c:v>
                </c:pt>
                <c:pt idx="4">
                  <c:v>4.0131832162240748E-2</c:v>
                </c:pt>
              </c:numCache>
            </c:numRef>
          </c:yVal>
          <c:smooth val="0"/>
          <c:extLst>
            <c:ext xmlns:c15="http://schemas.microsoft.com/office/drawing/2012/chart" uri="{02D57815-91ED-43cb-92C2-25804820EDAC}">
              <c15:datalabelsRange>
                <c15:f>'Political (PB)'!$B$3:$B$7</c15:f>
                <c15:dlblRangeCache>
                  <c:ptCount val="5"/>
                  <c:pt idx="0">
                    <c:v>BFR</c:v>
                  </c:pt>
                  <c:pt idx="1">
                    <c:v>EHS</c:v>
                  </c:pt>
                  <c:pt idx="2">
                    <c:v>INT</c:v>
                  </c:pt>
                  <c:pt idx="3">
                    <c:v>INF</c:v>
                  </c:pt>
                  <c:pt idx="4">
                    <c:v>GNR</c:v>
                  </c:pt>
                </c15:dlblRangeCache>
              </c15:datalabelsRange>
            </c:ext>
            <c:ext xmlns:c16="http://schemas.microsoft.com/office/drawing/2014/chart" uri="{C3380CC4-5D6E-409C-BE32-E72D297353CC}">
              <c16:uniqueId val="{00000005-EBAC-4FF5-A191-CBC21EB50DA8}"/>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'Political (PB)'!$C$9:$C$10</c:f>
              <c:numCache>
                <c:formatCode>General</c:formatCode>
                <c:ptCount val="2"/>
                <c:pt idx="0">
                  <c:v>0</c:v>
                </c:pt>
                <c:pt idx="1">
                  <c:v>9</c:v>
                </c:pt>
              </c:numCache>
            </c:numRef>
          </c:xVal>
          <c:yVal>
            <c:numRef>
              <c:f>'Political (PB)'!$D$9:$D$10</c:f>
              <c:numCache>
                <c:formatCode>General</c:formatCode>
                <c:ptCount val="2"/>
                <c:pt idx="0">
                  <c:v>5.3075522900180812E-2</c:v>
                </c:pt>
                <c:pt idx="1">
                  <c:v>5.3075522900180812E-2</c:v>
                </c:pt>
              </c:numCache>
            </c:numRef>
          </c:yVal>
          <c:smooth val="0"/>
          <c:extLst>
            <c:ext xmlns:c16="http://schemas.microsoft.com/office/drawing/2014/chart" uri="{C3380CC4-5D6E-409C-BE32-E72D297353CC}">
              <c16:uniqueId val="{00000006-EBAC-4FF5-A191-CBC21EB50DA8}"/>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'Political (PB)'!$C$14:$C$15</c:f>
              <c:numCache>
                <c:formatCode>General</c:formatCode>
                <c:ptCount val="2"/>
                <c:pt idx="0">
                  <c:v>6.4</c:v>
                </c:pt>
                <c:pt idx="1">
                  <c:v>6.4</c:v>
                </c:pt>
              </c:numCache>
            </c:numRef>
          </c:xVal>
          <c:yVal>
            <c:numRef>
              <c:f>'Political (PB)'!$D$14:$D$15</c:f>
              <c:numCache>
                <c:formatCode>0.00</c:formatCode>
                <c:ptCount val="2"/>
                <c:pt idx="0" formatCode="General">
                  <c:v>0</c:v>
                </c:pt>
                <c:pt idx="1">
                  <c:v>0.13153159060957317</c:v>
                </c:pt>
              </c:numCache>
            </c:numRef>
          </c:yVal>
          <c:smooth val="0"/>
          <c:extLst>
            <c:ext xmlns:c16="http://schemas.microsoft.com/office/drawing/2014/chart" uri="{C3380CC4-5D6E-409C-BE32-E72D297353CC}">
              <c16:uniqueId val="{00000007-EBAC-4FF5-A191-CBC21EB50DA8}"/>
            </c:ext>
          </c:extLst>
        </c:ser>
        <c:dLbls>
          <c:showLegendKey val="0"/>
          <c:showVal val="0"/>
          <c:showCatName val="0"/>
          <c:showSerName val="0"/>
          <c:showPercent val="0"/>
          <c:showBubbleSize val="0"/>
        </c:dLbls>
        <c:axId val="340807024"/>
        <c:axId val="423992384"/>
      </c:scatterChart>
      <c:valAx>
        <c:axId val="340807024"/>
        <c:scaling>
          <c:orientation val="minMax"/>
          <c:max val="9"/>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92384"/>
        <c:crosses val="autoZero"/>
        <c:crossBetween val="midCat"/>
      </c:valAx>
      <c:valAx>
        <c:axId val="423992384"/>
        <c:scaling>
          <c:orientation val="minMax"/>
          <c:max val="0.13153159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807024"/>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Secondary biofuel, </a:t>
            </a:r>
            <a:r>
              <a:rPr lang="en-US" baseline="0"/>
              <a:t>2021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1444100737407823"/>
          <c:y val="0.18383333333333335"/>
          <c:w val="0.74365423072115988"/>
          <c:h val="0.62503718285214349"/>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07A705F8-852A-4012-84FC-5BE19539A16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FA3A-4A76-9ECE-FC35B700BBE1}"/>
                </c:ext>
              </c:extLst>
            </c:dLbl>
            <c:dLbl>
              <c:idx val="1"/>
              <c:tx>
                <c:rich>
                  <a:bodyPr/>
                  <a:lstStyle/>
                  <a:p>
                    <a:fld id="{73CB2E1A-5000-43F6-ABE7-2F6D5602C9F9}"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FA3A-4A76-9ECE-FC35B700BBE1}"/>
                </c:ext>
              </c:extLst>
            </c:dLbl>
            <c:dLbl>
              <c:idx val="2"/>
              <c:tx>
                <c:rich>
                  <a:bodyPr/>
                  <a:lstStyle/>
                  <a:p>
                    <a:fld id="{378BC3BE-1CE2-41B6-94BA-5B380DB1E668}"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FA3A-4A76-9ECE-FC35B700BBE1}"/>
                </c:ext>
              </c:extLst>
            </c:dLbl>
            <c:dLbl>
              <c:idx val="3"/>
              <c:tx>
                <c:rich>
                  <a:bodyPr/>
                  <a:lstStyle/>
                  <a:p>
                    <a:fld id="{7545B3C8-361B-4CFC-8906-9DB644D215E0}"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FA3A-4A76-9ECE-FC35B700BBE1}"/>
                </c:ext>
              </c:extLst>
            </c:dLbl>
            <c:dLbl>
              <c:idx val="4"/>
              <c:tx>
                <c:rich>
                  <a:bodyPr/>
                  <a:lstStyle/>
                  <a:p>
                    <a:fld id="{A1BFBA09-039D-484D-8522-062A91F3DD0C}"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FA3A-4A76-9ECE-FC35B700BBE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'Political (SB)'!$C$3:$C$7</c:f>
              <c:numCache>
                <c:formatCode>General</c:formatCode>
                <c:ptCount val="5"/>
                <c:pt idx="0">
                  <c:v>9</c:v>
                </c:pt>
                <c:pt idx="1">
                  <c:v>9</c:v>
                </c:pt>
                <c:pt idx="2">
                  <c:v>3</c:v>
                </c:pt>
                <c:pt idx="3">
                  <c:v>8</c:v>
                </c:pt>
                <c:pt idx="4">
                  <c:v>10</c:v>
                </c:pt>
              </c:numCache>
            </c:numRef>
          </c:xVal>
          <c:yVal>
            <c:numRef>
              <c:f>'Political (SB)'!$D$3:$D$7</c:f>
              <c:numCache>
                <c:formatCode>General</c:formatCode>
                <c:ptCount val="5"/>
                <c:pt idx="0">
                  <c:v>4.8142816030761502E-2</c:v>
                </c:pt>
                <c:pt idx="1">
                  <c:v>5.9424593302074724E-2</c:v>
                </c:pt>
                <c:pt idx="2">
                  <c:v>3.3627267280406221E-2</c:v>
                </c:pt>
                <c:pt idx="3">
                  <c:v>8.3685722541194163E-2</c:v>
                </c:pt>
                <c:pt idx="4">
                  <c:v>6.313690300724735E-2</c:v>
                </c:pt>
              </c:numCache>
            </c:numRef>
          </c:yVal>
          <c:smooth val="0"/>
          <c:extLst>
            <c:ext xmlns:c15="http://schemas.microsoft.com/office/drawing/2012/chart" uri="{02D57815-91ED-43cb-92C2-25804820EDAC}">
              <c15:datalabelsRange>
                <c15:f>'Political (SB)'!$B$3:$B$7</c15:f>
                <c15:dlblRangeCache>
                  <c:ptCount val="5"/>
                  <c:pt idx="0">
                    <c:v>BFR</c:v>
                  </c:pt>
                  <c:pt idx="1">
                    <c:v>EHS</c:v>
                  </c:pt>
                  <c:pt idx="2">
                    <c:v>INT</c:v>
                  </c:pt>
                  <c:pt idx="3">
                    <c:v>INF</c:v>
                  </c:pt>
                  <c:pt idx="4">
                    <c:v>GNR</c:v>
                  </c:pt>
                </c15:dlblRangeCache>
              </c15:datalabelsRange>
            </c:ext>
            <c:ext xmlns:c16="http://schemas.microsoft.com/office/drawing/2014/chart" uri="{C3380CC4-5D6E-409C-BE32-E72D297353CC}">
              <c16:uniqueId val="{00000005-FA3A-4A76-9ECE-FC35B700BBE1}"/>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'Political (SB)'!$C$9:$C$10</c:f>
              <c:numCache>
                <c:formatCode>General</c:formatCode>
                <c:ptCount val="2"/>
                <c:pt idx="0">
                  <c:v>0</c:v>
                </c:pt>
                <c:pt idx="1">
                  <c:v>12</c:v>
                </c:pt>
              </c:numCache>
            </c:numRef>
          </c:xVal>
          <c:yVal>
            <c:numRef>
              <c:f>'Political (SB)'!$D$9:$D$10</c:f>
              <c:numCache>
                <c:formatCode>General</c:formatCode>
                <c:ptCount val="2"/>
                <c:pt idx="0">
                  <c:v>5.9237188706440451E-2</c:v>
                </c:pt>
                <c:pt idx="1">
                  <c:v>5.9237188706440451E-2</c:v>
                </c:pt>
              </c:numCache>
            </c:numRef>
          </c:yVal>
          <c:smooth val="0"/>
          <c:extLst>
            <c:ext xmlns:c16="http://schemas.microsoft.com/office/drawing/2014/chart" uri="{C3380CC4-5D6E-409C-BE32-E72D297353CC}">
              <c16:uniqueId val="{00000006-FA3A-4A76-9ECE-FC35B700BBE1}"/>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'Political (SB)'!$C$14:$C$15</c:f>
              <c:numCache>
                <c:formatCode>General</c:formatCode>
                <c:ptCount val="2"/>
                <c:pt idx="0">
                  <c:v>7.041666666666667</c:v>
                </c:pt>
                <c:pt idx="1">
                  <c:v>7.041666666666667</c:v>
                </c:pt>
              </c:numCache>
            </c:numRef>
          </c:xVal>
          <c:yVal>
            <c:numRef>
              <c:f>'Political (SB)'!$D$14:$D$15</c:f>
              <c:numCache>
                <c:formatCode>0.00</c:formatCode>
                <c:ptCount val="2"/>
                <c:pt idx="0" formatCode="General">
                  <c:v>0</c:v>
                </c:pt>
                <c:pt idx="1">
                  <c:v>0.17076097944056998</c:v>
                </c:pt>
              </c:numCache>
            </c:numRef>
          </c:yVal>
          <c:smooth val="0"/>
          <c:extLst>
            <c:ext xmlns:c16="http://schemas.microsoft.com/office/drawing/2014/chart" uri="{C3380CC4-5D6E-409C-BE32-E72D297353CC}">
              <c16:uniqueId val="{00000007-FA3A-4A76-9ECE-FC35B700BBE1}"/>
            </c:ext>
          </c:extLst>
        </c:ser>
        <c:dLbls>
          <c:showLegendKey val="0"/>
          <c:showVal val="0"/>
          <c:showCatName val="0"/>
          <c:showSerName val="0"/>
          <c:showPercent val="0"/>
          <c:showBubbleSize val="0"/>
        </c:dLbls>
        <c:axId val="340807024"/>
        <c:axId val="423992384"/>
      </c:scatterChart>
      <c:valAx>
        <c:axId val="340807024"/>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92384"/>
        <c:crosses val="autoZero"/>
        <c:crossBetween val="midCat"/>
      </c:valAx>
      <c:valAx>
        <c:axId val="423992384"/>
        <c:scaling>
          <c:orientation val="minMax"/>
          <c:max val="0.1707609790000000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807024"/>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2020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4494444444444443"/>
          <c:w val="0.76524153230846148"/>
          <c:h val="0.69170384951881014"/>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F4D42730-FFA3-461B-B27C-20ED407632E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6E55-422C-A3E5-993C425EE240}"/>
                </c:ext>
              </c:extLst>
            </c:dLbl>
            <c:dLbl>
              <c:idx val="1"/>
              <c:tx>
                <c:rich>
                  <a:bodyPr/>
                  <a:lstStyle/>
                  <a:p>
                    <a:fld id="{691CC1E1-8051-4D47-A978-848EA3BE469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6E55-422C-A3E5-993C425EE240}"/>
                </c:ext>
              </c:extLst>
            </c:dLbl>
            <c:dLbl>
              <c:idx val="2"/>
              <c:tx>
                <c:rich>
                  <a:bodyPr/>
                  <a:lstStyle/>
                  <a:p>
                    <a:fld id="{BD7CC9AE-1286-4273-93B0-F05733D299FE}"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6E55-422C-A3E5-993C425EE240}"/>
                </c:ext>
              </c:extLst>
            </c:dLbl>
            <c:dLbl>
              <c:idx val="3"/>
              <c:tx>
                <c:rich>
                  <a:bodyPr/>
                  <a:lstStyle/>
                  <a:p>
                    <a:fld id="{370112D8-32E7-48FD-A4FD-271573E02CB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6E55-422C-A3E5-993C425EE240}"/>
                </c:ext>
              </c:extLst>
            </c:dLbl>
            <c:dLbl>
              <c:idx val="4"/>
              <c:tx>
                <c:rich>
                  <a:bodyPr/>
                  <a:lstStyle/>
                  <a:p>
                    <a:fld id="{3389FDEA-CDAF-4988-8876-1F8BDE7EB7A9}"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6E55-422C-A3E5-993C425EE24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'Political (PB)'!$C$23:$C$27</c:f>
              <c:numCache>
                <c:formatCode>General</c:formatCode>
                <c:ptCount val="5"/>
                <c:pt idx="0">
                  <c:v>10</c:v>
                </c:pt>
                <c:pt idx="1">
                  <c:v>9</c:v>
                </c:pt>
                <c:pt idx="2">
                  <c:v>6</c:v>
                </c:pt>
                <c:pt idx="3">
                  <c:v>5</c:v>
                </c:pt>
                <c:pt idx="4">
                  <c:v>8</c:v>
                </c:pt>
              </c:numCache>
            </c:numRef>
          </c:xVal>
          <c:yVal>
            <c:numRef>
              <c:f>'Political (PB)'!$D$23:$D$27</c:f>
              <c:numCache>
                <c:formatCode>General</c:formatCode>
                <c:ptCount val="5"/>
                <c:pt idx="0">
                  <c:v>9.8058235845330563E-2</c:v>
                </c:pt>
                <c:pt idx="1">
                  <c:v>3.8116252550261166E-2</c:v>
                </c:pt>
                <c:pt idx="2">
                  <c:v>3.1785237663651898E-2</c:v>
                </c:pt>
                <c:pt idx="3">
                  <c:v>3.2466852530455712E-2</c:v>
                </c:pt>
                <c:pt idx="4">
                  <c:v>2.9772705073184989E-2</c:v>
                </c:pt>
              </c:numCache>
            </c:numRef>
          </c:yVal>
          <c:smooth val="0"/>
          <c:extLst>
            <c:ext xmlns:c15="http://schemas.microsoft.com/office/drawing/2012/chart" uri="{02D57815-91ED-43cb-92C2-25804820EDAC}">
              <c15:datalabelsRange>
                <c15:f>'Political (PB)'!$B$23:$B$27</c15:f>
                <c15:dlblRangeCache>
                  <c:ptCount val="5"/>
                  <c:pt idx="0">
                    <c:v>BFR</c:v>
                  </c:pt>
                  <c:pt idx="1">
                    <c:v>EHS</c:v>
                  </c:pt>
                  <c:pt idx="2">
                    <c:v>INT</c:v>
                  </c:pt>
                  <c:pt idx="3">
                    <c:v>INF</c:v>
                  </c:pt>
                  <c:pt idx="4">
                    <c:v>GNR</c:v>
                  </c:pt>
                </c15:dlblRangeCache>
              </c15:datalabelsRange>
            </c:ext>
            <c:ext xmlns:c16="http://schemas.microsoft.com/office/drawing/2014/chart" uri="{C3380CC4-5D6E-409C-BE32-E72D297353CC}">
              <c16:uniqueId val="{00000005-6E55-422C-A3E5-993C425EE240}"/>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'Political (PB)'!$C$29:$C$30</c:f>
              <c:numCache>
                <c:formatCode>General</c:formatCode>
                <c:ptCount val="2"/>
                <c:pt idx="0">
                  <c:v>0</c:v>
                </c:pt>
                <c:pt idx="1">
                  <c:v>10</c:v>
                </c:pt>
              </c:numCache>
            </c:numRef>
          </c:xVal>
          <c:yVal>
            <c:numRef>
              <c:f>'Political (PB)'!$D$29:$D$30</c:f>
              <c:numCache>
                <c:formatCode>General</c:formatCode>
                <c:ptCount val="2"/>
                <c:pt idx="0">
                  <c:v>5.2835715816190766E-2</c:v>
                </c:pt>
                <c:pt idx="1">
                  <c:v>5.2835715816190766E-2</c:v>
                </c:pt>
              </c:numCache>
            </c:numRef>
          </c:yVal>
          <c:smooth val="0"/>
          <c:extLst>
            <c:ext xmlns:c16="http://schemas.microsoft.com/office/drawing/2014/chart" uri="{C3380CC4-5D6E-409C-BE32-E72D297353CC}">
              <c16:uniqueId val="{00000006-6E55-422C-A3E5-993C425EE240}"/>
            </c:ext>
          </c:extLst>
        </c:ser>
        <c:ser>
          <c:idx val="2"/>
          <c:order val="2"/>
          <c:tx>
            <c:strRef>
              <c:f>'Political (PB)'!$C$34:$C$35</c:f>
              <c:strCache>
                <c:ptCount val="2"/>
                <c:pt idx="0">
                  <c:v>7.04</c:v>
                </c:pt>
                <c:pt idx="1">
                  <c:v>7.04</c:v>
                </c:pt>
              </c:strCache>
            </c:strRef>
          </c:tx>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'Political (PB)'!$C$34:$C$35</c:f>
              <c:numCache>
                <c:formatCode>General</c:formatCode>
                <c:ptCount val="2"/>
                <c:pt idx="0">
                  <c:v>7.04</c:v>
                </c:pt>
                <c:pt idx="1">
                  <c:v>7.04</c:v>
                </c:pt>
              </c:numCache>
            </c:numRef>
          </c:xVal>
          <c:yVal>
            <c:numRef>
              <c:f>'Political (PB)'!$D$34:$D$35</c:f>
              <c:numCache>
                <c:formatCode>General</c:formatCode>
                <c:ptCount val="2"/>
                <c:pt idx="0">
                  <c:v>0</c:v>
                </c:pt>
                <c:pt idx="1">
                  <c:v>0.12576578540988731</c:v>
                </c:pt>
              </c:numCache>
            </c:numRef>
          </c:yVal>
          <c:smooth val="0"/>
          <c:extLst>
            <c:ext xmlns:c16="http://schemas.microsoft.com/office/drawing/2014/chart" uri="{C3380CC4-5D6E-409C-BE32-E72D297353CC}">
              <c16:uniqueId val="{00000007-6E55-422C-A3E5-993C425EE240}"/>
            </c:ext>
          </c:extLst>
        </c:ser>
        <c:dLbls>
          <c:showLegendKey val="0"/>
          <c:showVal val="0"/>
          <c:showCatName val="0"/>
          <c:showSerName val="0"/>
          <c:showPercent val="0"/>
          <c:showBubbleSize val="0"/>
        </c:dLbls>
        <c:axId val="320434688"/>
        <c:axId val="320432192"/>
      </c:scatterChart>
      <c:valAx>
        <c:axId val="320434688"/>
        <c:scaling>
          <c:orientation val="minMax"/>
          <c:max val="10"/>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2192"/>
        <c:crosses val="autoZero"/>
        <c:crossBetween val="midCat"/>
      </c:valAx>
      <c:valAx>
        <c:axId val="320432192"/>
        <c:scaling>
          <c:orientation val="minMax"/>
          <c:max val="0.12576578500000002"/>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4688"/>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2020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872672165979253"/>
          <c:y val="0.15605555555555559"/>
          <c:w val="0.73268185226846649"/>
          <c:h val="0.69170384951881014"/>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F4B311E4-EDCA-4648-96D7-38387CECB9E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C37C-44BA-93AD-165F72BE72D8}"/>
                </c:ext>
              </c:extLst>
            </c:dLbl>
            <c:dLbl>
              <c:idx val="1"/>
              <c:tx>
                <c:rich>
                  <a:bodyPr/>
                  <a:lstStyle/>
                  <a:p>
                    <a:fld id="{793D6764-12EC-4737-B3AB-060FB1A734DD}"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C37C-44BA-93AD-165F72BE72D8}"/>
                </c:ext>
              </c:extLst>
            </c:dLbl>
            <c:dLbl>
              <c:idx val="2"/>
              <c:tx>
                <c:rich>
                  <a:bodyPr/>
                  <a:lstStyle/>
                  <a:p>
                    <a:fld id="{7FD36095-A10D-4C5E-8B05-9F59FB12422D}"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C37C-44BA-93AD-165F72BE72D8}"/>
                </c:ext>
              </c:extLst>
            </c:dLbl>
            <c:dLbl>
              <c:idx val="3"/>
              <c:tx>
                <c:rich>
                  <a:bodyPr/>
                  <a:lstStyle/>
                  <a:p>
                    <a:fld id="{DD04BB14-651E-4765-93AC-42D26B476045}"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C37C-44BA-93AD-165F72BE72D8}"/>
                </c:ext>
              </c:extLst>
            </c:dLbl>
            <c:dLbl>
              <c:idx val="4"/>
              <c:tx>
                <c:rich>
                  <a:bodyPr/>
                  <a:lstStyle/>
                  <a:p>
                    <a:fld id="{59ABE91D-2018-4082-AD3E-D72835CC5408}"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C37C-44BA-93AD-165F72BE72D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'Political (SB)'!$C$23:$C$27</c:f>
              <c:numCache>
                <c:formatCode>General</c:formatCode>
                <c:ptCount val="5"/>
                <c:pt idx="0">
                  <c:v>9</c:v>
                </c:pt>
                <c:pt idx="1">
                  <c:v>7</c:v>
                </c:pt>
                <c:pt idx="2">
                  <c:v>3</c:v>
                </c:pt>
                <c:pt idx="3">
                  <c:v>8</c:v>
                </c:pt>
                <c:pt idx="4">
                  <c:v>10</c:v>
                </c:pt>
              </c:numCache>
            </c:numRef>
          </c:xVal>
          <c:yVal>
            <c:numRef>
              <c:f>'Political (SB)'!$D$23:$D$27</c:f>
              <c:numCache>
                <c:formatCode>General</c:formatCode>
                <c:ptCount val="5"/>
                <c:pt idx="0">
                  <c:v>5.8378755523504945E-2</c:v>
                </c:pt>
                <c:pt idx="1">
                  <c:v>5.0630281061676392E-2</c:v>
                </c:pt>
                <c:pt idx="2">
                  <c:v>5.061744763117957E-2</c:v>
                </c:pt>
                <c:pt idx="3">
                  <c:v>7.3719782906745482E-2</c:v>
                </c:pt>
                <c:pt idx="4">
                  <c:v>6.686050419388985E-2</c:v>
                </c:pt>
              </c:numCache>
            </c:numRef>
          </c:yVal>
          <c:smooth val="0"/>
          <c:extLst>
            <c:ext xmlns:c15="http://schemas.microsoft.com/office/drawing/2012/chart" uri="{02D57815-91ED-43cb-92C2-25804820EDAC}">
              <c15:datalabelsRange>
                <c15:f>'Political (SB)'!$B$23:$B$27</c15:f>
                <c15:dlblRangeCache>
                  <c:ptCount val="5"/>
                  <c:pt idx="0">
                    <c:v>BFR</c:v>
                  </c:pt>
                  <c:pt idx="1">
                    <c:v>EHS</c:v>
                  </c:pt>
                  <c:pt idx="2">
                    <c:v>INT</c:v>
                  </c:pt>
                  <c:pt idx="3">
                    <c:v>INF</c:v>
                  </c:pt>
                  <c:pt idx="4">
                    <c:v>GNR</c:v>
                  </c:pt>
                </c15:dlblRangeCache>
              </c15:datalabelsRange>
            </c:ext>
            <c:ext xmlns:c16="http://schemas.microsoft.com/office/drawing/2014/chart" uri="{C3380CC4-5D6E-409C-BE32-E72D297353CC}">
              <c16:uniqueId val="{00000005-C37C-44BA-93AD-165F72BE72D8}"/>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'Political (SB)'!$C$29:$C$30</c:f>
              <c:numCache>
                <c:formatCode>General</c:formatCode>
                <c:ptCount val="2"/>
                <c:pt idx="0">
                  <c:v>0</c:v>
                </c:pt>
                <c:pt idx="1">
                  <c:v>12</c:v>
                </c:pt>
              </c:numCache>
            </c:numRef>
          </c:xVal>
          <c:yVal>
            <c:numRef>
              <c:f>'Political (SB)'!$D$29:$D$30</c:f>
              <c:numCache>
                <c:formatCode>General</c:formatCode>
                <c:ptCount val="2"/>
                <c:pt idx="0">
                  <c:v>5.9935463661229725E-2</c:v>
                </c:pt>
                <c:pt idx="1">
                  <c:v>5.9935463661229725E-2</c:v>
                </c:pt>
              </c:numCache>
            </c:numRef>
          </c:yVal>
          <c:smooth val="0"/>
          <c:extLst>
            <c:ext xmlns:c16="http://schemas.microsoft.com/office/drawing/2014/chart" uri="{C3380CC4-5D6E-409C-BE32-E72D297353CC}">
              <c16:uniqueId val="{00000006-C37C-44BA-93AD-165F72BE72D8}"/>
            </c:ext>
          </c:extLst>
        </c:ser>
        <c:ser>
          <c:idx val="2"/>
          <c:order val="2"/>
          <c:tx>
            <c:strRef>
              <c:f>'Political (SB)'!$C$34:$C$35</c:f>
              <c:strCache>
                <c:ptCount val="2"/>
                <c:pt idx="0">
                  <c:v>6.96</c:v>
                </c:pt>
                <c:pt idx="1">
                  <c:v>6.96</c:v>
                </c:pt>
              </c:strCache>
            </c:strRef>
          </c:tx>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'Political (SB)'!$C$34:$C$35</c:f>
              <c:numCache>
                <c:formatCode>General</c:formatCode>
                <c:ptCount val="2"/>
                <c:pt idx="0">
                  <c:v>6.96</c:v>
                </c:pt>
                <c:pt idx="1">
                  <c:v>6.96</c:v>
                </c:pt>
              </c:numCache>
            </c:numRef>
          </c:xVal>
          <c:yVal>
            <c:numRef>
              <c:f>'Political (SB)'!$D$34:$D$35</c:f>
              <c:numCache>
                <c:formatCode>General</c:formatCode>
                <c:ptCount val="2"/>
                <c:pt idx="0">
                  <c:v>0</c:v>
                </c:pt>
                <c:pt idx="1">
                  <c:v>0.17209612779009353</c:v>
                </c:pt>
              </c:numCache>
            </c:numRef>
          </c:yVal>
          <c:smooth val="0"/>
          <c:extLst>
            <c:ext xmlns:c16="http://schemas.microsoft.com/office/drawing/2014/chart" uri="{C3380CC4-5D6E-409C-BE32-E72D297353CC}">
              <c16:uniqueId val="{00000007-C37C-44BA-93AD-165F72BE72D8}"/>
            </c:ext>
          </c:extLst>
        </c:ser>
        <c:dLbls>
          <c:showLegendKey val="0"/>
          <c:showVal val="0"/>
          <c:showCatName val="0"/>
          <c:showSerName val="0"/>
          <c:showPercent val="0"/>
          <c:showBubbleSize val="0"/>
        </c:dLbls>
        <c:axId val="320434688"/>
        <c:axId val="320432192"/>
      </c:scatterChart>
      <c:valAx>
        <c:axId val="320434688"/>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2192"/>
        <c:crosses val="autoZero"/>
        <c:crossBetween val="midCat"/>
      </c:valAx>
      <c:valAx>
        <c:axId val="320432192"/>
        <c:scaling>
          <c:orientation val="minMax"/>
          <c:max val="0.1720961280000000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4688"/>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2019</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160386201724784"/>
          <c:y val="0.15605555555555556"/>
          <c:w val="0.73665010623672045"/>
          <c:h val="0.65281496062992128"/>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32199E6B-4CE8-4A9E-AFE9-B4FD087D3B4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06DF-4A43-8113-0E0139DDDAF0}"/>
                </c:ext>
              </c:extLst>
            </c:dLbl>
            <c:dLbl>
              <c:idx val="1"/>
              <c:tx>
                <c:rich>
                  <a:bodyPr/>
                  <a:lstStyle/>
                  <a:p>
                    <a:fld id="{23AA6A7A-A3DA-4D7C-AA78-84255F456E3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06DF-4A43-8113-0E0139DDDAF0}"/>
                </c:ext>
              </c:extLst>
            </c:dLbl>
            <c:dLbl>
              <c:idx val="2"/>
              <c:tx>
                <c:rich>
                  <a:bodyPr/>
                  <a:lstStyle/>
                  <a:p>
                    <a:fld id="{2DBFECA1-AF8C-40B7-B5F6-5C403F368068}"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06DF-4A43-8113-0E0139DDDAF0}"/>
                </c:ext>
              </c:extLst>
            </c:dLbl>
            <c:dLbl>
              <c:idx val="3"/>
              <c:tx>
                <c:rich>
                  <a:bodyPr/>
                  <a:lstStyle/>
                  <a:p>
                    <a:fld id="{BEEF87AA-C8F2-4E00-BF1B-C6DD6F3291A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06DF-4A43-8113-0E0139DDDAF0}"/>
                </c:ext>
              </c:extLst>
            </c:dLbl>
            <c:dLbl>
              <c:idx val="4"/>
              <c:tx>
                <c:rich>
                  <a:bodyPr/>
                  <a:lstStyle/>
                  <a:p>
                    <a:fld id="{CF996B5E-76E2-402E-9800-2146D727AE3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06DF-4A43-8113-0E0139DDDAF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'Political (PB)'!$C$47:$C$51</c:f>
              <c:numCache>
                <c:formatCode>General</c:formatCode>
                <c:ptCount val="5"/>
                <c:pt idx="0">
                  <c:v>10</c:v>
                </c:pt>
                <c:pt idx="1">
                  <c:v>9</c:v>
                </c:pt>
                <c:pt idx="2">
                  <c:v>7</c:v>
                </c:pt>
                <c:pt idx="3">
                  <c:v>5</c:v>
                </c:pt>
                <c:pt idx="4">
                  <c:v>8</c:v>
                </c:pt>
              </c:numCache>
            </c:numRef>
          </c:xVal>
          <c:yVal>
            <c:numRef>
              <c:f>'Political (PB)'!$D$47:$D$51</c:f>
              <c:numCache>
                <c:formatCode>General</c:formatCode>
                <c:ptCount val="5"/>
                <c:pt idx="0">
                  <c:v>9.6054076392341592E-2</c:v>
                </c:pt>
                <c:pt idx="1">
                  <c:v>3.897854671478064E-2</c:v>
                </c:pt>
                <c:pt idx="2">
                  <c:v>3.7244172078712001E-2</c:v>
                </c:pt>
                <c:pt idx="3">
                  <c:v>1.8217486607014617E-2</c:v>
                </c:pt>
                <c:pt idx="4">
                  <c:v>5.0152924310903277E-2</c:v>
                </c:pt>
              </c:numCache>
            </c:numRef>
          </c:yVal>
          <c:smooth val="0"/>
          <c:extLst>
            <c:ext xmlns:c15="http://schemas.microsoft.com/office/drawing/2012/chart" uri="{02D57815-91ED-43cb-92C2-25804820EDAC}">
              <c15:datalabelsRange>
                <c15:f>'Political (PB)'!$B$47:$B$51</c15:f>
                <c15:dlblRangeCache>
                  <c:ptCount val="5"/>
                  <c:pt idx="0">
                    <c:v>BFR</c:v>
                  </c:pt>
                  <c:pt idx="1">
                    <c:v>EHS</c:v>
                  </c:pt>
                  <c:pt idx="2">
                    <c:v>INT</c:v>
                  </c:pt>
                  <c:pt idx="3">
                    <c:v>INF</c:v>
                  </c:pt>
                  <c:pt idx="4">
                    <c:v>GNR</c:v>
                  </c:pt>
                </c15:dlblRangeCache>
              </c15:datalabelsRange>
            </c:ext>
            <c:ext xmlns:c16="http://schemas.microsoft.com/office/drawing/2014/chart" uri="{C3380CC4-5D6E-409C-BE32-E72D297353CC}">
              <c16:uniqueId val="{00000005-06DF-4A43-8113-0E0139DDDAF0}"/>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'Political (PB)'!$C$53:$C$54</c:f>
              <c:numCache>
                <c:formatCode>General</c:formatCode>
                <c:ptCount val="2"/>
                <c:pt idx="0">
                  <c:v>0</c:v>
                </c:pt>
                <c:pt idx="1">
                  <c:v>10</c:v>
                </c:pt>
              </c:numCache>
            </c:numRef>
          </c:xVal>
          <c:yVal>
            <c:numRef>
              <c:f>'Political (PB)'!$D$53:$D$54</c:f>
              <c:numCache>
                <c:formatCode>General</c:formatCode>
                <c:ptCount val="2"/>
                <c:pt idx="0">
                  <c:v>5.277651395876113E-2</c:v>
                </c:pt>
                <c:pt idx="1">
                  <c:v>5.277651395876113E-2</c:v>
                </c:pt>
              </c:numCache>
            </c:numRef>
          </c:yVal>
          <c:smooth val="0"/>
          <c:extLst>
            <c:ext xmlns:c16="http://schemas.microsoft.com/office/drawing/2014/chart" uri="{C3380CC4-5D6E-409C-BE32-E72D297353CC}">
              <c16:uniqueId val="{00000006-06DF-4A43-8113-0E0139DDDAF0}"/>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'Political (PB)'!$C$58:$C$59</c:f>
              <c:numCache>
                <c:formatCode>General</c:formatCode>
                <c:ptCount val="2"/>
                <c:pt idx="0">
                  <c:v>6.96</c:v>
                </c:pt>
                <c:pt idx="1">
                  <c:v>6.96</c:v>
                </c:pt>
              </c:numCache>
            </c:numRef>
          </c:xVal>
          <c:yVal>
            <c:numRef>
              <c:f>'Political (PB)'!$D$58:$D$59</c:f>
              <c:numCache>
                <c:formatCode>0.00</c:formatCode>
                <c:ptCount val="2"/>
                <c:pt idx="0" formatCode="General">
                  <c:v>0</c:v>
                </c:pt>
                <c:pt idx="1">
                  <c:v>0.14967068135288208</c:v>
                </c:pt>
              </c:numCache>
            </c:numRef>
          </c:yVal>
          <c:smooth val="0"/>
          <c:extLst>
            <c:ext xmlns:c16="http://schemas.microsoft.com/office/drawing/2014/chart" uri="{C3380CC4-5D6E-409C-BE32-E72D297353CC}">
              <c16:uniqueId val="{00000007-06DF-4A43-8113-0E0139DDDAF0}"/>
            </c:ext>
          </c:extLst>
        </c:ser>
        <c:dLbls>
          <c:showLegendKey val="0"/>
          <c:showVal val="0"/>
          <c:showCatName val="0"/>
          <c:showSerName val="0"/>
          <c:showPercent val="0"/>
          <c:showBubbleSize val="0"/>
        </c:dLbls>
        <c:axId val="426555360"/>
        <c:axId val="426551200"/>
      </c:scatterChart>
      <c:valAx>
        <c:axId val="426555360"/>
        <c:scaling>
          <c:orientation val="minMax"/>
          <c:max val="10"/>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1200"/>
        <c:crosses val="autoZero"/>
        <c:crossBetween val="midCat"/>
      </c:valAx>
      <c:valAx>
        <c:axId val="426551200"/>
        <c:scaling>
          <c:orientation val="minMax"/>
          <c:max val="0.14967068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5360"/>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2019 </a:t>
            </a:r>
            <a:endParaRPr lang="en-US"/>
          </a:p>
        </c:rich>
      </c:tx>
      <c:layout>
        <c:manualLayout>
          <c:xMode val="edge"/>
          <c:yMode val="edge"/>
          <c:x val="0.22766841644794397"/>
          <c:y val="3.333333333333333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1269497562804648"/>
          <c:y val="0.15605555555555559"/>
          <c:w val="0.73268185226846649"/>
          <c:h val="0.66948162729658789"/>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1BBD9E41-2694-4453-ABA8-D4EA924D2728}"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F4ED-4232-9574-428D4830C744}"/>
                </c:ext>
              </c:extLst>
            </c:dLbl>
            <c:dLbl>
              <c:idx val="1"/>
              <c:tx>
                <c:rich>
                  <a:bodyPr/>
                  <a:lstStyle/>
                  <a:p>
                    <a:fld id="{0644C0DC-7F36-4A8A-BEFF-DCB4AC5041B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F4ED-4232-9574-428D4830C744}"/>
                </c:ext>
              </c:extLst>
            </c:dLbl>
            <c:dLbl>
              <c:idx val="2"/>
              <c:tx>
                <c:rich>
                  <a:bodyPr/>
                  <a:lstStyle/>
                  <a:p>
                    <a:fld id="{B610BA0D-4552-42E2-8CEB-EB6E282FA2C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F4ED-4232-9574-428D4830C744}"/>
                </c:ext>
              </c:extLst>
            </c:dLbl>
            <c:dLbl>
              <c:idx val="3"/>
              <c:tx>
                <c:rich>
                  <a:bodyPr/>
                  <a:lstStyle/>
                  <a:p>
                    <a:fld id="{F09D309F-4AD8-495A-A08D-F34478C28D4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F4ED-4232-9574-428D4830C744}"/>
                </c:ext>
              </c:extLst>
            </c:dLbl>
            <c:dLbl>
              <c:idx val="4"/>
              <c:tx>
                <c:rich>
                  <a:bodyPr/>
                  <a:lstStyle/>
                  <a:p>
                    <a:fld id="{A69952ED-F215-4BB4-A0AE-C7DBB4DD028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F4ED-4232-9574-428D4830C74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'Political (SB)'!$C$47:$C$51</c:f>
              <c:numCache>
                <c:formatCode>General</c:formatCode>
                <c:ptCount val="5"/>
                <c:pt idx="0">
                  <c:v>6</c:v>
                </c:pt>
                <c:pt idx="1">
                  <c:v>7</c:v>
                </c:pt>
                <c:pt idx="2">
                  <c:v>5</c:v>
                </c:pt>
                <c:pt idx="3">
                  <c:v>8</c:v>
                </c:pt>
                <c:pt idx="4">
                  <c:v>11</c:v>
                </c:pt>
              </c:numCache>
            </c:numRef>
          </c:xVal>
          <c:yVal>
            <c:numRef>
              <c:f>'Political (SB)'!$D$47:$D$51</c:f>
              <c:numCache>
                <c:formatCode>General</c:formatCode>
                <c:ptCount val="5"/>
                <c:pt idx="0">
                  <c:v>5.0137182518191846E-2</c:v>
                </c:pt>
                <c:pt idx="1">
                  <c:v>6.4856986459016705E-2</c:v>
                </c:pt>
                <c:pt idx="2">
                  <c:v>3.6963032710068677E-2</c:v>
                </c:pt>
                <c:pt idx="3">
                  <c:v>6.5445013520203918E-2</c:v>
                </c:pt>
                <c:pt idx="4">
                  <c:v>7.9053080094521666E-2</c:v>
                </c:pt>
              </c:numCache>
            </c:numRef>
          </c:yVal>
          <c:smooth val="0"/>
          <c:extLst>
            <c:ext xmlns:c15="http://schemas.microsoft.com/office/drawing/2012/chart" uri="{02D57815-91ED-43cb-92C2-25804820EDAC}">
              <c15:datalabelsRange>
                <c15:f>'Political (SB)'!$B$47:$B$51</c15:f>
                <c15:dlblRangeCache>
                  <c:ptCount val="5"/>
                  <c:pt idx="0">
                    <c:v>BFR</c:v>
                  </c:pt>
                  <c:pt idx="1">
                    <c:v>EHS</c:v>
                  </c:pt>
                  <c:pt idx="2">
                    <c:v>INT</c:v>
                  </c:pt>
                  <c:pt idx="3">
                    <c:v>INF</c:v>
                  </c:pt>
                  <c:pt idx="4">
                    <c:v>GNR</c:v>
                  </c:pt>
                </c15:dlblRangeCache>
              </c15:datalabelsRange>
            </c:ext>
            <c:ext xmlns:c16="http://schemas.microsoft.com/office/drawing/2014/chart" uri="{C3380CC4-5D6E-409C-BE32-E72D297353CC}">
              <c16:uniqueId val="{00000005-F4ED-4232-9574-428D4830C744}"/>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'Political (SB)'!$C$53:$C$54</c:f>
              <c:numCache>
                <c:formatCode>General</c:formatCode>
                <c:ptCount val="2"/>
                <c:pt idx="0">
                  <c:v>0</c:v>
                </c:pt>
                <c:pt idx="1">
                  <c:v>12</c:v>
                </c:pt>
              </c:numCache>
            </c:numRef>
          </c:xVal>
          <c:yVal>
            <c:numRef>
              <c:f>'Political (SB)'!$D$53:$D$54</c:f>
              <c:numCache>
                <c:formatCode>General</c:formatCode>
                <c:ptCount val="2"/>
                <c:pt idx="0">
                  <c:v>6.0722585961321691E-2</c:v>
                </c:pt>
                <c:pt idx="1">
                  <c:v>6.0722585961321691E-2</c:v>
                </c:pt>
              </c:numCache>
            </c:numRef>
          </c:yVal>
          <c:smooth val="0"/>
          <c:extLst>
            <c:ext xmlns:c16="http://schemas.microsoft.com/office/drawing/2014/chart" uri="{C3380CC4-5D6E-409C-BE32-E72D297353CC}">
              <c16:uniqueId val="{00000006-F4ED-4232-9574-428D4830C744}"/>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'Political (SB)'!$C$58:$C$59</c:f>
              <c:numCache>
                <c:formatCode>General</c:formatCode>
                <c:ptCount val="2"/>
                <c:pt idx="0">
                  <c:v>6.84</c:v>
                </c:pt>
                <c:pt idx="1">
                  <c:v>6.84</c:v>
                </c:pt>
              </c:numCache>
            </c:numRef>
          </c:xVal>
          <c:yVal>
            <c:numRef>
              <c:f>'Political (SB)'!$D$58:$D$59</c:f>
              <c:numCache>
                <c:formatCode>0.00</c:formatCode>
                <c:ptCount val="2"/>
                <c:pt idx="0" formatCode="General">
                  <c:v>0</c:v>
                </c:pt>
                <c:pt idx="1">
                  <c:v>0.19613975396947828</c:v>
                </c:pt>
              </c:numCache>
            </c:numRef>
          </c:yVal>
          <c:smooth val="0"/>
          <c:extLst>
            <c:ext xmlns:c16="http://schemas.microsoft.com/office/drawing/2014/chart" uri="{C3380CC4-5D6E-409C-BE32-E72D297353CC}">
              <c16:uniqueId val="{00000007-F4ED-4232-9574-428D4830C744}"/>
            </c:ext>
          </c:extLst>
        </c:ser>
        <c:dLbls>
          <c:showLegendKey val="0"/>
          <c:showVal val="0"/>
          <c:showCatName val="0"/>
          <c:showSerName val="0"/>
          <c:showPercent val="0"/>
          <c:showBubbleSize val="0"/>
        </c:dLbls>
        <c:axId val="426555360"/>
        <c:axId val="426551200"/>
      </c:scatterChart>
      <c:valAx>
        <c:axId val="426555360"/>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1200"/>
        <c:crosses val="autoZero"/>
        <c:crossBetween val="midCat"/>
      </c:valAx>
      <c:valAx>
        <c:axId val="426551200"/>
        <c:scaling>
          <c:orientation val="minMax"/>
          <c:max val="0.19613975400000003"/>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5360"/>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2018</a:t>
            </a:r>
          </a:p>
        </c:rich>
      </c:tx>
      <c:layout>
        <c:manualLayout>
          <c:xMode val="edge"/>
          <c:yMode val="edge"/>
          <c:x val="0.25314366954130729"/>
          <c:y val="3.240726159230096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1747687789026371"/>
          <c:y val="0.16161111111111115"/>
          <c:w val="0.72077709036370452"/>
          <c:h val="0.66948162729658789"/>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A238912C-EE8B-42BD-B157-0400C3292C5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7D83-4DE2-A91B-62F918594871}"/>
                </c:ext>
              </c:extLst>
            </c:dLbl>
            <c:dLbl>
              <c:idx val="1"/>
              <c:tx>
                <c:rich>
                  <a:bodyPr/>
                  <a:lstStyle/>
                  <a:p>
                    <a:fld id="{E091CEC3-3E77-49D9-93BA-37B7B3E556E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7D83-4DE2-A91B-62F918594871}"/>
                </c:ext>
              </c:extLst>
            </c:dLbl>
            <c:dLbl>
              <c:idx val="2"/>
              <c:tx>
                <c:rich>
                  <a:bodyPr/>
                  <a:lstStyle/>
                  <a:p>
                    <a:fld id="{8745C2B8-7435-4243-9539-1C0E8BB5A80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7D83-4DE2-A91B-62F918594871}"/>
                </c:ext>
              </c:extLst>
            </c:dLbl>
            <c:dLbl>
              <c:idx val="3"/>
              <c:tx>
                <c:rich>
                  <a:bodyPr/>
                  <a:lstStyle/>
                  <a:p>
                    <a:fld id="{DA19AC9E-2F60-4623-89B5-88BD3C31034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7D83-4DE2-A91B-62F918594871}"/>
                </c:ext>
              </c:extLst>
            </c:dLbl>
            <c:dLbl>
              <c:idx val="4"/>
              <c:tx>
                <c:rich>
                  <a:bodyPr/>
                  <a:lstStyle/>
                  <a:p>
                    <a:fld id="{5D8B51B4-B5BB-4456-B5E2-466044E1C32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7D83-4DE2-A91B-62F91859487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'Political (PB)'!$C$70:$C$74</c:f>
              <c:numCache>
                <c:formatCode>General</c:formatCode>
                <c:ptCount val="5"/>
                <c:pt idx="0">
                  <c:v>10</c:v>
                </c:pt>
                <c:pt idx="1">
                  <c:v>9</c:v>
                </c:pt>
                <c:pt idx="2">
                  <c:v>7</c:v>
                </c:pt>
                <c:pt idx="3">
                  <c:v>5</c:v>
                </c:pt>
                <c:pt idx="4">
                  <c:v>8</c:v>
                </c:pt>
              </c:numCache>
            </c:numRef>
          </c:xVal>
          <c:yVal>
            <c:numRef>
              <c:f>'Political (PB)'!$D$70:$D$74</c:f>
              <c:numCache>
                <c:formatCode>General</c:formatCode>
                <c:ptCount val="5"/>
                <c:pt idx="0">
                  <c:v>8.6100990765026475E-2</c:v>
                </c:pt>
                <c:pt idx="1">
                  <c:v>3.346049028886703E-2</c:v>
                </c:pt>
                <c:pt idx="2">
                  <c:v>3.8268902144452353E-2</c:v>
                </c:pt>
                <c:pt idx="3">
                  <c:v>1.8941215357122145E-2</c:v>
                </c:pt>
                <c:pt idx="4">
                  <c:v>4.896353481469079E-2</c:v>
                </c:pt>
              </c:numCache>
            </c:numRef>
          </c:yVal>
          <c:smooth val="0"/>
          <c:extLst>
            <c:ext xmlns:c15="http://schemas.microsoft.com/office/drawing/2012/chart" uri="{02D57815-91ED-43cb-92C2-25804820EDAC}">
              <c15:datalabelsRange>
                <c15:f>'Political (PB)'!$B$70:$B$74</c15:f>
                <c15:dlblRangeCache>
                  <c:ptCount val="5"/>
                  <c:pt idx="0">
                    <c:v>BFR</c:v>
                  </c:pt>
                  <c:pt idx="1">
                    <c:v>EHS</c:v>
                  </c:pt>
                  <c:pt idx="2">
                    <c:v>INT</c:v>
                  </c:pt>
                  <c:pt idx="3">
                    <c:v>INF</c:v>
                  </c:pt>
                  <c:pt idx="4">
                    <c:v>GNR</c:v>
                  </c:pt>
                </c15:dlblRangeCache>
              </c15:datalabelsRange>
            </c:ext>
            <c:ext xmlns:c16="http://schemas.microsoft.com/office/drawing/2014/chart" uri="{C3380CC4-5D6E-409C-BE32-E72D297353CC}">
              <c16:uniqueId val="{00000005-7D83-4DE2-A91B-62F918594871}"/>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'Political (PB)'!$C$76:$C$77</c:f>
              <c:numCache>
                <c:formatCode>General</c:formatCode>
                <c:ptCount val="2"/>
                <c:pt idx="0">
                  <c:v>0</c:v>
                </c:pt>
                <c:pt idx="1">
                  <c:v>10</c:v>
                </c:pt>
              </c:numCache>
            </c:numRef>
          </c:xVal>
          <c:yVal>
            <c:numRef>
              <c:f>'Political (PB)'!$D$76:$D$77</c:f>
              <c:numCache>
                <c:formatCode>General</c:formatCode>
                <c:ptCount val="2"/>
                <c:pt idx="0">
                  <c:v>5.0990927928383341E-2</c:v>
                </c:pt>
                <c:pt idx="1">
                  <c:v>5.0990927928383341E-2</c:v>
                </c:pt>
              </c:numCache>
            </c:numRef>
          </c:yVal>
          <c:smooth val="0"/>
          <c:extLst>
            <c:ext xmlns:c16="http://schemas.microsoft.com/office/drawing/2014/chart" uri="{C3380CC4-5D6E-409C-BE32-E72D297353CC}">
              <c16:uniqueId val="{00000006-7D83-4DE2-A91B-62F918594871}"/>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'Political (PB)'!$C$81:$C$82</c:f>
              <c:numCache>
                <c:formatCode>General</c:formatCode>
                <c:ptCount val="2"/>
                <c:pt idx="0">
                  <c:v>6.96</c:v>
                </c:pt>
                <c:pt idx="1">
                  <c:v>6.96</c:v>
                </c:pt>
              </c:numCache>
            </c:numRef>
          </c:xVal>
          <c:yVal>
            <c:numRef>
              <c:f>'Political (PB)'!$D$81:$D$82</c:f>
              <c:numCache>
                <c:formatCode>0.00</c:formatCode>
                <c:ptCount val="2"/>
                <c:pt idx="0" formatCode="General">
                  <c:v>0</c:v>
                </c:pt>
                <c:pt idx="1">
                  <c:v>0.14404728233107458</c:v>
                </c:pt>
              </c:numCache>
            </c:numRef>
          </c:yVal>
          <c:smooth val="0"/>
          <c:extLst>
            <c:ext xmlns:c16="http://schemas.microsoft.com/office/drawing/2014/chart" uri="{C3380CC4-5D6E-409C-BE32-E72D297353CC}">
              <c16:uniqueId val="{00000007-7D83-4DE2-A91B-62F918594871}"/>
            </c:ext>
          </c:extLst>
        </c:ser>
        <c:dLbls>
          <c:showLegendKey val="0"/>
          <c:showVal val="0"/>
          <c:showCatName val="0"/>
          <c:showSerName val="0"/>
          <c:showPercent val="0"/>
          <c:showBubbleSize val="0"/>
        </c:dLbls>
        <c:axId val="314595056"/>
        <c:axId val="314594640"/>
      </c:scatterChart>
      <c:valAx>
        <c:axId val="314595056"/>
        <c:scaling>
          <c:orientation val="minMax"/>
          <c:max val="10"/>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4640"/>
        <c:crosses val="autoZero"/>
        <c:crossBetween val="midCat"/>
      </c:valAx>
      <c:valAx>
        <c:axId val="314594640"/>
        <c:scaling>
          <c:orientation val="minMax"/>
          <c:max val="0.14404728200000005"/>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5056"/>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2018 </a:t>
            </a:r>
          </a:p>
        </c:rich>
      </c:tx>
      <c:layout>
        <c:manualLayout>
          <c:xMode val="edge"/>
          <c:yMode val="edge"/>
          <c:x val="0.25314366954130735"/>
          <c:y val="3.240726159230096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1666322959630044"/>
          <c:y val="0.16716666666666669"/>
          <c:w val="0.7406183602049744"/>
          <c:h val="0.66948162729658789"/>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7D33E979-A5D4-49D1-A6CC-E7542D31724B}"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A67D-4B1A-996E-F4A9CACDC23E}"/>
                </c:ext>
              </c:extLst>
            </c:dLbl>
            <c:dLbl>
              <c:idx val="1"/>
              <c:tx>
                <c:rich>
                  <a:bodyPr/>
                  <a:lstStyle/>
                  <a:p>
                    <a:fld id="{60445819-CC23-49B2-99C4-16946668B82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A67D-4B1A-996E-F4A9CACDC23E}"/>
                </c:ext>
              </c:extLst>
            </c:dLbl>
            <c:dLbl>
              <c:idx val="2"/>
              <c:tx>
                <c:rich>
                  <a:bodyPr/>
                  <a:lstStyle/>
                  <a:p>
                    <a:fld id="{B75DD50B-4F81-4306-A347-33FDB677333B}"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A67D-4B1A-996E-F4A9CACDC23E}"/>
                </c:ext>
              </c:extLst>
            </c:dLbl>
            <c:dLbl>
              <c:idx val="3"/>
              <c:tx>
                <c:rich>
                  <a:bodyPr/>
                  <a:lstStyle/>
                  <a:p>
                    <a:fld id="{0B868862-150C-455F-B60D-04D5FCE513A3}"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A67D-4B1A-996E-F4A9CACDC23E}"/>
                </c:ext>
              </c:extLst>
            </c:dLbl>
            <c:dLbl>
              <c:idx val="4"/>
              <c:tx>
                <c:rich>
                  <a:bodyPr/>
                  <a:lstStyle/>
                  <a:p>
                    <a:fld id="{FE5DFF48-8302-439A-839B-0B68289494B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A67D-4B1A-996E-F4A9CACDC23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'Political (SB)'!$C$70:$C$74</c:f>
              <c:numCache>
                <c:formatCode>General</c:formatCode>
                <c:ptCount val="5"/>
                <c:pt idx="0">
                  <c:v>6</c:v>
                </c:pt>
                <c:pt idx="1">
                  <c:v>8</c:v>
                </c:pt>
                <c:pt idx="2">
                  <c:v>5</c:v>
                </c:pt>
                <c:pt idx="3">
                  <c:v>9</c:v>
                </c:pt>
                <c:pt idx="4">
                  <c:v>12</c:v>
                </c:pt>
              </c:numCache>
            </c:numRef>
          </c:xVal>
          <c:yVal>
            <c:numRef>
              <c:f>'Political (SB)'!$D$70:$D$74</c:f>
              <c:numCache>
                <c:formatCode>General</c:formatCode>
                <c:ptCount val="5"/>
                <c:pt idx="0">
                  <c:v>6.3693348626853996E-2</c:v>
                </c:pt>
                <c:pt idx="1">
                  <c:v>6.3048006852944982E-2</c:v>
                </c:pt>
                <c:pt idx="2">
                  <c:v>3.9860210391409974E-2</c:v>
                </c:pt>
                <c:pt idx="3">
                  <c:v>5.8145332311059734E-2</c:v>
                </c:pt>
                <c:pt idx="4">
                  <c:v>7.9288512112414999E-2</c:v>
                </c:pt>
              </c:numCache>
            </c:numRef>
          </c:yVal>
          <c:smooth val="0"/>
          <c:extLst>
            <c:ext xmlns:c15="http://schemas.microsoft.com/office/drawing/2012/chart" uri="{02D57815-91ED-43cb-92C2-25804820EDAC}">
              <c15:datalabelsRange>
                <c15:f>'Political (SB)'!$B$70:$B$74</c15:f>
                <c15:dlblRangeCache>
                  <c:ptCount val="5"/>
                  <c:pt idx="0">
                    <c:v>BFR</c:v>
                  </c:pt>
                  <c:pt idx="1">
                    <c:v>EHS</c:v>
                  </c:pt>
                  <c:pt idx="2">
                    <c:v>INT</c:v>
                  </c:pt>
                  <c:pt idx="3">
                    <c:v>INF</c:v>
                  </c:pt>
                  <c:pt idx="4">
                    <c:v>GNR</c:v>
                  </c:pt>
                </c15:dlblRangeCache>
              </c15:datalabelsRange>
            </c:ext>
            <c:ext xmlns:c16="http://schemas.microsoft.com/office/drawing/2014/chart" uri="{C3380CC4-5D6E-409C-BE32-E72D297353CC}">
              <c16:uniqueId val="{00000005-A67D-4B1A-996E-F4A9CACDC23E}"/>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'Political (SB)'!$C$76:$C$77</c:f>
              <c:numCache>
                <c:formatCode>General</c:formatCode>
                <c:ptCount val="2"/>
                <c:pt idx="0">
                  <c:v>0</c:v>
                </c:pt>
                <c:pt idx="1">
                  <c:v>12</c:v>
                </c:pt>
              </c:numCache>
            </c:numRef>
          </c:xVal>
          <c:yVal>
            <c:numRef>
              <c:f>'Political (SB)'!$D$76:$D$77</c:f>
              <c:numCache>
                <c:formatCode>General</c:formatCode>
                <c:ptCount val="2"/>
                <c:pt idx="0">
                  <c:v>6.1459893959753098E-2</c:v>
                </c:pt>
                <c:pt idx="1">
                  <c:v>6.1459893959753098E-2</c:v>
                </c:pt>
              </c:numCache>
            </c:numRef>
          </c:yVal>
          <c:smooth val="0"/>
          <c:extLst>
            <c:ext xmlns:c16="http://schemas.microsoft.com/office/drawing/2014/chart" uri="{C3380CC4-5D6E-409C-BE32-E72D297353CC}">
              <c16:uniqueId val="{00000006-A67D-4B1A-996E-F4A9CACDC23E}"/>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'Political (SB)'!$C$81:$C$82</c:f>
              <c:numCache>
                <c:formatCode>General</c:formatCode>
                <c:ptCount val="2"/>
                <c:pt idx="0">
                  <c:v>6.96</c:v>
                </c:pt>
                <c:pt idx="1">
                  <c:v>6.96</c:v>
                </c:pt>
              </c:numCache>
            </c:numRef>
          </c:xVal>
          <c:yVal>
            <c:numRef>
              <c:f>'Political (SB)'!$D$81:$D$82</c:f>
              <c:numCache>
                <c:formatCode>0.00</c:formatCode>
                <c:ptCount val="2"/>
                <c:pt idx="0" formatCode="General">
                  <c:v>0</c:v>
                </c:pt>
                <c:pt idx="1">
                  <c:v>0.19856147277588526</c:v>
                </c:pt>
              </c:numCache>
            </c:numRef>
          </c:yVal>
          <c:smooth val="0"/>
          <c:extLst>
            <c:ext xmlns:c16="http://schemas.microsoft.com/office/drawing/2014/chart" uri="{C3380CC4-5D6E-409C-BE32-E72D297353CC}">
              <c16:uniqueId val="{00000007-A67D-4B1A-996E-F4A9CACDC23E}"/>
            </c:ext>
          </c:extLst>
        </c:ser>
        <c:dLbls>
          <c:showLegendKey val="0"/>
          <c:showVal val="0"/>
          <c:showCatName val="0"/>
          <c:showSerName val="0"/>
          <c:showPercent val="0"/>
          <c:showBubbleSize val="0"/>
        </c:dLbls>
        <c:axId val="314595056"/>
        <c:axId val="314594640"/>
      </c:scatterChart>
      <c:valAx>
        <c:axId val="314595056"/>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4640"/>
        <c:crosses val="autoZero"/>
        <c:crossBetween val="midCat"/>
      </c:valAx>
      <c:valAx>
        <c:axId val="314594640"/>
        <c:scaling>
          <c:orientation val="minMax"/>
          <c:max val="0.19856147300000004"/>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5056"/>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2021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5605555555555559"/>
          <c:w val="0.77428915135608045"/>
          <c:h val="0.68059273840769918"/>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0216FDEE-BF91-450C-A154-75E278CD047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A79C-4FCD-9B84-26F98E6A5340}"/>
                </c:ext>
              </c:extLst>
            </c:dLbl>
            <c:dLbl>
              <c:idx val="1"/>
              <c:tx>
                <c:rich>
                  <a:bodyPr/>
                  <a:lstStyle/>
                  <a:p>
                    <a:fld id="{715B97B7-1B09-49F3-8294-F36F720A184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A79C-4FCD-9B84-26F98E6A5340}"/>
                </c:ext>
              </c:extLst>
            </c:dLbl>
            <c:dLbl>
              <c:idx val="2"/>
              <c:tx>
                <c:rich>
                  <a:bodyPr/>
                  <a:lstStyle/>
                  <a:p>
                    <a:fld id="{5565D356-07EA-4CCA-94F1-A0A8012E811B}"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A79C-4FCD-9B84-26F98E6A5340}"/>
                </c:ext>
              </c:extLst>
            </c:dLbl>
            <c:dLbl>
              <c:idx val="3"/>
              <c:tx>
                <c:rich>
                  <a:bodyPr/>
                  <a:lstStyle/>
                  <a:p>
                    <a:fld id="{F41DD4B7-3E08-43E7-AA3F-ECA072DEA39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A79C-4FCD-9B84-26F98E6A5340}"/>
                </c:ext>
              </c:extLst>
            </c:dLbl>
            <c:dLbl>
              <c:idx val="4"/>
              <c:tx>
                <c:rich>
                  <a:bodyPr/>
                  <a:lstStyle/>
                  <a:p>
                    <a:fld id="{5EA728EA-0BE5-4C99-8F1E-C3034F45478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A79C-4FCD-9B84-26F98E6A5340}"/>
                </c:ext>
              </c:extLst>
            </c:dLbl>
            <c:dLbl>
              <c:idx val="5"/>
              <c:tx>
                <c:rich>
                  <a:bodyPr/>
                  <a:lstStyle/>
                  <a:p>
                    <a:fld id="{339A7A5B-97FD-4140-9239-1D4C302A109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A79C-4FCD-9B84-26F98E6A5340}"/>
                </c:ext>
              </c:extLst>
            </c:dLbl>
            <c:dLbl>
              <c:idx val="6"/>
              <c:tx>
                <c:rich>
                  <a:bodyPr/>
                  <a:lstStyle/>
                  <a:p>
                    <a:fld id="{E2525994-1099-4FD8-A50E-77F5C5F00D2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A79C-4FCD-9B84-26F98E6A534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'Economic (PB) '!$C$3:$C$9</c:f>
              <c:numCache>
                <c:formatCode>General</c:formatCode>
                <c:ptCount val="7"/>
                <c:pt idx="0">
                  <c:v>8</c:v>
                </c:pt>
                <c:pt idx="1">
                  <c:v>6</c:v>
                </c:pt>
                <c:pt idx="2">
                  <c:v>5</c:v>
                </c:pt>
                <c:pt idx="3">
                  <c:v>5</c:v>
                </c:pt>
                <c:pt idx="4">
                  <c:v>7</c:v>
                </c:pt>
                <c:pt idx="5">
                  <c:v>7</c:v>
                </c:pt>
                <c:pt idx="6">
                  <c:v>7</c:v>
                </c:pt>
              </c:numCache>
            </c:numRef>
          </c:xVal>
          <c:yVal>
            <c:numRef>
              <c:f>'Economic (PB) '!$D$3:$D$9</c:f>
              <c:numCache>
                <c:formatCode>General</c:formatCode>
                <c:ptCount val="7"/>
                <c:pt idx="0">
                  <c:v>0.10511128149997039</c:v>
                </c:pt>
                <c:pt idx="1">
                  <c:v>4.1239342127210886E-2</c:v>
                </c:pt>
                <c:pt idx="2">
                  <c:v>3.7471149368334192E-2</c:v>
                </c:pt>
                <c:pt idx="3">
                  <c:v>3.0677227301546716E-2</c:v>
                </c:pt>
                <c:pt idx="4">
                  <c:v>4.0131832162240748E-2</c:v>
                </c:pt>
                <c:pt idx="5">
                  <c:v>5.5259488178369662E-2</c:v>
                </c:pt>
                <c:pt idx="6">
                  <c:v>9.4075649554433288E-2</c:v>
                </c:pt>
              </c:numCache>
            </c:numRef>
          </c:yVal>
          <c:smooth val="0"/>
          <c:extLst>
            <c:ext xmlns:c15="http://schemas.microsoft.com/office/drawing/2012/chart" uri="{02D57815-91ED-43cb-92C2-25804820EDAC}">
              <c15:datalabelsRange>
                <c15:f>'Economic (PB) '!$B$3:$B$9</c15:f>
                <c15:dlblRangeCache>
                  <c:ptCount val="7"/>
                  <c:pt idx="0">
                    <c:v>MRF</c:v>
                  </c:pt>
                  <c:pt idx="1">
                    <c:v>MRB</c:v>
                  </c:pt>
                  <c:pt idx="2">
                    <c:v>MRC</c:v>
                  </c:pt>
                  <c:pt idx="3">
                    <c:v>MRE</c:v>
                  </c:pt>
                  <c:pt idx="4">
                    <c:v>COM</c:v>
                  </c:pt>
                  <c:pt idx="5">
                    <c:v>GEC</c:v>
                  </c:pt>
                  <c:pt idx="6">
                    <c:v>STR</c:v>
                  </c:pt>
                </c15:dlblRangeCache>
              </c15:datalabelsRange>
            </c:ext>
            <c:ext xmlns:c16="http://schemas.microsoft.com/office/drawing/2014/chart" uri="{C3380CC4-5D6E-409C-BE32-E72D297353CC}">
              <c16:uniqueId val="{00000007-A79C-4FCD-9B84-26F98E6A5340}"/>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'Economic (PB) '!$C$11:$C$12</c:f>
              <c:numCache>
                <c:formatCode>General</c:formatCode>
                <c:ptCount val="2"/>
                <c:pt idx="0">
                  <c:v>0</c:v>
                </c:pt>
                <c:pt idx="1">
                  <c:v>9</c:v>
                </c:pt>
              </c:numCache>
            </c:numRef>
          </c:xVal>
          <c:yVal>
            <c:numRef>
              <c:f>'Economic (PB) '!$D$11:$D$12</c:f>
              <c:numCache>
                <c:formatCode>General</c:formatCode>
                <c:ptCount val="2"/>
                <c:pt idx="0">
                  <c:v>5.3075522900180812E-2</c:v>
                </c:pt>
                <c:pt idx="1">
                  <c:v>5.3075522900180812E-2</c:v>
                </c:pt>
              </c:numCache>
            </c:numRef>
          </c:yVal>
          <c:smooth val="0"/>
          <c:extLst>
            <c:ext xmlns:c16="http://schemas.microsoft.com/office/drawing/2014/chart" uri="{C3380CC4-5D6E-409C-BE32-E72D297353CC}">
              <c16:uniqueId val="{00000008-A79C-4FCD-9B84-26F98E6A5340}"/>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'Economic (PB) '!$C$16:$C$17</c:f>
              <c:numCache>
                <c:formatCode>General</c:formatCode>
                <c:ptCount val="2"/>
                <c:pt idx="0">
                  <c:v>6.4</c:v>
                </c:pt>
                <c:pt idx="1">
                  <c:v>6.4</c:v>
                </c:pt>
              </c:numCache>
            </c:numRef>
          </c:xVal>
          <c:yVal>
            <c:numRef>
              <c:f>'Economic (PB) '!$D$16:$D$17</c:f>
              <c:numCache>
                <c:formatCode>0.00</c:formatCode>
                <c:ptCount val="2"/>
                <c:pt idx="0" formatCode="General">
                  <c:v>0</c:v>
                </c:pt>
                <c:pt idx="1">
                  <c:v>0.13153159060957317</c:v>
                </c:pt>
              </c:numCache>
            </c:numRef>
          </c:yVal>
          <c:smooth val="0"/>
          <c:extLst>
            <c:ext xmlns:c16="http://schemas.microsoft.com/office/drawing/2014/chart" uri="{C3380CC4-5D6E-409C-BE32-E72D297353CC}">
              <c16:uniqueId val="{00000009-A79C-4FCD-9B84-26F98E6A5340}"/>
            </c:ext>
          </c:extLst>
        </c:ser>
        <c:dLbls>
          <c:showLegendKey val="0"/>
          <c:showVal val="0"/>
          <c:showCatName val="0"/>
          <c:showSerName val="0"/>
          <c:showPercent val="0"/>
          <c:showBubbleSize val="0"/>
        </c:dLbls>
        <c:axId val="340807024"/>
        <c:axId val="423992384"/>
      </c:scatterChart>
      <c:valAx>
        <c:axId val="340807024"/>
        <c:scaling>
          <c:orientation val="minMax"/>
          <c:max val="9"/>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92384"/>
        <c:crosses val="autoZero"/>
        <c:crossBetween val="midCat"/>
      </c:valAx>
      <c:valAx>
        <c:axId val="423992384"/>
        <c:scaling>
          <c:orientation val="minMax"/>
          <c:max val="0.13153159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807024"/>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2021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253624546931634"/>
          <c:y val="0.15049999999999999"/>
          <c:w val="0.75077709036370455"/>
          <c:h val="0.69725940507436568"/>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AD7BB42C-17FF-440A-A471-CD2B7833C2DE}"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EFEA-4756-830E-53178F21E721}"/>
                </c:ext>
              </c:extLst>
            </c:dLbl>
            <c:dLbl>
              <c:idx val="1"/>
              <c:tx>
                <c:rich>
                  <a:bodyPr/>
                  <a:lstStyle/>
                  <a:p>
                    <a:fld id="{0C679EEC-0FA8-4860-93C9-5F76457E9499}"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EFEA-4756-830E-53178F21E721}"/>
                </c:ext>
              </c:extLst>
            </c:dLbl>
            <c:dLbl>
              <c:idx val="2"/>
              <c:tx>
                <c:rich>
                  <a:bodyPr/>
                  <a:lstStyle/>
                  <a:p>
                    <a:fld id="{86921543-C92F-49FA-9010-5DD9DCECE44C}"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EFEA-4756-830E-53178F21E721}"/>
                </c:ext>
              </c:extLst>
            </c:dLbl>
            <c:dLbl>
              <c:idx val="3"/>
              <c:tx>
                <c:rich>
                  <a:bodyPr/>
                  <a:lstStyle/>
                  <a:p>
                    <a:fld id="{96441134-4A0D-403C-902A-0FEEAA53777D}"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EFEA-4756-830E-53178F21E721}"/>
                </c:ext>
              </c:extLst>
            </c:dLbl>
            <c:dLbl>
              <c:idx val="4"/>
              <c:tx>
                <c:rich>
                  <a:bodyPr/>
                  <a:lstStyle/>
                  <a:p>
                    <a:fld id="{4ED8D7AD-D01B-4C4D-AAFA-CE36D803989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EFEA-4756-830E-53178F21E721}"/>
                </c:ext>
              </c:extLst>
            </c:dLbl>
            <c:dLbl>
              <c:idx val="5"/>
              <c:tx>
                <c:rich>
                  <a:bodyPr/>
                  <a:lstStyle/>
                  <a:p>
                    <a:fld id="{1A3149C4-6D39-4A38-ACE9-3D18BE59E0F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EFEA-4756-830E-53178F21E721}"/>
                </c:ext>
              </c:extLst>
            </c:dLbl>
            <c:dLbl>
              <c:idx val="6"/>
              <c:tx>
                <c:rich>
                  <a:bodyPr/>
                  <a:lstStyle/>
                  <a:p>
                    <a:fld id="{0A0F31C7-B005-47CD-8095-92BF1832AB2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EFEA-4756-830E-53178F21E72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'Economic (SB) '!$C$3:$C$9</c:f>
              <c:numCache>
                <c:formatCode>General</c:formatCode>
                <c:ptCount val="7"/>
                <c:pt idx="0">
                  <c:v>6</c:v>
                </c:pt>
                <c:pt idx="1">
                  <c:v>5</c:v>
                </c:pt>
                <c:pt idx="2">
                  <c:v>5</c:v>
                </c:pt>
                <c:pt idx="3">
                  <c:v>4</c:v>
                </c:pt>
                <c:pt idx="4">
                  <c:v>10</c:v>
                </c:pt>
                <c:pt idx="5">
                  <c:v>12</c:v>
                </c:pt>
                <c:pt idx="6">
                  <c:v>7</c:v>
                </c:pt>
              </c:numCache>
            </c:numRef>
          </c:xVal>
          <c:yVal>
            <c:numRef>
              <c:f>'Economic (SB) '!$D$3:$D$9</c:f>
              <c:numCache>
                <c:formatCode>General</c:formatCode>
                <c:ptCount val="7"/>
                <c:pt idx="0">
                  <c:v>8.4767143822782651E-2</c:v>
                </c:pt>
                <c:pt idx="1">
                  <c:v>5.9706237802537608E-2</c:v>
                </c:pt>
                <c:pt idx="2">
                  <c:v>4.3070244659444271E-2</c:v>
                </c:pt>
                <c:pt idx="3">
                  <c:v>4.0102102234062111E-2</c:v>
                </c:pt>
                <c:pt idx="4">
                  <c:v>5.0487863373340644E-2</c:v>
                </c:pt>
                <c:pt idx="5">
                  <c:v>8.7052864797590002E-2</c:v>
                </c:pt>
                <c:pt idx="6">
                  <c:v>3.0488351982733197E-2</c:v>
                </c:pt>
              </c:numCache>
            </c:numRef>
          </c:yVal>
          <c:smooth val="0"/>
          <c:extLst>
            <c:ext xmlns:c15="http://schemas.microsoft.com/office/drawing/2012/chart" uri="{02D57815-91ED-43cb-92C2-25804820EDAC}">
              <c15:datalabelsRange>
                <c15:f>'Economic (SB) '!$B$3:$B$9</c15:f>
                <c15:dlblRangeCache>
                  <c:ptCount val="7"/>
                  <c:pt idx="0">
                    <c:v>MRF</c:v>
                  </c:pt>
                  <c:pt idx="1">
                    <c:v>MRB</c:v>
                  </c:pt>
                  <c:pt idx="2">
                    <c:v>MRC</c:v>
                  </c:pt>
                  <c:pt idx="3">
                    <c:v>MRE</c:v>
                  </c:pt>
                  <c:pt idx="4">
                    <c:v>COM</c:v>
                  </c:pt>
                  <c:pt idx="5">
                    <c:v>GEC</c:v>
                  </c:pt>
                  <c:pt idx="6">
                    <c:v>STR</c:v>
                  </c:pt>
                </c15:dlblRangeCache>
              </c15:datalabelsRange>
            </c:ext>
            <c:ext xmlns:c16="http://schemas.microsoft.com/office/drawing/2014/chart" uri="{C3380CC4-5D6E-409C-BE32-E72D297353CC}">
              <c16:uniqueId val="{00000007-EFEA-4756-830E-53178F21E721}"/>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'Economic (SB) '!$C$11:$C$12</c:f>
              <c:numCache>
                <c:formatCode>General</c:formatCode>
                <c:ptCount val="2"/>
                <c:pt idx="0">
                  <c:v>0</c:v>
                </c:pt>
                <c:pt idx="1">
                  <c:v>12</c:v>
                </c:pt>
              </c:numCache>
            </c:numRef>
          </c:xVal>
          <c:yVal>
            <c:numRef>
              <c:f>'Economic (SB) '!$D$11:$D$12</c:f>
              <c:numCache>
                <c:formatCode>General</c:formatCode>
                <c:ptCount val="2"/>
                <c:pt idx="0">
                  <c:v>5.9237188706440451E-2</c:v>
                </c:pt>
                <c:pt idx="1">
                  <c:v>5.9237188706440451E-2</c:v>
                </c:pt>
              </c:numCache>
            </c:numRef>
          </c:yVal>
          <c:smooth val="0"/>
          <c:extLst>
            <c:ext xmlns:c16="http://schemas.microsoft.com/office/drawing/2014/chart" uri="{C3380CC4-5D6E-409C-BE32-E72D297353CC}">
              <c16:uniqueId val="{00000008-EFEA-4756-830E-53178F21E721}"/>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'Economic (SB) '!$C$16:$C$17</c:f>
              <c:numCache>
                <c:formatCode>General</c:formatCode>
                <c:ptCount val="2"/>
                <c:pt idx="0">
                  <c:v>7.041666666666667</c:v>
                </c:pt>
                <c:pt idx="1">
                  <c:v>7.041666666666667</c:v>
                </c:pt>
              </c:numCache>
            </c:numRef>
          </c:xVal>
          <c:yVal>
            <c:numRef>
              <c:f>'Economic (SB) '!$D$16:$D$17</c:f>
              <c:numCache>
                <c:formatCode>0.00</c:formatCode>
                <c:ptCount val="2"/>
                <c:pt idx="0" formatCode="General">
                  <c:v>0</c:v>
                </c:pt>
                <c:pt idx="1">
                  <c:v>0.17076097944056998</c:v>
                </c:pt>
              </c:numCache>
            </c:numRef>
          </c:yVal>
          <c:smooth val="0"/>
          <c:extLst>
            <c:ext xmlns:c16="http://schemas.microsoft.com/office/drawing/2014/chart" uri="{C3380CC4-5D6E-409C-BE32-E72D297353CC}">
              <c16:uniqueId val="{00000009-EFEA-4756-830E-53178F21E721}"/>
            </c:ext>
          </c:extLst>
        </c:ser>
        <c:dLbls>
          <c:showLegendKey val="0"/>
          <c:showVal val="0"/>
          <c:showCatName val="0"/>
          <c:showSerName val="0"/>
          <c:showPercent val="0"/>
          <c:showBubbleSize val="0"/>
        </c:dLbls>
        <c:axId val="340807024"/>
        <c:axId val="423992384"/>
      </c:scatterChart>
      <c:valAx>
        <c:axId val="340807024"/>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92384"/>
        <c:crosses val="autoZero"/>
        <c:crossBetween val="midCat"/>
      </c:valAx>
      <c:valAx>
        <c:axId val="423992384"/>
        <c:scaling>
          <c:orientation val="minMax"/>
          <c:max val="0.1707609790000000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807024"/>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2020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6161111111111115"/>
          <c:w val="0.75649137607799022"/>
          <c:h val="0.66392607174103235"/>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3286030E-25D9-4623-B3EE-F6D004CF51D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8CF2-421C-B5B6-99F7DC12CDAC}"/>
                </c:ext>
              </c:extLst>
            </c:dLbl>
            <c:dLbl>
              <c:idx val="1"/>
              <c:layout>
                <c:manualLayout>
                  <c:x val="7.9365079365077904E-3"/>
                  <c:y val="-5.0925337632079971E-17"/>
                </c:manualLayout>
              </c:layout>
              <c:tx>
                <c:rich>
                  <a:bodyPr/>
                  <a:lstStyle/>
                  <a:p>
                    <a:fld id="{05D138AD-13FD-4129-B77E-13BF9BE45F1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1-8CF2-421C-B5B6-99F7DC12CDAC}"/>
                </c:ext>
              </c:extLst>
            </c:dLbl>
            <c:dLbl>
              <c:idx val="2"/>
              <c:tx>
                <c:rich>
                  <a:bodyPr/>
                  <a:lstStyle/>
                  <a:p>
                    <a:fld id="{734B39E2-7C84-4A81-87C3-3C5E6DE2565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8CF2-421C-B5B6-99F7DC12CDAC}"/>
                </c:ext>
              </c:extLst>
            </c:dLbl>
            <c:dLbl>
              <c:idx val="3"/>
              <c:tx>
                <c:rich>
                  <a:bodyPr/>
                  <a:lstStyle/>
                  <a:p>
                    <a:fld id="{CDED7CF1-B33B-430C-AE4B-067421F0121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8CF2-421C-B5B6-99F7DC12CDAC}"/>
                </c:ext>
              </c:extLst>
            </c:dLbl>
            <c:dLbl>
              <c:idx val="4"/>
              <c:tx>
                <c:rich>
                  <a:bodyPr/>
                  <a:lstStyle/>
                  <a:p>
                    <a:fld id="{7171A71E-5A23-4761-9E8F-8FED9F6952B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8CF2-421C-B5B6-99F7DC12CDAC}"/>
                </c:ext>
              </c:extLst>
            </c:dLbl>
            <c:dLbl>
              <c:idx val="5"/>
              <c:tx>
                <c:rich>
                  <a:bodyPr/>
                  <a:lstStyle/>
                  <a:p>
                    <a:fld id="{C2082C22-15A8-4CE1-983A-0C3BE1F187A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8CF2-421C-B5B6-99F7DC12CDAC}"/>
                </c:ext>
              </c:extLst>
            </c:dLbl>
            <c:dLbl>
              <c:idx val="6"/>
              <c:tx>
                <c:rich>
                  <a:bodyPr/>
                  <a:lstStyle/>
                  <a:p>
                    <a:fld id="{3E8866C5-E213-4853-B694-EB10E661B8E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8CF2-421C-B5B6-99F7DC12CDA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'Economic (PB) '!$C$25:$C$31</c:f>
              <c:numCache>
                <c:formatCode>General</c:formatCode>
                <c:ptCount val="7"/>
                <c:pt idx="0">
                  <c:v>8</c:v>
                </c:pt>
                <c:pt idx="1">
                  <c:v>9</c:v>
                </c:pt>
                <c:pt idx="2">
                  <c:v>7</c:v>
                </c:pt>
                <c:pt idx="3">
                  <c:v>2</c:v>
                </c:pt>
                <c:pt idx="4">
                  <c:v>10</c:v>
                </c:pt>
                <c:pt idx="5">
                  <c:v>6</c:v>
                </c:pt>
                <c:pt idx="6">
                  <c:v>6</c:v>
                </c:pt>
              </c:numCache>
            </c:numRef>
          </c:xVal>
          <c:yVal>
            <c:numRef>
              <c:f>'Economic (PB) '!$D$25:$D$31</c:f>
              <c:numCache>
                <c:formatCode>General</c:formatCode>
                <c:ptCount val="7"/>
                <c:pt idx="0">
                  <c:v>5.2547417801415815E-2</c:v>
                </c:pt>
                <c:pt idx="1">
                  <c:v>9.2292736024380234E-2</c:v>
                </c:pt>
                <c:pt idx="2">
                  <c:v>4.6475122261086819E-2</c:v>
                </c:pt>
                <c:pt idx="3">
                  <c:v>5.8025819023261475E-2</c:v>
                </c:pt>
                <c:pt idx="4">
                  <c:v>4.5432603080853742E-2</c:v>
                </c:pt>
                <c:pt idx="5">
                  <c:v>6.2441327941079323E-2</c:v>
                </c:pt>
                <c:pt idx="6">
                  <c:v>2.8365974682382167E-2</c:v>
                </c:pt>
              </c:numCache>
            </c:numRef>
          </c:yVal>
          <c:smooth val="0"/>
          <c:extLst>
            <c:ext xmlns:c15="http://schemas.microsoft.com/office/drawing/2012/chart" uri="{02D57815-91ED-43cb-92C2-25804820EDAC}">
              <c15:datalabelsRange>
                <c15:f>'Economic (PB) '!$B$25:$B$31</c15:f>
                <c15:dlblRangeCache>
                  <c:ptCount val="7"/>
                  <c:pt idx="0">
                    <c:v>MRF</c:v>
                  </c:pt>
                  <c:pt idx="1">
                    <c:v>MRB</c:v>
                  </c:pt>
                  <c:pt idx="2">
                    <c:v>MRC</c:v>
                  </c:pt>
                  <c:pt idx="3">
                    <c:v>MRE</c:v>
                  </c:pt>
                  <c:pt idx="4">
                    <c:v>COM</c:v>
                  </c:pt>
                  <c:pt idx="5">
                    <c:v>GEC</c:v>
                  </c:pt>
                  <c:pt idx="6">
                    <c:v>STR</c:v>
                  </c:pt>
                </c15:dlblRangeCache>
              </c15:datalabelsRange>
            </c:ext>
            <c:ext xmlns:c16="http://schemas.microsoft.com/office/drawing/2014/chart" uri="{C3380CC4-5D6E-409C-BE32-E72D297353CC}">
              <c16:uniqueId val="{00000007-8CF2-421C-B5B6-99F7DC12CDAC}"/>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'Economic (PB) '!$C$33:$C$34</c:f>
              <c:numCache>
                <c:formatCode>General</c:formatCode>
                <c:ptCount val="2"/>
                <c:pt idx="0">
                  <c:v>0</c:v>
                </c:pt>
                <c:pt idx="1">
                  <c:v>10</c:v>
                </c:pt>
              </c:numCache>
            </c:numRef>
          </c:xVal>
          <c:yVal>
            <c:numRef>
              <c:f>'Economic (PB) '!$D$33:$D$34</c:f>
              <c:numCache>
                <c:formatCode>General</c:formatCode>
                <c:ptCount val="2"/>
                <c:pt idx="0">
                  <c:v>5.2835715816190766E-2</c:v>
                </c:pt>
                <c:pt idx="1">
                  <c:v>5.2835715816190766E-2</c:v>
                </c:pt>
              </c:numCache>
            </c:numRef>
          </c:yVal>
          <c:smooth val="0"/>
          <c:extLst>
            <c:ext xmlns:c16="http://schemas.microsoft.com/office/drawing/2014/chart" uri="{C3380CC4-5D6E-409C-BE32-E72D297353CC}">
              <c16:uniqueId val="{00000008-8CF2-421C-B5B6-99F7DC12CDAC}"/>
            </c:ext>
          </c:extLst>
        </c:ser>
        <c:ser>
          <c:idx val="2"/>
          <c:order val="2"/>
          <c:tx>
            <c:strRef>
              <c:f>'Economic (PB) '!$C$38:$C$39</c:f>
              <c:strCache>
                <c:ptCount val="2"/>
                <c:pt idx="0">
                  <c:v>7.04</c:v>
                </c:pt>
                <c:pt idx="1">
                  <c:v>7.04</c:v>
                </c:pt>
              </c:strCache>
            </c:strRef>
          </c:tx>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'Economic (PB) '!$C$38:$C$39</c:f>
              <c:numCache>
                <c:formatCode>General</c:formatCode>
                <c:ptCount val="2"/>
                <c:pt idx="0">
                  <c:v>7.04</c:v>
                </c:pt>
                <c:pt idx="1">
                  <c:v>7.04</c:v>
                </c:pt>
              </c:numCache>
            </c:numRef>
          </c:xVal>
          <c:yVal>
            <c:numRef>
              <c:f>'Economic (PB) '!$D$38:$D$39</c:f>
              <c:numCache>
                <c:formatCode>General</c:formatCode>
                <c:ptCount val="2"/>
                <c:pt idx="0">
                  <c:v>0</c:v>
                </c:pt>
                <c:pt idx="1">
                  <c:v>0.12576578540988731</c:v>
                </c:pt>
              </c:numCache>
            </c:numRef>
          </c:yVal>
          <c:smooth val="0"/>
          <c:extLst>
            <c:ext xmlns:c16="http://schemas.microsoft.com/office/drawing/2014/chart" uri="{C3380CC4-5D6E-409C-BE32-E72D297353CC}">
              <c16:uniqueId val="{00000009-8CF2-421C-B5B6-99F7DC12CDAC}"/>
            </c:ext>
          </c:extLst>
        </c:ser>
        <c:dLbls>
          <c:showLegendKey val="0"/>
          <c:showVal val="0"/>
          <c:showCatName val="0"/>
          <c:showSerName val="0"/>
          <c:showPercent val="0"/>
          <c:showBubbleSize val="0"/>
        </c:dLbls>
        <c:axId val="320434688"/>
        <c:axId val="320432192"/>
      </c:scatterChart>
      <c:valAx>
        <c:axId val="320434688"/>
        <c:scaling>
          <c:orientation val="minMax"/>
          <c:max val="10"/>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2192"/>
        <c:crosses val="autoZero"/>
        <c:crossBetween val="midCat"/>
      </c:valAx>
      <c:valAx>
        <c:axId val="320432192"/>
        <c:scaling>
          <c:orientation val="minMax"/>
          <c:max val="0.12576578500000002"/>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4688"/>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2020 </a:t>
            </a:r>
            <a:endParaRPr lang="en-US"/>
          </a:p>
        </c:rich>
      </c:tx>
      <c:layout>
        <c:manualLayout>
          <c:xMode val="edge"/>
          <c:yMode val="edge"/>
          <c:x val="0.22370016247969005"/>
          <c:y val="3.333333333333333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872672165979253"/>
          <c:y val="0.15049999999999999"/>
          <c:w val="0.74855486814148231"/>
          <c:h val="0.68059273840769918"/>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24AD997C-4889-4AB7-B360-FC847AF3CB2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7649-48EF-B9BA-5C4AEC8750A0}"/>
                </c:ext>
              </c:extLst>
            </c:dLbl>
            <c:dLbl>
              <c:idx val="1"/>
              <c:tx>
                <c:rich>
                  <a:bodyPr/>
                  <a:lstStyle/>
                  <a:p>
                    <a:fld id="{1B4A999B-7644-4AD8-A688-6C3F2B3E3009}"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7649-48EF-B9BA-5C4AEC8750A0}"/>
                </c:ext>
              </c:extLst>
            </c:dLbl>
            <c:dLbl>
              <c:idx val="2"/>
              <c:tx>
                <c:rich>
                  <a:bodyPr/>
                  <a:lstStyle/>
                  <a:p>
                    <a:fld id="{61B2D6D8-3471-45D5-A86A-D44B3ADB640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7649-48EF-B9BA-5C4AEC8750A0}"/>
                </c:ext>
              </c:extLst>
            </c:dLbl>
            <c:dLbl>
              <c:idx val="3"/>
              <c:tx>
                <c:rich>
                  <a:bodyPr/>
                  <a:lstStyle/>
                  <a:p>
                    <a:fld id="{7EB16561-EC8E-4ACD-A1CC-5AD25C820FC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7649-48EF-B9BA-5C4AEC8750A0}"/>
                </c:ext>
              </c:extLst>
            </c:dLbl>
            <c:dLbl>
              <c:idx val="4"/>
              <c:tx>
                <c:rich>
                  <a:bodyPr/>
                  <a:lstStyle/>
                  <a:p>
                    <a:fld id="{E8BBE7F0-B282-49B3-A8D5-D4FA0142E7F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7649-48EF-B9BA-5C4AEC8750A0}"/>
                </c:ext>
              </c:extLst>
            </c:dLbl>
            <c:dLbl>
              <c:idx val="5"/>
              <c:tx>
                <c:rich>
                  <a:bodyPr/>
                  <a:lstStyle/>
                  <a:p>
                    <a:fld id="{99281678-E7D9-4A5C-95C0-CF2A236332BD}"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7649-48EF-B9BA-5C4AEC8750A0}"/>
                </c:ext>
              </c:extLst>
            </c:dLbl>
            <c:dLbl>
              <c:idx val="6"/>
              <c:tx>
                <c:rich>
                  <a:bodyPr/>
                  <a:lstStyle/>
                  <a:p>
                    <a:fld id="{39297C8A-BE5F-4642-8954-59CCFCA1F235}"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7649-48EF-B9BA-5C4AEC8750A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'Economic (SB) '!$C$25:$C$31</c:f>
              <c:numCache>
                <c:formatCode>General</c:formatCode>
                <c:ptCount val="7"/>
                <c:pt idx="0">
                  <c:v>6</c:v>
                </c:pt>
                <c:pt idx="1">
                  <c:v>5</c:v>
                </c:pt>
                <c:pt idx="2">
                  <c:v>5</c:v>
                </c:pt>
                <c:pt idx="3">
                  <c:v>4</c:v>
                </c:pt>
                <c:pt idx="4">
                  <c:v>9</c:v>
                </c:pt>
                <c:pt idx="5">
                  <c:v>12</c:v>
                </c:pt>
                <c:pt idx="6">
                  <c:v>8</c:v>
                </c:pt>
              </c:numCache>
            </c:numRef>
          </c:xVal>
          <c:yVal>
            <c:numRef>
              <c:f>'Economic (SB) '!$D$25:$D$31</c:f>
              <c:numCache>
                <c:formatCode>General</c:formatCode>
                <c:ptCount val="7"/>
                <c:pt idx="0">
                  <c:v>9.6357863279855752E-2</c:v>
                </c:pt>
                <c:pt idx="1">
                  <c:v>6.1699565886875682E-2</c:v>
                </c:pt>
                <c:pt idx="2">
                  <c:v>4.3668120844107428E-2</c:v>
                </c:pt>
                <c:pt idx="3">
                  <c:v>4.4921142454037194E-2</c:v>
                </c:pt>
                <c:pt idx="4">
                  <c:v>4.8829065972672614E-2</c:v>
                </c:pt>
                <c:pt idx="5">
                  <c:v>7.8796383176090487E-2</c:v>
                </c:pt>
                <c:pt idx="6">
                  <c:v>4.1538876633753552E-2</c:v>
                </c:pt>
              </c:numCache>
            </c:numRef>
          </c:yVal>
          <c:smooth val="0"/>
          <c:extLst>
            <c:ext xmlns:c15="http://schemas.microsoft.com/office/drawing/2012/chart" uri="{02D57815-91ED-43cb-92C2-25804820EDAC}">
              <c15:datalabelsRange>
                <c15:f>'Economic (SB) '!$B$25:$B$31</c15:f>
                <c15:dlblRangeCache>
                  <c:ptCount val="7"/>
                  <c:pt idx="0">
                    <c:v>MRF</c:v>
                  </c:pt>
                  <c:pt idx="1">
                    <c:v>MRB</c:v>
                  </c:pt>
                  <c:pt idx="2">
                    <c:v>MRC</c:v>
                  </c:pt>
                  <c:pt idx="3">
                    <c:v>MRE</c:v>
                  </c:pt>
                  <c:pt idx="4">
                    <c:v>COM</c:v>
                  </c:pt>
                  <c:pt idx="5">
                    <c:v>GEC</c:v>
                  </c:pt>
                  <c:pt idx="6">
                    <c:v>STR</c:v>
                  </c:pt>
                </c15:dlblRangeCache>
              </c15:datalabelsRange>
            </c:ext>
            <c:ext xmlns:c16="http://schemas.microsoft.com/office/drawing/2014/chart" uri="{C3380CC4-5D6E-409C-BE32-E72D297353CC}">
              <c16:uniqueId val="{00000007-7649-48EF-B9BA-5C4AEC8750A0}"/>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'Economic (SB) '!$C$33:$C$34</c:f>
              <c:numCache>
                <c:formatCode>General</c:formatCode>
                <c:ptCount val="2"/>
                <c:pt idx="0">
                  <c:v>0</c:v>
                </c:pt>
                <c:pt idx="1">
                  <c:v>12</c:v>
                </c:pt>
              </c:numCache>
            </c:numRef>
          </c:xVal>
          <c:yVal>
            <c:numRef>
              <c:f>'Economic (SB) '!$D$33:$D$34</c:f>
              <c:numCache>
                <c:formatCode>General</c:formatCode>
                <c:ptCount val="2"/>
                <c:pt idx="0">
                  <c:v>5.9935463661229725E-2</c:v>
                </c:pt>
                <c:pt idx="1">
                  <c:v>5.9935463661229725E-2</c:v>
                </c:pt>
              </c:numCache>
            </c:numRef>
          </c:yVal>
          <c:smooth val="0"/>
          <c:extLst>
            <c:ext xmlns:c16="http://schemas.microsoft.com/office/drawing/2014/chart" uri="{C3380CC4-5D6E-409C-BE32-E72D297353CC}">
              <c16:uniqueId val="{00000008-7649-48EF-B9BA-5C4AEC8750A0}"/>
            </c:ext>
          </c:extLst>
        </c:ser>
        <c:ser>
          <c:idx val="2"/>
          <c:order val="2"/>
          <c:tx>
            <c:strRef>
              <c:f>'Economic (SB) '!$C$38:$C$39</c:f>
              <c:strCache>
                <c:ptCount val="2"/>
                <c:pt idx="0">
                  <c:v>6.96</c:v>
                </c:pt>
                <c:pt idx="1">
                  <c:v>6.96</c:v>
                </c:pt>
              </c:strCache>
            </c:strRef>
          </c:tx>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'Economic (SB) '!$C$38:$C$39</c:f>
              <c:numCache>
                <c:formatCode>General</c:formatCode>
                <c:ptCount val="2"/>
                <c:pt idx="0">
                  <c:v>6.96</c:v>
                </c:pt>
                <c:pt idx="1">
                  <c:v>6.96</c:v>
                </c:pt>
              </c:numCache>
            </c:numRef>
          </c:xVal>
          <c:yVal>
            <c:numRef>
              <c:f>'Economic (SB) '!$D$38:$D$39</c:f>
              <c:numCache>
                <c:formatCode>General</c:formatCode>
                <c:ptCount val="2"/>
                <c:pt idx="0">
                  <c:v>0</c:v>
                </c:pt>
                <c:pt idx="1">
                  <c:v>0.17209612779009353</c:v>
                </c:pt>
              </c:numCache>
            </c:numRef>
          </c:yVal>
          <c:smooth val="0"/>
          <c:extLst>
            <c:ext xmlns:c16="http://schemas.microsoft.com/office/drawing/2014/chart" uri="{C3380CC4-5D6E-409C-BE32-E72D297353CC}">
              <c16:uniqueId val="{00000009-7649-48EF-B9BA-5C4AEC8750A0}"/>
            </c:ext>
          </c:extLst>
        </c:ser>
        <c:dLbls>
          <c:showLegendKey val="0"/>
          <c:showVal val="0"/>
          <c:showCatName val="0"/>
          <c:showSerName val="0"/>
          <c:showPercent val="0"/>
          <c:showBubbleSize val="0"/>
        </c:dLbls>
        <c:axId val="320434688"/>
        <c:axId val="320432192"/>
      </c:scatterChart>
      <c:valAx>
        <c:axId val="320434688"/>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2192"/>
        <c:crosses val="autoZero"/>
        <c:crossBetween val="midCat"/>
      </c:valAx>
      <c:valAx>
        <c:axId val="320432192"/>
        <c:scaling>
          <c:orientation val="minMax"/>
          <c:max val="0.1720961280000000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4688"/>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2019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6161111111111115"/>
          <c:w val="0.75252312210973626"/>
          <c:h val="0.67503718285214354"/>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05F728A1-5AC5-442F-9593-999EB8C0BAA3}"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F646-4827-BC8E-2878B1443FE1}"/>
                </c:ext>
              </c:extLst>
            </c:dLbl>
            <c:dLbl>
              <c:idx val="1"/>
              <c:tx>
                <c:rich>
                  <a:bodyPr/>
                  <a:lstStyle/>
                  <a:p>
                    <a:fld id="{49C974B7-9D1D-43E5-B8B6-D82AAA7332C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F646-4827-BC8E-2878B1443FE1}"/>
                </c:ext>
              </c:extLst>
            </c:dLbl>
            <c:dLbl>
              <c:idx val="2"/>
              <c:tx>
                <c:rich>
                  <a:bodyPr/>
                  <a:lstStyle/>
                  <a:p>
                    <a:fld id="{3ED0EAC5-3C70-4613-812C-D99B117EBB9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F646-4827-BC8E-2878B1443FE1}"/>
                </c:ext>
              </c:extLst>
            </c:dLbl>
            <c:dLbl>
              <c:idx val="3"/>
              <c:tx>
                <c:rich>
                  <a:bodyPr/>
                  <a:lstStyle/>
                  <a:p>
                    <a:fld id="{78794522-02A6-4CB0-95B2-667D6F3B5CE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F646-4827-BC8E-2878B1443FE1}"/>
                </c:ext>
              </c:extLst>
            </c:dLbl>
            <c:dLbl>
              <c:idx val="4"/>
              <c:tx>
                <c:rich>
                  <a:bodyPr/>
                  <a:lstStyle/>
                  <a:p>
                    <a:fld id="{446F15BF-5982-4094-8F04-7C5950F5ABA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F646-4827-BC8E-2878B1443FE1}"/>
                </c:ext>
              </c:extLst>
            </c:dLbl>
            <c:dLbl>
              <c:idx val="5"/>
              <c:tx>
                <c:rich>
                  <a:bodyPr/>
                  <a:lstStyle/>
                  <a:p>
                    <a:fld id="{21A39B74-93E5-4D32-AB4D-DFCF5E07BA53}"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F646-4827-BC8E-2878B1443FE1}"/>
                </c:ext>
              </c:extLst>
            </c:dLbl>
            <c:dLbl>
              <c:idx val="6"/>
              <c:tx>
                <c:rich>
                  <a:bodyPr/>
                  <a:lstStyle/>
                  <a:p>
                    <a:fld id="{8FB087B8-EFD4-4611-A52A-A46A9A91AAA8}"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F646-4827-BC8E-2878B1443FE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'Economic (PB) '!$C$51:$C$57</c:f>
              <c:numCache>
                <c:formatCode>General</c:formatCode>
                <c:ptCount val="7"/>
                <c:pt idx="0">
                  <c:v>8</c:v>
                </c:pt>
                <c:pt idx="1">
                  <c:v>7</c:v>
                </c:pt>
                <c:pt idx="2">
                  <c:v>8</c:v>
                </c:pt>
                <c:pt idx="3">
                  <c:v>2</c:v>
                </c:pt>
                <c:pt idx="4">
                  <c:v>10</c:v>
                </c:pt>
                <c:pt idx="5">
                  <c:v>6</c:v>
                </c:pt>
                <c:pt idx="6">
                  <c:v>6</c:v>
                </c:pt>
              </c:numCache>
            </c:numRef>
          </c:xVal>
          <c:yVal>
            <c:numRef>
              <c:f>'Economic (PB) '!$D$51:$D$57</c:f>
              <c:numCache>
                <c:formatCode>General</c:formatCode>
                <c:ptCount val="7"/>
                <c:pt idx="0">
                  <c:v>6.486056196643962E-2</c:v>
                </c:pt>
                <c:pt idx="1">
                  <c:v>0.14967068135288208</c:v>
                </c:pt>
                <c:pt idx="2">
                  <c:v>4.2247644805726625E-2</c:v>
                </c:pt>
                <c:pt idx="3">
                  <c:v>2.5438722669735327E-2</c:v>
                </c:pt>
                <c:pt idx="4">
                  <c:v>4.0316773717692364E-2</c:v>
                </c:pt>
                <c:pt idx="5">
                  <c:v>4.9798092809391174E-2</c:v>
                </c:pt>
                <c:pt idx="6">
                  <c:v>1.9365123019407588E-2</c:v>
                </c:pt>
              </c:numCache>
            </c:numRef>
          </c:yVal>
          <c:smooth val="0"/>
          <c:extLst>
            <c:ext xmlns:c15="http://schemas.microsoft.com/office/drawing/2012/chart" uri="{02D57815-91ED-43cb-92C2-25804820EDAC}">
              <c15:datalabelsRange>
                <c15:f>'Economic (PB) '!$B$51:$B$57</c15:f>
                <c15:dlblRangeCache>
                  <c:ptCount val="7"/>
                  <c:pt idx="0">
                    <c:v>MRF</c:v>
                  </c:pt>
                  <c:pt idx="1">
                    <c:v>MRB</c:v>
                  </c:pt>
                  <c:pt idx="2">
                    <c:v>MRC</c:v>
                  </c:pt>
                  <c:pt idx="3">
                    <c:v>MRE</c:v>
                  </c:pt>
                  <c:pt idx="4">
                    <c:v>COM</c:v>
                  </c:pt>
                  <c:pt idx="5">
                    <c:v>GEC</c:v>
                  </c:pt>
                  <c:pt idx="6">
                    <c:v>STR</c:v>
                  </c:pt>
                </c15:dlblRangeCache>
              </c15:datalabelsRange>
            </c:ext>
            <c:ext xmlns:c16="http://schemas.microsoft.com/office/drawing/2014/chart" uri="{C3380CC4-5D6E-409C-BE32-E72D297353CC}">
              <c16:uniqueId val="{00000007-F646-4827-BC8E-2878B1443FE1}"/>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'Economic (PB) '!$C$59:$C$60</c:f>
              <c:numCache>
                <c:formatCode>General</c:formatCode>
                <c:ptCount val="2"/>
                <c:pt idx="0">
                  <c:v>0</c:v>
                </c:pt>
                <c:pt idx="1">
                  <c:v>10</c:v>
                </c:pt>
              </c:numCache>
            </c:numRef>
          </c:xVal>
          <c:yVal>
            <c:numRef>
              <c:f>'Economic (PB) '!$D$59:$D$60</c:f>
              <c:numCache>
                <c:formatCode>General</c:formatCode>
                <c:ptCount val="2"/>
                <c:pt idx="0">
                  <c:v>5.277651395876113E-2</c:v>
                </c:pt>
                <c:pt idx="1">
                  <c:v>5.277651395876113E-2</c:v>
                </c:pt>
              </c:numCache>
            </c:numRef>
          </c:yVal>
          <c:smooth val="0"/>
          <c:extLst>
            <c:ext xmlns:c16="http://schemas.microsoft.com/office/drawing/2014/chart" uri="{C3380CC4-5D6E-409C-BE32-E72D297353CC}">
              <c16:uniqueId val="{00000008-F646-4827-BC8E-2878B1443FE1}"/>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'Economic (PB) '!$C$64:$C$65</c:f>
              <c:numCache>
                <c:formatCode>General</c:formatCode>
                <c:ptCount val="2"/>
                <c:pt idx="0">
                  <c:v>6.96</c:v>
                </c:pt>
                <c:pt idx="1">
                  <c:v>6.96</c:v>
                </c:pt>
              </c:numCache>
            </c:numRef>
          </c:xVal>
          <c:yVal>
            <c:numRef>
              <c:f>'Economic (PB) '!$D$64:$D$65</c:f>
              <c:numCache>
                <c:formatCode>0.00</c:formatCode>
                <c:ptCount val="2"/>
                <c:pt idx="0" formatCode="General">
                  <c:v>0</c:v>
                </c:pt>
                <c:pt idx="1">
                  <c:v>0.14967068135288208</c:v>
                </c:pt>
              </c:numCache>
            </c:numRef>
          </c:yVal>
          <c:smooth val="0"/>
          <c:extLst>
            <c:ext xmlns:c16="http://schemas.microsoft.com/office/drawing/2014/chart" uri="{C3380CC4-5D6E-409C-BE32-E72D297353CC}">
              <c16:uniqueId val="{00000009-F646-4827-BC8E-2878B1443FE1}"/>
            </c:ext>
          </c:extLst>
        </c:ser>
        <c:dLbls>
          <c:showLegendKey val="0"/>
          <c:showVal val="0"/>
          <c:showCatName val="0"/>
          <c:showSerName val="0"/>
          <c:showPercent val="0"/>
          <c:showBubbleSize val="0"/>
        </c:dLbls>
        <c:axId val="426555360"/>
        <c:axId val="426551200"/>
      </c:scatterChart>
      <c:valAx>
        <c:axId val="426555360"/>
        <c:scaling>
          <c:orientation val="minMax"/>
          <c:max val="10"/>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1200"/>
        <c:crosses val="autoZero"/>
        <c:crossBetween val="midCat"/>
      </c:valAx>
      <c:valAx>
        <c:axId val="426551200"/>
        <c:scaling>
          <c:orientation val="minMax"/>
          <c:max val="0.14967068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5360"/>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userShapes r:id="rId4"/>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a:t>
            </a:r>
            <a:r>
              <a:rPr lang="en-US" baseline="0"/>
              <a:t> 2019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5049999999999999"/>
          <c:w val="0.76442788401449824"/>
          <c:h val="0.68059273840769907"/>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A18B49AA-3015-4EFA-81A4-C5700D5A2FBB}"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6D7C-42EB-90C0-B272AE69C32F}"/>
                </c:ext>
              </c:extLst>
            </c:dLbl>
            <c:dLbl>
              <c:idx val="1"/>
              <c:tx>
                <c:rich>
                  <a:bodyPr/>
                  <a:lstStyle/>
                  <a:p>
                    <a:fld id="{FF310888-F704-4C0B-A592-42753809DCB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6D7C-42EB-90C0-B272AE69C32F}"/>
                </c:ext>
              </c:extLst>
            </c:dLbl>
            <c:dLbl>
              <c:idx val="2"/>
              <c:layout>
                <c:manualLayout>
                  <c:x val="-4.4444444444444446E-2"/>
                  <c:y val="-5.6680161943319915E-2"/>
                </c:manualLayout>
              </c:layout>
              <c:tx>
                <c:rich>
                  <a:bodyPr/>
                  <a:lstStyle/>
                  <a:p>
                    <a:fld id="{DFECE533-13C8-4568-8E94-E4A9D6409F4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2-6D7C-42EB-90C0-B272AE69C32F}"/>
                </c:ext>
              </c:extLst>
            </c:dLbl>
            <c:dLbl>
              <c:idx val="3"/>
              <c:tx>
                <c:rich>
                  <a:bodyPr/>
                  <a:lstStyle/>
                  <a:p>
                    <a:fld id="{43FDB2DC-D761-4FE8-BF7B-E165D34F57B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6D7C-42EB-90C0-B272AE69C32F}"/>
                </c:ext>
              </c:extLst>
            </c:dLbl>
            <c:dLbl>
              <c:idx val="4"/>
              <c:tx>
                <c:rich>
                  <a:bodyPr/>
                  <a:lstStyle/>
                  <a:p>
                    <a:fld id="{2B54611C-5717-4577-952F-5F722D34C630}"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6D7C-42EB-90C0-B272AE69C32F}"/>
                </c:ext>
              </c:extLst>
            </c:dLbl>
            <c:dLbl>
              <c:idx val="5"/>
              <c:tx>
                <c:rich>
                  <a:bodyPr/>
                  <a:lstStyle/>
                  <a:p>
                    <a:fld id="{86A97923-1E24-44F4-A07E-E8535125F47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6D7C-42EB-90C0-B272AE69C32F}"/>
                </c:ext>
              </c:extLst>
            </c:dLbl>
            <c:dLbl>
              <c:idx val="6"/>
              <c:tx>
                <c:rich>
                  <a:bodyPr/>
                  <a:lstStyle/>
                  <a:p>
                    <a:fld id="{AC95AE75-B511-4B0B-8333-B929DD82425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6D7C-42EB-90C0-B272AE69C32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'Economic (SB) '!$C$51:$C$57</c:f>
              <c:numCache>
                <c:formatCode>General</c:formatCode>
                <c:ptCount val="7"/>
                <c:pt idx="0">
                  <c:v>7</c:v>
                </c:pt>
                <c:pt idx="1">
                  <c:v>4</c:v>
                </c:pt>
                <c:pt idx="2">
                  <c:v>6</c:v>
                </c:pt>
                <c:pt idx="3">
                  <c:v>4</c:v>
                </c:pt>
                <c:pt idx="4">
                  <c:v>7</c:v>
                </c:pt>
                <c:pt idx="5">
                  <c:v>10</c:v>
                </c:pt>
                <c:pt idx="6">
                  <c:v>8</c:v>
                </c:pt>
              </c:numCache>
            </c:numRef>
          </c:xVal>
          <c:yVal>
            <c:numRef>
              <c:f>'Economic (SB) '!$D$51:$D$57</c:f>
              <c:numCache>
                <c:formatCode>General</c:formatCode>
                <c:ptCount val="7"/>
                <c:pt idx="0">
                  <c:v>6.3879908361120799E-2</c:v>
                </c:pt>
                <c:pt idx="1">
                  <c:v>4.7054132337552276E-2</c:v>
                </c:pt>
                <c:pt idx="2">
                  <c:v>6.3516510387202477E-2</c:v>
                </c:pt>
                <c:pt idx="3">
                  <c:v>3.9414519625814534E-2</c:v>
                </c:pt>
                <c:pt idx="4">
                  <c:v>5.7699605745910786E-2</c:v>
                </c:pt>
                <c:pt idx="5">
                  <c:v>8.9101221140907794E-2</c:v>
                </c:pt>
                <c:pt idx="6">
                  <c:v>3.6454949238549979E-2</c:v>
                </c:pt>
              </c:numCache>
            </c:numRef>
          </c:yVal>
          <c:smooth val="0"/>
          <c:extLst>
            <c:ext xmlns:c15="http://schemas.microsoft.com/office/drawing/2012/chart" uri="{02D57815-91ED-43cb-92C2-25804820EDAC}">
              <c15:datalabelsRange>
                <c15:f>'Economic (SB) '!$B$51:$B$57</c15:f>
                <c15:dlblRangeCache>
                  <c:ptCount val="7"/>
                  <c:pt idx="0">
                    <c:v>MRF</c:v>
                  </c:pt>
                  <c:pt idx="1">
                    <c:v>MRB</c:v>
                  </c:pt>
                  <c:pt idx="2">
                    <c:v>MRC</c:v>
                  </c:pt>
                  <c:pt idx="3">
                    <c:v>MRE</c:v>
                  </c:pt>
                  <c:pt idx="4">
                    <c:v>COM</c:v>
                  </c:pt>
                  <c:pt idx="5">
                    <c:v>GEC</c:v>
                  </c:pt>
                  <c:pt idx="6">
                    <c:v>STR</c:v>
                  </c:pt>
                </c15:dlblRangeCache>
              </c15:datalabelsRange>
            </c:ext>
            <c:ext xmlns:c16="http://schemas.microsoft.com/office/drawing/2014/chart" uri="{C3380CC4-5D6E-409C-BE32-E72D297353CC}">
              <c16:uniqueId val="{00000007-6D7C-42EB-90C0-B272AE69C32F}"/>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'Economic (SB) '!$C$59:$C$60</c:f>
              <c:numCache>
                <c:formatCode>General</c:formatCode>
                <c:ptCount val="2"/>
                <c:pt idx="0">
                  <c:v>0</c:v>
                </c:pt>
                <c:pt idx="1">
                  <c:v>12</c:v>
                </c:pt>
              </c:numCache>
            </c:numRef>
          </c:xVal>
          <c:yVal>
            <c:numRef>
              <c:f>'Economic (SB) '!$D$59:$D$60</c:f>
              <c:numCache>
                <c:formatCode>General</c:formatCode>
                <c:ptCount val="2"/>
                <c:pt idx="0">
                  <c:v>6.0722585961321691E-2</c:v>
                </c:pt>
                <c:pt idx="1">
                  <c:v>6.0722585961321691E-2</c:v>
                </c:pt>
              </c:numCache>
            </c:numRef>
          </c:yVal>
          <c:smooth val="0"/>
          <c:extLst>
            <c:ext xmlns:c16="http://schemas.microsoft.com/office/drawing/2014/chart" uri="{C3380CC4-5D6E-409C-BE32-E72D297353CC}">
              <c16:uniqueId val="{00000008-6D7C-42EB-90C0-B272AE69C32F}"/>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'Economic (SB) '!$C$64:$C$65</c:f>
              <c:numCache>
                <c:formatCode>General</c:formatCode>
                <c:ptCount val="2"/>
                <c:pt idx="0">
                  <c:v>6.84</c:v>
                </c:pt>
                <c:pt idx="1">
                  <c:v>6.84</c:v>
                </c:pt>
              </c:numCache>
            </c:numRef>
          </c:xVal>
          <c:yVal>
            <c:numRef>
              <c:f>'Economic (SB) '!$D$64:$D$65</c:f>
              <c:numCache>
                <c:formatCode>0.00</c:formatCode>
                <c:ptCount val="2"/>
                <c:pt idx="0" formatCode="General">
                  <c:v>0</c:v>
                </c:pt>
                <c:pt idx="1">
                  <c:v>0.19613975396947828</c:v>
                </c:pt>
              </c:numCache>
            </c:numRef>
          </c:yVal>
          <c:smooth val="0"/>
          <c:extLst>
            <c:ext xmlns:c16="http://schemas.microsoft.com/office/drawing/2014/chart" uri="{C3380CC4-5D6E-409C-BE32-E72D297353CC}">
              <c16:uniqueId val="{00000009-6D7C-42EB-90C0-B272AE69C32F}"/>
            </c:ext>
          </c:extLst>
        </c:ser>
        <c:dLbls>
          <c:showLegendKey val="0"/>
          <c:showVal val="0"/>
          <c:showCatName val="0"/>
          <c:showSerName val="0"/>
          <c:showPercent val="0"/>
          <c:showBubbleSize val="0"/>
        </c:dLbls>
        <c:axId val="426555360"/>
        <c:axId val="426551200"/>
      </c:scatterChart>
      <c:valAx>
        <c:axId val="426555360"/>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1200"/>
        <c:crosses val="autoZero"/>
        <c:crossBetween val="midCat"/>
      </c:valAx>
      <c:valAx>
        <c:axId val="426551200"/>
        <c:scaling>
          <c:orientation val="minMax"/>
          <c:max val="0.19613975400000003"/>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5360"/>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2018 </a:t>
            </a:r>
          </a:p>
        </c:rich>
      </c:tx>
      <c:layout>
        <c:manualLayout>
          <c:xMode val="edge"/>
          <c:yMode val="edge"/>
          <c:x val="0.24123890763654543"/>
          <c:y val="3.240726159230096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36673540807399"/>
          <c:y val="0.15605555555555559"/>
          <c:w val="0.74458661417322836"/>
          <c:h val="0.69725940507436568"/>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405BE455-5F21-4A11-A2E9-C72CABA4047C}"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AA75-4BD7-9EB4-4829D60EE3FF}"/>
                </c:ext>
              </c:extLst>
            </c:dLbl>
            <c:dLbl>
              <c:idx val="1"/>
              <c:tx>
                <c:rich>
                  <a:bodyPr/>
                  <a:lstStyle/>
                  <a:p>
                    <a:fld id="{2A163507-C447-45C4-A250-3BDA47F2E8A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AA75-4BD7-9EB4-4829D60EE3FF}"/>
                </c:ext>
              </c:extLst>
            </c:dLbl>
            <c:dLbl>
              <c:idx val="2"/>
              <c:tx>
                <c:rich>
                  <a:bodyPr/>
                  <a:lstStyle/>
                  <a:p>
                    <a:fld id="{DEC81C7A-F7AA-48BF-9B1D-F48BA69DE84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AA75-4BD7-9EB4-4829D60EE3FF}"/>
                </c:ext>
              </c:extLst>
            </c:dLbl>
            <c:dLbl>
              <c:idx val="3"/>
              <c:tx>
                <c:rich>
                  <a:bodyPr/>
                  <a:lstStyle/>
                  <a:p>
                    <a:fld id="{D774174B-9D38-4FC7-AC25-C276642E4875}"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AA75-4BD7-9EB4-4829D60EE3FF}"/>
                </c:ext>
              </c:extLst>
            </c:dLbl>
            <c:dLbl>
              <c:idx val="4"/>
              <c:tx>
                <c:rich>
                  <a:bodyPr/>
                  <a:lstStyle/>
                  <a:p>
                    <a:fld id="{29241DA5-EDBE-44E9-8105-F9588627A0E9}"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AA75-4BD7-9EB4-4829D60EE3FF}"/>
                </c:ext>
              </c:extLst>
            </c:dLbl>
            <c:dLbl>
              <c:idx val="5"/>
              <c:tx>
                <c:rich>
                  <a:bodyPr/>
                  <a:lstStyle/>
                  <a:p>
                    <a:fld id="{0F4EE9EC-2F3C-403A-8633-09295796EF5D}"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AA75-4BD7-9EB4-4829D60EE3FF}"/>
                </c:ext>
              </c:extLst>
            </c:dLbl>
            <c:dLbl>
              <c:idx val="6"/>
              <c:tx>
                <c:rich>
                  <a:bodyPr/>
                  <a:lstStyle/>
                  <a:p>
                    <a:fld id="{BB022395-7C1E-4384-A631-23BA8BB78EB0}"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AA75-4BD7-9EB4-4829D60EE3F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'Economic (PB) '!$C$76:$C$82</c:f>
              <c:numCache>
                <c:formatCode>General</c:formatCode>
                <c:ptCount val="7"/>
                <c:pt idx="0">
                  <c:v>8</c:v>
                </c:pt>
                <c:pt idx="1">
                  <c:v>8</c:v>
                </c:pt>
                <c:pt idx="2">
                  <c:v>8</c:v>
                </c:pt>
                <c:pt idx="3">
                  <c:v>2</c:v>
                </c:pt>
                <c:pt idx="4">
                  <c:v>10</c:v>
                </c:pt>
                <c:pt idx="5">
                  <c:v>6</c:v>
                </c:pt>
                <c:pt idx="6">
                  <c:v>6</c:v>
                </c:pt>
              </c:numCache>
            </c:numRef>
          </c:xVal>
          <c:yVal>
            <c:numRef>
              <c:f>'Economic (PB) '!$D$76:$D$82</c:f>
              <c:numCache>
                <c:formatCode>General</c:formatCode>
                <c:ptCount val="7"/>
                <c:pt idx="0">
                  <c:v>7.1681200866273415E-2</c:v>
                </c:pt>
                <c:pt idx="1">
                  <c:v>0.14404728233107458</c:v>
                </c:pt>
                <c:pt idx="2">
                  <c:v>4.1030795717745809E-2</c:v>
                </c:pt>
                <c:pt idx="3">
                  <c:v>2.5469977553310888E-2</c:v>
                </c:pt>
                <c:pt idx="4">
                  <c:v>4.1323555618888765E-2</c:v>
                </c:pt>
                <c:pt idx="5">
                  <c:v>5.0274641337777121E-2</c:v>
                </c:pt>
                <c:pt idx="6">
                  <c:v>1.8298887485085669E-2</c:v>
                </c:pt>
              </c:numCache>
            </c:numRef>
          </c:yVal>
          <c:smooth val="0"/>
          <c:extLst>
            <c:ext xmlns:c15="http://schemas.microsoft.com/office/drawing/2012/chart" uri="{02D57815-91ED-43cb-92C2-25804820EDAC}">
              <c15:datalabelsRange>
                <c15:f>'Economic (PB) '!$B$76:$B$82</c15:f>
                <c15:dlblRangeCache>
                  <c:ptCount val="7"/>
                  <c:pt idx="0">
                    <c:v>MRF</c:v>
                  </c:pt>
                  <c:pt idx="1">
                    <c:v>MRB</c:v>
                  </c:pt>
                  <c:pt idx="2">
                    <c:v>MRC</c:v>
                  </c:pt>
                  <c:pt idx="3">
                    <c:v>MRE</c:v>
                  </c:pt>
                  <c:pt idx="4">
                    <c:v>COM</c:v>
                  </c:pt>
                  <c:pt idx="5">
                    <c:v>GEC</c:v>
                  </c:pt>
                  <c:pt idx="6">
                    <c:v>STR</c:v>
                  </c:pt>
                </c15:dlblRangeCache>
              </c15:datalabelsRange>
            </c:ext>
            <c:ext xmlns:c16="http://schemas.microsoft.com/office/drawing/2014/chart" uri="{C3380CC4-5D6E-409C-BE32-E72D297353CC}">
              <c16:uniqueId val="{00000007-AA75-4BD7-9EB4-4829D60EE3FF}"/>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'Economic (PB) '!$C$84:$C$85</c:f>
              <c:numCache>
                <c:formatCode>General</c:formatCode>
                <c:ptCount val="2"/>
                <c:pt idx="0">
                  <c:v>0</c:v>
                </c:pt>
                <c:pt idx="1">
                  <c:v>10</c:v>
                </c:pt>
              </c:numCache>
            </c:numRef>
          </c:xVal>
          <c:yVal>
            <c:numRef>
              <c:f>'Economic (PB) '!$D$84:$D$85</c:f>
              <c:numCache>
                <c:formatCode>General</c:formatCode>
                <c:ptCount val="2"/>
                <c:pt idx="0">
                  <c:v>5.0990927928383341E-2</c:v>
                </c:pt>
                <c:pt idx="1">
                  <c:v>5.0990927928383341E-2</c:v>
                </c:pt>
              </c:numCache>
            </c:numRef>
          </c:yVal>
          <c:smooth val="0"/>
          <c:extLst>
            <c:ext xmlns:c16="http://schemas.microsoft.com/office/drawing/2014/chart" uri="{C3380CC4-5D6E-409C-BE32-E72D297353CC}">
              <c16:uniqueId val="{00000008-AA75-4BD7-9EB4-4829D60EE3FF}"/>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'Economic (PB) '!$C$89:$C$90</c:f>
              <c:numCache>
                <c:formatCode>General</c:formatCode>
                <c:ptCount val="2"/>
                <c:pt idx="0">
                  <c:v>6.96</c:v>
                </c:pt>
                <c:pt idx="1">
                  <c:v>6.96</c:v>
                </c:pt>
              </c:numCache>
            </c:numRef>
          </c:xVal>
          <c:yVal>
            <c:numRef>
              <c:f>'Economic (PB) '!$D$89:$D$90</c:f>
              <c:numCache>
                <c:formatCode>0.00</c:formatCode>
                <c:ptCount val="2"/>
                <c:pt idx="0" formatCode="General">
                  <c:v>0</c:v>
                </c:pt>
                <c:pt idx="1">
                  <c:v>0.14404728233107458</c:v>
                </c:pt>
              </c:numCache>
            </c:numRef>
          </c:yVal>
          <c:smooth val="0"/>
          <c:extLst>
            <c:ext xmlns:c16="http://schemas.microsoft.com/office/drawing/2014/chart" uri="{C3380CC4-5D6E-409C-BE32-E72D297353CC}">
              <c16:uniqueId val="{00000009-AA75-4BD7-9EB4-4829D60EE3FF}"/>
            </c:ext>
          </c:extLst>
        </c:ser>
        <c:dLbls>
          <c:showLegendKey val="0"/>
          <c:showVal val="0"/>
          <c:showCatName val="0"/>
          <c:showSerName val="0"/>
          <c:showPercent val="0"/>
          <c:showBubbleSize val="0"/>
        </c:dLbls>
        <c:axId val="314595056"/>
        <c:axId val="314594640"/>
      </c:scatterChart>
      <c:valAx>
        <c:axId val="314595056"/>
        <c:scaling>
          <c:orientation val="minMax"/>
          <c:max val="10"/>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4640"/>
        <c:crosses val="autoZero"/>
        <c:crossBetween val="midCat"/>
      </c:valAx>
      <c:valAx>
        <c:axId val="314594640"/>
        <c:scaling>
          <c:orientation val="minMax"/>
          <c:max val="0.14404728200000005"/>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5056"/>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userShapes r:id="rId4"/>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2018</a:t>
            </a:r>
          </a:p>
        </c:rich>
      </c:tx>
      <c:layout>
        <c:manualLayout>
          <c:xMode val="edge"/>
          <c:yMode val="edge"/>
          <c:x val="0.2213976377952756"/>
          <c:y val="3.796281714785651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5049999999999999"/>
          <c:w val="0.75649137607799022"/>
          <c:h val="0.68614829396325472"/>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49F096DA-7BB3-48AE-8B04-E7C5937E94D5}"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632B-4196-84AA-77D2D47A9C12}"/>
                </c:ext>
              </c:extLst>
            </c:dLbl>
            <c:dLbl>
              <c:idx val="1"/>
              <c:tx>
                <c:rich>
                  <a:bodyPr/>
                  <a:lstStyle/>
                  <a:p>
                    <a:fld id="{1C3DE311-081D-4DA5-BC00-3B5513D87B9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632B-4196-84AA-77D2D47A9C12}"/>
                </c:ext>
              </c:extLst>
            </c:dLbl>
            <c:dLbl>
              <c:idx val="2"/>
              <c:tx>
                <c:rich>
                  <a:bodyPr/>
                  <a:lstStyle/>
                  <a:p>
                    <a:fld id="{22383411-717C-4C51-B795-8679E92D84C0}"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632B-4196-84AA-77D2D47A9C12}"/>
                </c:ext>
              </c:extLst>
            </c:dLbl>
            <c:dLbl>
              <c:idx val="3"/>
              <c:tx>
                <c:rich>
                  <a:bodyPr/>
                  <a:lstStyle/>
                  <a:p>
                    <a:fld id="{259C8B51-1D02-45C4-B5F3-F618E3E8686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632B-4196-84AA-77D2D47A9C12}"/>
                </c:ext>
              </c:extLst>
            </c:dLbl>
            <c:dLbl>
              <c:idx val="4"/>
              <c:tx>
                <c:rich>
                  <a:bodyPr/>
                  <a:lstStyle/>
                  <a:p>
                    <a:fld id="{E3CF71F5-3543-4709-A88F-DCEE0022CC90}"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632B-4196-84AA-77D2D47A9C12}"/>
                </c:ext>
              </c:extLst>
            </c:dLbl>
            <c:dLbl>
              <c:idx val="5"/>
              <c:tx>
                <c:rich>
                  <a:bodyPr/>
                  <a:lstStyle/>
                  <a:p>
                    <a:fld id="{C2D32DA0-CCBC-43B2-89DC-352CD0033A7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632B-4196-84AA-77D2D47A9C12}"/>
                </c:ext>
              </c:extLst>
            </c:dLbl>
            <c:dLbl>
              <c:idx val="6"/>
              <c:tx>
                <c:rich>
                  <a:bodyPr/>
                  <a:lstStyle/>
                  <a:p>
                    <a:fld id="{5DD46127-D498-4119-A9D2-C40B9751D9EB}"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632B-4196-84AA-77D2D47A9C1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'Economic (SB) '!$C$76:$C$82</c:f>
              <c:numCache>
                <c:formatCode>General</c:formatCode>
                <c:ptCount val="7"/>
                <c:pt idx="0">
                  <c:v>8</c:v>
                </c:pt>
                <c:pt idx="1">
                  <c:v>4</c:v>
                </c:pt>
                <c:pt idx="2">
                  <c:v>6</c:v>
                </c:pt>
                <c:pt idx="3">
                  <c:v>4</c:v>
                </c:pt>
                <c:pt idx="4">
                  <c:v>7</c:v>
                </c:pt>
                <c:pt idx="5">
                  <c:v>11</c:v>
                </c:pt>
                <c:pt idx="6">
                  <c:v>8</c:v>
                </c:pt>
              </c:numCache>
            </c:numRef>
          </c:xVal>
          <c:yVal>
            <c:numRef>
              <c:f>'Economic (SB) '!$D$76:$D$82</c:f>
              <c:numCache>
                <c:formatCode>General</c:formatCode>
                <c:ptCount val="7"/>
                <c:pt idx="0">
                  <c:v>6.7135625681098363E-2</c:v>
                </c:pt>
                <c:pt idx="1">
                  <c:v>4.7153370230054836E-2</c:v>
                </c:pt>
                <c:pt idx="2">
                  <c:v>6.7532354469605496E-2</c:v>
                </c:pt>
                <c:pt idx="3">
                  <c:v>6.4874625512570824E-2</c:v>
                </c:pt>
                <c:pt idx="4">
                  <c:v>7.7147419388717067E-2</c:v>
                </c:pt>
                <c:pt idx="5">
                  <c:v>9.2291392700235203E-2</c:v>
                </c:pt>
                <c:pt idx="6">
                  <c:v>2.3442162278783076E-2</c:v>
                </c:pt>
              </c:numCache>
            </c:numRef>
          </c:yVal>
          <c:smooth val="0"/>
          <c:extLst>
            <c:ext xmlns:c15="http://schemas.microsoft.com/office/drawing/2012/chart" uri="{02D57815-91ED-43cb-92C2-25804820EDAC}">
              <c15:datalabelsRange>
                <c15:f>'Economic (SB) '!$B$76:$B$82</c15:f>
                <c15:dlblRangeCache>
                  <c:ptCount val="7"/>
                  <c:pt idx="0">
                    <c:v>MRF</c:v>
                  </c:pt>
                  <c:pt idx="1">
                    <c:v>MRB</c:v>
                  </c:pt>
                  <c:pt idx="2">
                    <c:v>MRC</c:v>
                  </c:pt>
                  <c:pt idx="3">
                    <c:v>MRE</c:v>
                  </c:pt>
                  <c:pt idx="4">
                    <c:v>COM</c:v>
                  </c:pt>
                  <c:pt idx="5">
                    <c:v>GEC</c:v>
                  </c:pt>
                  <c:pt idx="6">
                    <c:v>STR</c:v>
                  </c:pt>
                </c15:dlblRangeCache>
              </c15:datalabelsRange>
            </c:ext>
            <c:ext xmlns:c16="http://schemas.microsoft.com/office/drawing/2014/chart" uri="{C3380CC4-5D6E-409C-BE32-E72D297353CC}">
              <c16:uniqueId val="{00000007-632B-4196-84AA-77D2D47A9C12}"/>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'Economic (SB) '!$C$84:$C$85</c:f>
              <c:numCache>
                <c:formatCode>General</c:formatCode>
                <c:ptCount val="2"/>
                <c:pt idx="0">
                  <c:v>0</c:v>
                </c:pt>
                <c:pt idx="1">
                  <c:v>12</c:v>
                </c:pt>
              </c:numCache>
            </c:numRef>
          </c:xVal>
          <c:yVal>
            <c:numRef>
              <c:f>'Economic (SB) '!$D$84:$D$85</c:f>
              <c:numCache>
                <c:formatCode>General</c:formatCode>
                <c:ptCount val="2"/>
                <c:pt idx="0">
                  <c:v>6.1459893959753098E-2</c:v>
                </c:pt>
                <c:pt idx="1">
                  <c:v>6.1459893959753098E-2</c:v>
                </c:pt>
              </c:numCache>
            </c:numRef>
          </c:yVal>
          <c:smooth val="0"/>
          <c:extLst>
            <c:ext xmlns:c16="http://schemas.microsoft.com/office/drawing/2014/chart" uri="{C3380CC4-5D6E-409C-BE32-E72D297353CC}">
              <c16:uniqueId val="{00000008-632B-4196-84AA-77D2D47A9C12}"/>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'Economic (SB) '!$C$89:$C$90</c:f>
              <c:numCache>
                <c:formatCode>General</c:formatCode>
                <c:ptCount val="2"/>
                <c:pt idx="0">
                  <c:v>6.96</c:v>
                </c:pt>
                <c:pt idx="1">
                  <c:v>6.96</c:v>
                </c:pt>
              </c:numCache>
            </c:numRef>
          </c:xVal>
          <c:yVal>
            <c:numRef>
              <c:f>'Economic (SB) '!$D$89:$D$90</c:f>
              <c:numCache>
                <c:formatCode>0.00</c:formatCode>
                <c:ptCount val="2"/>
                <c:pt idx="0" formatCode="General">
                  <c:v>0</c:v>
                </c:pt>
                <c:pt idx="1">
                  <c:v>0.19856147277588526</c:v>
                </c:pt>
              </c:numCache>
            </c:numRef>
          </c:yVal>
          <c:smooth val="0"/>
          <c:extLst>
            <c:ext xmlns:c16="http://schemas.microsoft.com/office/drawing/2014/chart" uri="{C3380CC4-5D6E-409C-BE32-E72D297353CC}">
              <c16:uniqueId val="{00000009-632B-4196-84AA-77D2D47A9C12}"/>
            </c:ext>
          </c:extLst>
        </c:ser>
        <c:dLbls>
          <c:showLegendKey val="0"/>
          <c:showVal val="0"/>
          <c:showCatName val="0"/>
          <c:showSerName val="0"/>
          <c:showPercent val="0"/>
          <c:showBubbleSize val="0"/>
        </c:dLbls>
        <c:axId val="314595056"/>
        <c:axId val="314594640"/>
      </c:scatterChart>
      <c:valAx>
        <c:axId val="314595056"/>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4640"/>
        <c:crosses val="autoZero"/>
        <c:crossBetween val="midCat"/>
      </c:valAx>
      <c:valAx>
        <c:axId val="314594640"/>
        <c:scaling>
          <c:orientation val="minMax"/>
          <c:max val="0.19856147300000004"/>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5056"/>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2021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6716666666666669"/>
          <c:w val="0.76157074115735535"/>
          <c:h val="0.66948162729658789"/>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106BF143-8D24-4AA6-ACE5-CBFB4E0016A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268B-4A85-AE16-FF0BA216A3DA}"/>
                </c:ext>
              </c:extLst>
            </c:dLbl>
            <c:dLbl>
              <c:idx val="1"/>
              <c:tx>
                <c:rich>
                  <a:bodyPr/>
                  <a:lstStyle/>
                  <a:p>
                    <a:fld id="{221D20B1-83B9-4AA6-B545-5605C988A6DE}"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268B-4A85-AE16-FF0BA216A3D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'Social (PB) '!$C$3:$C$4</c:f>
              <c:numCache>
                <c:formatCode>General</c:formatCode>
                <c:ptCount val="2"/>
                <c:pt idx="0">
                  <c:v>3</c:v>
                </c:pt>
                <c:pt idx="1">
                  <c:v>7</c:v>
                </c:pt>
              </c:numCache>
            </c:numRef>
          </c:xVal>
          <c:yVal>
            <c:numRef>
              <c:f>'Social (PB) '!$D$3:$D$4</c:f>
              <c:numCache>
                <c:formatCode>General</c:formatCode>
                <c:ptCount val="2"/>
                <c:pt idx="0">
                  <c:v>2.2885577271542185E-2</c:v>
                </c:pt>
                <c:pt idx="1">
                  <c:v>3.3045403302441247E-2</c:v>
                </c:pt>
              </c:numCache>
            </c:numRef>
          </c:yVal>
          <c:smooth val="0"/>
          <c:extLst>
            <c:ext xmlns:c15="http://schemas.microsoft.com/office/drawing/2012/chart" uri="{02D57815-91ED-43cb-92C2-25804820EDAC}">
              <c15:datalabelsRange>
                <c15:f>'Social (PB) '!$B$3:$B$4</c15:f>
                <c15:dlblRangeCache>
                  <c:ptCount val="2"/>
                  <c:pt idx="0">
                    <c:v>PUO</c:v>
                  </c:pt>
                  <c:pt idx="1">
                    <c:v>PUP</c:v>
                  </c:pt>
                </c15:dlblRangeCache>
              </c15:datalabelsRange>
            </c:ext>
            <c:ext xmlns:c16="http://schemas.microsoft.com/office/drawing/2014/chart" uri="{C3380CC4-5D6E-409C-BE32-E72D297353CC}">
              <c16:uniqueId val="{00000002-268B-4A85-AE16-FF0BA216A3DA}"/>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'Social (PB) '!$C$6:$C$7</c:f>
              <c:numCache>
                <c:formatCode>General</c:formatCode>
                <c:ptCount val="2"/>
                <c:pt idx="0">
                  <c:v>0</c:v>
                </c:pt>
                <c:pt idx="1">
                  <c:v>9</c:v>
                </c:pt>
              </c:numCache>
            </c:numRef>
          </c:xVal>
          <c:yVal>
            <c:numRef>
              <c:f>'Social (PB) '!$D$6:$D$7</c:f>
              <c:numCache>
                <c:formatCode>General</c:formatCode>
                <c:ptCount val="2"/>
                <c:pt idx="0">
                  <c:v>5.3075522900180812E-2</c:v>
                </c:pt>
                <c:pt idx="1">
                  <c:v>5.3075522900180812E-2</c:v>
                </c:pt>
              </c:numCache>
            </c:numRef>
          </c:yVal>
          <c:smooth val="0"/>
          <c:extLst>
            <c:ext xmlns:c16="http://schemas.microsoft.com/office/drawing/2014/chart" uri="{C3380CC4-5D6E-409C-BE32-E72D297353CC}">
              <c16:uniqueId val="{00000003-268B-4A85-AE16-FF0BA216A3DA}"/>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'Social (PB) '!$C$11:$C$12</c:f>
              <c:numCache>
                <c:formatCode>General</c:formatCode>
                <c:ptCount val="2"/>
                <c:pt idx="0">
                  <c:v>6.4</c:v>
                </c:pt>
                <c:pt idx="1">
                  <c:v>6.4</c:v>
                </c:pt>
              </c:numCache>
            </c:numRef>
          </c:xVal>
          <c:yVal>
            <c:numRef>
              <c:f>'Social (PB) '!$D$11:$D$12</c:f>
              <c:numCache>
                <c:formatCode>0.00</c:formatCode>
                <c:ptCount val="2"/>
                <c:pt idx="0" formatCode="General">
                  <c:v>0</c:v>
                </c:pt>
                <c:pt idx="1">
                  <c:v>0.13153159060957317</c:v>
                </c:pt>
              </c:numCache>
            </c:numRef>
          </c:yVal>
          <c:smooth val="0"/>
          <c:extLst>
            <c:ext xmlns:c16="http://schemas.microsoft.com/office/drawing/2014/chart" uri="{C3380CC4-5D6E-409C-BE32-E72D297353CC}">
              <c16:uniqueId val="{00000004-268B-4A85-AE16-FF0BA216A3DA}"/>
            </c:ext>
          </c:extLst>
        </c:ser>
        <c:dLbls>
          <c:showLegendKey val="0"/>
          <c:showVal val="0"/>
          <c:showCatName val="0"/>
          <c:showSerName val="0"/>
          <c:showPercent val="0"/>
          <c:showBubbleSize val="0"/>
        </c:dLbls>
        <c:axId val="340807024"/>
        <c:axId val="423992384"/>
      </c:scatterChart>
      <c:valAx>
        <c:axId val="340807024"/>
        <c:scaling>
          <c:orientation val="minMax"/>
          <c:max val="9"/>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92384"/>
        <c:crosses val="autoZero"/>
        <c:crossBetween val="midCat"/>
      </c:valAx>
      <c:valAx>
        <c:axId val="423992384"/>
        <c:scaling>
          <c:orientation val="minMax"/>
          <c:max val="0.13153159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807024"/>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2021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7872672165979253"/>
          <c:y val="0.17272222222222225"/>
          <c:w val="0.76665010623672036"/>
          <c:h val="0.65837051618547693"/>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F1195503-6212-4A95-8B09-343B0BFA554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3AA5-4D93-8382-B2D4B7C13F4F}"/>
                </c:ext>
              </c:extLst>
            </c:dLbl>
            <c:dLbl>
              <c:idx val="1"/>
              <c:tx>
                <c:rich>
                  <a:bodyPr/>
                  <a:lstStyle/>
                  <a:p>
                    <a:fld id="{F5B9D4B5-FE39-40B1-88A3-BBDECCF6F200}"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3AA5-4D93-8382-B2D4B7C13F4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'Social (SB)  '!$C$3:$C$4</c:f>
              <c:numCache>
                <c:formatCode>General</c:formatCode>
                <c:ptCount val="2"/>
                <c:pt idx="0">
                  <c:v>2</c:v>
                </c:pt>
                <c:pt idx="1">
                  <c:v>5</c:v>
                </c:pt>
              </c:numCache>
            </c:numRef>
          </c:xVal>
          <c:yVal>
            <c:numRef>
              <c:f>'Social (SB)  '!$D$3:$D$4</c:f>
              <c:numCache>
                <c:formatCode>General</c:formatCode>
                <c:ptCount val="2"/>
                <c:pt idx="0">
                  <c:v>2.8421945701357462E-2</c:v>
                </c:pt>
                <c:pt idx="1">
                  <c:v>3.9162512805092212E-2</c:v>
                </c:pt>
              </c:numCache>
            </c:numRef>
          </c:yVal>
          <c:smooth val="0"/>
          <c:extLst>
            <c:ext xmlns:c15="http://schemas.microsoft.com/office/drawing/2012/chart" uri="{02D57815-91ED-43cb-92C2-25804820EDAC}">
              <c15:datalabelsRange>
                <c15:f>'Social (SB)  '!$B$3:$B$4</c15:f>
                <c15:dlblRangeCache>
                  <c:ptCount val="2"/>
                  <c:pt idx="0">
                    <c:v>PUO</c:v>
                  </c:pt>
                  <c:pt idx="1">
                    <c:v>PUP</c:v>
                  </c:pt>
                </c15:dlblRangeCache>
              </c15:datalabelsRange>
            </c:ext>
            <c:ext xmlns:c16="http://schemas.microsoft.com/office/drawing/2014/chart" uri="{C3380CC4-5D6E-409C-BE32-E72D297353CC}">
              <c16:uniqueId val="{00000002-3AA5-4D93-8382-B2D4B7C13F4F}"/>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'Social (SB)  '!$C$6:$C$7</c:f>
              <c:numCache>
                <c:formatCode>General</c:formatCode>
                <c:ptCount val="2"/>
                <c:pt idx="0">
                  <c:v>0</c:v>
                </c:pt>
                <c:pt idx="1">
                  <c:v>12</c:v>
                </c:pt>
              </c:numCache>
            </c:numRef>
          </c:xVal>
          <c:yVal>
            <c:numRef>
              <c:f>'Social (SB)  '!$D$6:$D$7</c:f>
              <c:numCache>
                <c:formatCode>General</c:formatCode>
                <c:ptCount val="2"/>
                <c:pt idx="0">
                  <c:v>5.9237188706440451E-2</c:v>
                </c:pt>
                <c:pt idx="1">
                  <c:v>5.9237188706440451E-2</c:v>
                </c:pt>
              </c:numCache>
            </c:numRef>
          </c:yVal>
          <c:smooth val="0"/>
          <c:extLst>
            <c:ext xmlns:c16="http://schemas.microsoft.com/office/drawing/2014/chart" uri="{C3380CC4-5D6E-409C-BE32-E72D297353CC}">
              <c16:uniqueId val="{00000003-3AA5-4D93-8382-B2D4B7C13F4F}"/>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'Social (SB)  '!$C$11:$C$12</c:f>
              <c:numCache>
                <c:formatCode>General</c:formatCode>
                <c:ptCount val="2"/>
                <c:pt idx="0">
                  <c:v>7.041666666666667</c:v>
                </c:pt>
                <c:pt idx="1">
                  <c:v>7.041666666666667</c:v>
                </c:pt>
              </c:numCache>
            </c:numRef>
          </c:xVal>
          <c:yVal>
            <c:numRef>
              <c:f>'Social (SB)  '!$D$11:$D$12</c:f>
              <c:numCache>
                <c:formatCode>0.00</c:formatCode>
                <c:ptCount val="2"/>
                <c:pt idx="0" formatCode="General">
                  <c:v>0</c:v>
                </c:pt>
                <c:pt idx="1">
                  <c:v>0.17076097944056998</c:v>
                </c:pt>
              </c:numCache>
            </c:numRef>
          </c:yVal>
          <c:smooth val="0"/>
          <c:extLst>
            <c:ext xmlns:c16="http://schemas.microsoft.com/office/drawing/2014/chart" uri="{C3380CC4-5D6E-409C-BE32-E72D297353CC}">
              <c16:uniqueId val="{00000004-3AA5-4D93-8382-B2D4B7C13F4F}"/>
            </c:ext>
          </c:extLst>
        </c:ser>
        <c:dLbls>
          <c:showLegendKey val="0"/>
          <c:showVal val="0"/>
          <c:showCatName val="0"/>
          <c:showSerName val="0"/>
          <c:showPercent val="0"/>
          <c:showBubbleSize val="0"/>
        </c:dLbls>
        <c:axId val="340807024"/>
        <c:axId val="423992384"/>
      </c:scatterChart>
      <c:valAx>
        <c:axId val="340807024"/>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92384"/>
        <c:crosses val="autoZero"/>
        <c:crossBetween val="midCat"/>
      </c:valAx>
      <c:valAx>
        <c:axId val="423992384"/>
        <c:scaling>
          <c:orientation val="minMax"/>
          <c:max val="0.1707609790000000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807024"/>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2020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1350862392200975"/>
          <c:y val="0.15605555555555559"/>
          <c:w val="0.72474534433195847"/>
          <c:h val="0.68614829396325472"/>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12E9D962-1005-4B0E-A4CC-CE129AADADB0}"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2903-4FDA-BC32-3DCC46532CB0}"/>
                </c:ext>
              </c:extLst>
            </c:dLbl>
            <c:dLbl>
              <c:idx val="1"/>
              <c:tx>
                <c:rich>
                  <a:bodyPr/>
                  <a:lstStyle/>
                  <a:p>
                    <a:fld id="{E03E9360-66D3-475B-BF9F-03AC349CACD8}"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2903-4FDA-BC32-3DCC46532CB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'Social (PB) '!$C$20:$C$21</c:f>
              <c:numCache>
                <c:formatCode>General</c:formatCode>
                <c:ptCount val="2"/>
                <c:pt idx="0">
                  <c:v>4</c:v>
                </c:pt>
                <c:pt idx="1">
                  <c:v>6</c:v>
                </c:pt>
              </c:numCache>
            </c:numRef>
          </c:xVal>
          <c:yVal>
            <c:numRef>
              <c:f>'Social (PB) '!$D$20:$D$21</c:f>
              <c:numCache>
                <c:formatCode>General</c:formatCode>
                <c:ptCount val="2"/>
                <c:pt idx="0">
                  <c:v>2.2628171601788507E-2</c:v>
                </c:pt>
                <c:pt idx="1">
                  <c:v>3.6391757097522667E-2</c:v>
                </c:pt>
              </c:numCache>
            </c:numRef>
          </c:yVal>
          <c:smooth val="0"/>
          <c:extLst>
            <c:ext xmlns:c15="http://schemas.microsoft.com/office/drawing/2012/chart" uri="{02D57815-91ED-43cb-92C2-25804820EDAC}">
              <c15:datalabelsRange>
                <c15:f>'Social (PB) '!$B$20:$B$21</c15:f>
                <c15:dlblRangeCache>
                  <c:ptCount val="2"/>
                  <c:pt idx="0">
                    <c:v>PUO</c:v>
                  </c:pt>
                  <c:pt idx="1">
                    <c:v>PUP</c:v>
                  </c:pt>
                </c15:dlblRangeCache>
              </c15:datalabelsRange>
            </c:ext>
            <c:ext xmlns:c16="http://schemas.microsoft.com/office/drawing/2014/chart" uri="{C3380CC4-5D6E-409C-BE32-E72D297353CC}">
              <c16:uniqueId val="{00000002-2903-4FDA-BC32-3DCC46532CB0}"/>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'Social (PB) '!$C$23:$C$24</c:f>
              <c:numCache>
                <c:formatCode>General</c:formatCode>
                <c:ptCount val="2"/>
                <c:pt idx="0">
                  <c:v>0</c:v>
                </c:pt>
                <c:pt idx="1">
                  <c:v>10</c:v>
                </c:pt>
              </c:numCache>
            </c:numRef>
          </c:xVal>
          <c:yVal>
            <c:numRef>
              <c:f>'Social (PB) '!$D$23:$D$24</c:f>
              <c:numCache>
                <c:formatCode>General</c:formatCode>
                <c:ptCount val="2"/>
                <c:pt idx="0">
                  <c:v>5.2835715816190766E-2</c:v>
                </c:pt>
                <c:pt idx="1">
                  <c:v>5.2835715816190766E-2</c:v>
                </c:pt>
              </c:numCache>
            </c:numRef>
          </c:yVal>
          <c:smooth val="0"/>
          <c:extLst>
            <c:ext xmlns:c16="http://schemas.microsoft.com/office/drawing/2014/chart" uri="{C3380CC4-5D6E-409C-BE32-E72D297353CC}">
              <c16:uniqueId val="{00000003-2903-4FDA-BC32-3DCC46532CB0}"/>
            </c:ext>
          </c:extLst>
        </c:ser>
        <c:ser>
          <c:idx val="2"/>
          <c:order val="2"/>
          <c:tx>
            <c:strRef>
              <c:f>'Social (PB) '!$C$28:$C$29</c:f>
              <c:strCache>
                <c:ptCount val="2"/>
                <c:pt idx="0">
                  <c:v>7.04</c:v>
                </c:pt>
                <c:pt idx="1">
                  <c:v>7.04</c:v>
                </c:pt>
              </c:strCache>
            </c:strRef>
          </c:tx>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'Social (PB) '!$C$28:$C$29</c:f>
              <c:numCache>
                <c:formatCode>General</c:formatCode>
                <c:ptCount val="2"/>
                <c:pt idx="0">
                  <c:v>7.04</c:v>
                </c:pt>
                <c:pt idx="1">
                  <c:v>7.04</c:v>
                </c:pt>
              </c:numCache>
            </c:numRef>
          </c:xVal>
          <c:yVal>
            <c:numRef>
              <c:f>'Social (PB) '!$D$28:$D$29</c:f>
              <c:numCache>
                <c:formatCode>General</c:formatCode>
                <c:ptCount val="2"/>
                <c:pt idx="0">
                  <c:v>0</c:v>
                </c:pt>
                <c:pt idx="1">
                  <c:v>0.12576578540988731</c:v>
                </c:pt>
              </c:numCache>
            </c:numRef>
          </c:yVal>
          <c:smooth val="0"/>
          <c:extLst>
            <c:ext xmlns:c16="http://schemas.microsoft.com/office/drawing/2014/chart" uri="{C3380CC4-5D6E-409C-BE32-E72D297353CC}">
              <c16:uniqueId val="{00000004-2903-4FDA-BC32-3DCC46532CB0}"/>
            </c:ext>
          </c:extLst>
        </c:ser>
        <c:dLbls>
          <c:showLegendKey val="0"/>
          <c:showVal val="0"/>
          <c:showCatName val="0"/>
          <c:showSerName val="0"/>
          <c:showPercent val="0"/>
          <c:showBubbleSize val="0"/>
        </c:dLbls>
        <c:axId val="320434688"/>
        <c:axId val="320432192"/>
      </c:scatterChart>
      <c:valAx>
        <c:axId val="320434688"/>
        <c:scaling>
          <c:orientation val="minMax"/>
          <c:max val="10"/>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2192"/>
        <c:crosses val="autoZero"/>
        <c:crossBetween val="midCat"/>
      </c:valAx>
      <c:valAx>
        <c:axId val="320432192"/>
        <c:scaling>
          <c:orientation val="minMax"/>
          <c:max val="0.12576578500000002"/>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4688"/>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2020</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475846769153855"/>
          <c:y val="0.17827777777777781"/>
          <c:w val="0.75333677040369951"/>
          <c:h val="0.65837051618547693"/>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72C58733-6F20-45A3-8801-5BD5109D373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2E89-4C4D-959C-A5ADAD8D6DCF}"/>
                </c:ext>
              </c:extLst>
            </c:dLbl>
            <c:dLbl>
              <c:idx val="1"/>
              <c:tx>
                <c:rich>
                  <a:bodyPr/>
                  <a:lstStyle/>
                  <a:p>
                    <a:fld id="{4C1C714F-07CF-4EB3-B886-2795FE9F29C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2E89-4C4D-959C-A5ADAD8D6DC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'Social (SB)  '!$C$20:$C$21</c:f>
              <c:numCache>
                <c:formatCode>General</c:formatCode>
                <c:ptCount val="2"/>
                <c:pt idx="0">
                  <c:v>2</c:v>
                </c:pt>
                <c:pt idx="1">
                  <c:v>4</c:v>
                </c:pt>
              </c:numCache>
            </c:numRef>
          </c:xVal>
          <c:yVal>
            <c:numRef>
              <c:f>'Social (SB)  '!$D$20:$D$21</c:f>
              <c:numCache>
                <c:formatCode>General</c:formatCode>
                <c:ptCount val="2"/>
                <c:pt idx="0">
                  <c:v>2.8678355957767722E-2</c:v>
                </c:pt>
                <c:pt idx="1">
                  <c:v>4.8300585742982058E-2</c:v>
                </c:pt>
              </c:numCache>
            </c:numRef>
          </c:yVal>
          <c:smooth val="0"/>
          <c:extLst>
            <c:ext xmlns:c15="http://schemas.microsoft.com/office/drawing/2012/chart" uri="{02D57815-91ED-43cb-92C2-25804820EDAC}">
              <c15:datalabelsRange>
                <c15:f>'Social (SB)  '!$B$20:$B$21</c15:f>
                <c15:dlblRangeCache>
                  <c:ptCount val="2"/>
                  <c:pt idx="0">
                    <c:v>PUO</c:v>
                  </c:pt>
                  <c:pt idx="1">
                    <c:v>PUP</c:v>
                  </c:pt>
                </c15:dlblRangeCache>
              </c15:datalabelsRange>
            </c:ext>
            <c:ext xmlns:c16="http://schemas.microsoft.com/office/drawing/2014/chart" uri="{C3380CC4-5D6E-409C-BE32-E72D297353CC}">
              <c16:uniqueId val="{00000002-2E89-4C4D-959C-A5ADAD8D6DCF}"/>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'Social (SB)  '!$C$23:$C$24</c:f>
              <c:numCache>
                <c:formatCode>General</c:formatCode>
                <c:ptCount val="2"/>
                <c:pt idx="0">
                  <c:v>0</c:v>
                </c:pt>
                <c:pt idx="1">
                  <c:v>12</c:v>
                </c:pt>
              </c:numCache>
            </c:numRef>
          </c:xVal>
          <c:yVal>
            <c:numRef>
              <c:f>'Social (SB)  '!$D$23:$D$24</c:f>
              <c:numCache>
                <c:formatCode>General</c:formatCode>
                <c:ptCount val="2"/>
                <c:pt idx="0">
                  <c:v>5.9935463661229725E-2</c:v>
                </c:pt>
                <c:pt idx="1">
                  <c:v>5.9935463661229725E-2</c:v>
                </c:pt>
              </c:numCache>
            </c:numRef>
          </c:yVal>
          <c:smooth val="0"/>
          <c:extLst>
            <c:ext xmlns:c16="http://schemas.microsoft.com/office/drawing/2014/chart" uri="{C3380CC4-5D6E-409C-BE32-E72D297353CC}">
              <c16:uniqueId val="{00000003-2E89-4C4D-959C-A5ADAD8D6DCF}"/>
            </c:ext>
          </c:extLst>
        </c:ser>
        <c:ser>
          <c:idx val="2"/>
          <c:order val="2"/>
          <c:tx>
            <c:strRef>
              <c:f>'Social (SB)  '!$C$28:$C$29</c:f>
              <c:strCache>
                <c:ptCount val="2"/>
                <c:pt idx="0">
                  <c:v>6.96</c:v>
                </c:pt>
                <c:pt idx="1">
                  <c:v>6.96</c:v>
                </c:pt>
              </c:strCache>
            </c:strRef>
          </c:tx>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'Social (SB)  '!$C$28:$C$29</c:f>
              <c:numCache>
                <c:formatCode>General</c:formatCode>
                <c:ptCount val="2"/>
                <c:pt idx="0">
                  <c:v>6.96</c:v>
                </c:pt>
                <c:pt idx="1">
                  <c:v>6.96</c:v>
                </c:pt>
              </c:numCache>
            </c:numRef>
          </c:xVal>
          <c:yVal>
            <c:numRef>
              <c:f>'Social (SB)  '!$D$28:$D$29</c:f>
              <c:numCache>
                <c:formatCode>General</c:formatCode>
                <c:ptCount val="2"/>
                <c:pt idx="0">
                  <c:v>0</c:v>
                </c:pt>
                <c:pt idx="1">
                  <c:v>0.17209612779009353</c:v>
                </c:pt>
              </c:numCache>
            </c:numRef>
          </c:yVal>
          <c:smooth val="0"/>
          <c:extLst>
            <c:ext xmlns:c16="http://schemas.microsoft.com/office/drawing/2014/chart" uri="{C3380CC4-5D6E-409C-BE32-E72D297353CC}">
              <c16:uniqueId val="{00000004-2E89-4C4D-959C-A5ADAD8D6DCF}"/>
            </c:ext>
          </c:extLst>
        </c:ser>
        <c:dLbls>
          <c:showLegendKey val="0"/>
          <c:showVal val="0"/>
          <c:showCatName val="0"/>
          <c:showSerName val="0"/>
          <c:showPercent val="0"/>
          <c:showBubbleSize val="0"/>
        </c:dLbls>
        <c:axId val="320434688"/>
        <c:axId val="320432192"/>
      </c:scatterChart>
      <c:valAx>
        <c:axId val="320434688"/>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2192"/>
        <c:crosses val="autoZero"/>
        <c:crossBetween val="midCat"/>
      </c:valAx>
      <c:valAx>
        <c:axId val="320432192"/>
        <c:scaling>
          <c:orientation val="minMax"/>
          <c:max val="0.1720961280000000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4688"/>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2019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475846769153855"/>
          <c:y val="0.18383333333333335"/>
          <c:w val="0.74855486814148231"/>
          <c:h val="0.64725940507436575"/>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D590C866-F22D-4456-9595-EBBFD9216E93}"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9B5C-4559-9A93-70807544A6A6}"/>
                </c:ext>
              </c:extLst>
            </c:dLbl>
            <c:dLbl>
              <c:idx val="1"/>
              <c:tx>
                <c:rich>
                  <a:bodyPr/>
                  <a:lstStyle/>
                  <a:p>
                    <a:fld id="{CFBB0E69-2548-4FA7-8DB3-0747602AB6EE}"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9B5C-4559-9A93-70807544A6A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'Social (PB) '!$C$41:$C$42</c:f>
              <c:numCache>
                <c:formatCode>General</c:formatCode>
                <c:ptCount val="2"/>
                <c:pt idx="0">
                  <c:v>5</c:v>
                </c:pt>
                <c:pt idx="1">
                  <c:v>5</c:v>
                </c:pt>
              </c:numCache>
            </c:numRef>
          </c:xVal>
          <c:yVal>
            <c:numRef>
              <c:f>'Social (PB) '!$D$41:$D$42</c:f>
              <c:numCache>
                <c:formatCode>General</c:formatCode>
                <c:ptCount val="2"/>
                <c:pt idx="0">
                  <c:v>1.9953493947497944E-2</c:v>
                </c:pt>
                <c:pt idx="1">
                  <c:v>3.5444312132287818E-2</c:v>
                </c:pt>
              </c:numCache>
            </c:numRef>
          </c:yVal>
          <c:smooth val="0"/>
          <c:extLst>
            <c:ext xmlns:c15="http://schemas.microsoft.com/office/drawing/2012/chart" uri="{02D57815-91ED-43cb-92C2-25804820EDAC}">
              <c15:datalabelsRange>
                <c15:f>'Social (PB) '!$B$41:$B$42</c15:f>
                <c15:dlblRangeCache>
                  <c:ptCount val="2"/>
                  <c:pt idx="0">
                    <c:v>PUO</c:v>
                  </c:pt>
                  <c:pt idx="1">
                    <c:v>PUP</c:v>
                  </c:pt>
                </c15:dlblRangeCache>
              </c15:datalabelsRange>
            </c:ext>
            <c:ext xmlns:c16="http://schemas.microsoft.com/office/drawing/2014/chart" uri="{C3380CC4-5D6E-409C-BE32-E72D297353CC}">
              <c16:uniqueId val="{00000002-9B5C-4559-9A93-70807544A6A6}"/>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'Social (PB) '!$C$44:$C$45</c:f>
              <c:numCache>
                <c:formatCode>General</c:formatCode>
                <c:ptCount val="2"/>
                <c:pt idx="0">
                  <c:v>0</c:v>
                </c:pt>
                <c:pt idx="1">
                  <c:v>10</c:v>
                </c:pt>
              </c:numCache>
            </c:numRef>
          </c:xVal>
          <c:yVal>
            <c:numRef>
              <c:f>'Social (PB) '!$D$44:$D$45</c:f>
              <c:numCache>
                <c:formatCode>General</c:formatCode>
                <c:ptCount val="2"/>
                <c:pt idx="0">
                  <c:v>5.277651395876113E-2</c:v>
                </c:pt>
                <c:pt idx="1">
                  <c:v>5.277651395876113E-2</c:v>
                </c:pt>
              </c:numCache>
            </c:numRef>
          </c:yVal>
          <c:smooth val="0"/>
          <c:extLst>
            <c:ext xmlns:c16="http://schemas.microsoft.com/office/drawing/2014/chart" uri="{C3380CC4-5D6E-409C-BE32-E72D297353CC}">
              <c16:uniqueId val="{00000003-9B5C-4559-9A93-70807544A6A6}"/>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'Social (PB) '!$C$49:$C$50</c:f>
              <c:numCache>
                <c:formatCode>General</c:formatCode>
                <c:ptCount val="2"/>
                <c:pt idx="0">
                  <c:v>6.96</c:v>
                </c:pt>
                <c:pt idx="1">
                  <c:v>6.96</c:v>
                </c:pt>
              </c:numCache>
            </c:numRef>
          </c:xVal>
          <c:yVal>
            <c:numRef>
              <c:f>'Social (PB) '!$D$49:$D$50</c:f>
              <c:numCache>
                <c:formatCode>0.00</c:formatCode>
                <c:ptCount val="2"/>
                <c:pt idx="0" formatCode="General">
                  <c:v>0</c:v>
                </c:pt>
                <c:pt idx="1">
                  <c:v>0.14967068135288208</c:v>
                </c:pt>
              </c:numCache>
            </c:numRef>
          </c:yVal>
          <c:smooth val="0"/>
          <c:extLst>
            <c:ext xmlns:c16="http://schemas.microsoft.com/office/drawing/2014/chart" uri="{C3380CC4-5D6E-409C-BE32-E72D297353CC}">
              <c16:uniqueId val="{00000004-9B5C-4559-9A93-70807544A6A6}"/>
            </c:ext>
          </c:extLst>
        </c:ser>
        <c:dLbls>
          <c:showLegendKey val="0"/>
          <c:showVal val="0"/>
          <c:showCatName val="0"/>
          <c:showSerName val="0"/>
          <c:showPercent val="0"/>
          <c:showBubbleSize val="0"/>
        </c:dLbls>
        <c:axId val="426555360"/>
        <c:axId val="426551200"/>
      </c:scatterChart>
      <c:valAx>
        <c:axId val="426555360"/>
        <c:scaling>
          <c:orientation val="minMax"/>
          <c:max val="10"/>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1200"/>
        <c:crosses val="autoZero"/>
        <c:crossBetween val="midCat"/>
      </c:valAx>
      <c:valAx>
        <c:axId val="426551200"/>
        <c:scaling>
          <c:orientation val="minMax"/>
          <c:max val="0.14967068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5360"/>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2019 </a:t>
            </a:r>
            <a:endParaRPr lang="en-US"/>
          </a:p>
        </c:rich>
      </c:tx>
      <c:layout>
        <c:manualLayout>
          <c:xMode val="edge"/>
          <c:yMode val="edge"/>
          <c:x val="0.21006936632920886"/>
          <c:y val="3.333333333333333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475846769153855"/>
          <c:y val="0.15605555555555559"/>
          <c:w val="0.73665010623672045"/>
          <c:h val="0.67503718285214354"/>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B82A8E09-2BD3-4215-8638-64FD4F558EC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A688-4C50-817C-F208ADFB6DA7}"/>
                </c:ext>
              </c:extLst>
            </c:dLbl>
            <c:dLbl>
              <c:idx val="1"/>
              <c:tx>
                <c:rich>
                  <a:bodyPr/>
                  <a:lstStyle/>
                  <a:p>
                    <a:fld id="{26A94E9A-D2F4-4C4E-9CB4-2C586456437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A688-4C50-817C-F208ADFB6DA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'Social (SB)  '!$C$41:$C$42</c:f>
              <c:numCache>
                <c:formatCode>General</c:formatCode>
                <c:ptCount val="2"/>
                <c:pt idx="0">
                  <c:v>2</c:v>
                </c:pt>
                <c:pt idx="1">
                  <c:v>6</c:v>
                </c:pt>
              </c:numCache>
            </c:numRef>
          </c:xVal>
          <c:yVal>
            <c:numRef>
              <c:f>'Social (SB)  '!$D$41:$D$42</c:f>
              <c:numCache>
                <c:formatCode>General</c:formatCode>
                <c:ptCount val="2"/>
                <c:pt idx="0">
                  <c:v>3.0250898954407881E-2</c:v>
                </c:pt>
                <c:pt idx="1">
                  <c:v>3.9277466053992925E-2</c:v>
                </c:pt>
              </c:numCache>
            </c:numRef>
          </c:yVal>
          <c:smooth val="0"/>
          <c:extLst>
            <c:ext xmlns:c15="http://schemas.microsoft.com/office/drawing/2012/chart" uri="{02D57815-91ED-43cb-92C2-25804820EDAC}">
              <c15:datalabelsRange>
                <c15:f>'Social (SB)  '!$B$41:$B$42</c15:f>
                <c15:dlblRangeCache>
                  <c:ptCount val="2"/>
                  <c:pt idx="0">
                    <c:v>PUO</c:v>
                  </c:pt>
                  <c:pt idx="1">
                    <c:v>PUP</c:v>
                  </c:pt>
                </c15:dlblRangeCache>
              </c15:datalabelsRange>
            </c:ext>
            <c:ext xmlns:c16="http://schemas.microsoft.com/office/drawing/2014/chart" uri="{C3380CC4-5D6E-409C-BE32-E72D297353CC}">
              <c16:uniqueId val="{00000002-A688-4C50-817C-F208ADFB6DA7}"/>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'Social (SB)  '!$C$44:$C$45</c:f>
              <c:numCache>
                <c:formatCode>General</c:formatCode>
                <c:ptCount val="2"/>
                <c:pt idx="0">
                  <c:v>0</c:v>
                </c:pt>
                <c:pt idx="1">
                  <c:v>12</c:v>
                </c:pt>
              </c:numCache>
            </c:numRef>
          </c:xVal>
          <c:yVal>
            <c:numRef>
              <c:f>'Social (SB)  '!$D$44:$D$45</c:f>
              <c:numCache>
                <c:formatCode>General</c:formatCode>
                <c:ptCount val="2"/>
                <c:pt idx="0">
                  <c:v>6.0722585961321691E-2</c:v>
                </c:pt>
                <c:pt idx="1">
                  <c:v>6.0722585961321691E-2</c:v>
                </c:pt>
              </c:numCache>
            </c:numRef>
          </c:yVal>
          <c:smooth val="0"/>
          <c:extLst>
            <c:ext xmlns:c16="http://schemas.microsoft.com/office/drawing/2014/chart" uri="{C3380CC4-5D6E-409C-BE32-E72D297353CC}">
              <c16:uniqueId val="{00000003-A688-4C50-817C-F208ADFB6DA7}"/>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'Social (SB)  '!$C$49:$C$50</c:f>
              <c:numCache>
                <c:formatCode>General</c:formatCode>
                <c:ptCount val="2"/>
                <c:pt idx="0">
                  <c:v>6.84</c:v>
                </c:pt>
                <c:pt idx="1">
                  <c:v>6.84</c:v>
                </c:pt>
              </c:numCache>
            </c:numRef>
          </c:xVal>
          <c:yVal>
            <c:numRef>
              <c:f>'Social (SB)  '!$D$49:$D$50</c:f>
              <c:numCache>
                <c:formatCode>0.00</c:formatCode>
                <c:ptCount val="2"/>
                <c:pt idx="0" formatCode="General">
                  <c:v>0</c:v>
                </c:pt>
                <c:pt idx="1">
                  <c:v>0.19613975396947828</c:v>
                </c:pt>
              </c:numCache>
            </c:numRef>
          </c:yVal>
          <c:smooth val="0"/>
          <c:extLst>
            <c:ext xmlns:c16="http://schemas.microsoft.com/office/drawing/2014/chart" uri="{C3380CC4-5D6E-409C-BE32-E72D297353CC}">
              <c16:uniqueId val="{00000004-A688-4C50-817C-F208ADFB6DA7}"/>
            </c:ext>
          </c:extLst>
        </c:ser>
        <c:dLbls>
          <c:showLegendKey val="0"/>
          <c:showVal val="0"/>
          <c:showCatName val="0"/>
          <c:showSerName val="0"/>
          <c:showPercent val="0"/>
          <c:showBubbleSize val="0"/>
        </c:dLbls>
        <c:axId val="426555360"/>
        <c:axId val="426551200"/>
      </c:scatterChart>
      <c:valAx>
        <c:axId val="426555360"/>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1200"/>
        <c:crosses val="autoZero"/>
        <c:crossBetween val="midCat"/>
      </c:valAx>
      <c:valAx>
        <c:axId val="426551200"/>
        <c:scaling>
          <c:orientation val="minMax"/>
          <c:max val="0.19613975400000003"/>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5360"/>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2018 </a:t>
            </a:r>
          </a:p>
        </c:rich>
      </c:tx>
      <c:layout>
        <c:manualLayout>
          <c:xMode val="edge"/>
          <c:yMode val="edge"/>
          <c:x val="0.23727065366829148"/>
          <c:y val="2.685170603674540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475846769153855"/>
          <c:y val="0.1393888888888889"/>
          <c:w val="0.74855486814148231"/>
          <c:h val="0.69725940507436557"/>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451F57C3-B363-4FEC-B856-BE46972E8808}"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56AE-4B28-814B-0EDC8AB98057}"/>
                </c:ext>
              </c:extLst>
            </c:dLbl>
            <c:dLbl>
              <c:idx val="1"/>
              <c:tx>
                <c:rich>
                  <a:bodyPr/>
                  <a:lstStyle/>
                  <a:p>
                    <a:fld id="{EAD90060-5DF4-4A78-96FC-B4B07121BC5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56AE-4B28-814B-0EDC8AB9805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'Social (PB) '!$C$61:$C$62</c:f>
              <c:numCache>
                <c:formatCode>General</c:formatCode>
                <c:ptCount val="2"/>
                <c:pt idx="0">
                  <c:v>4</c:v>
                </c:pt>
                <c:pt idx="1">
                  <c:v>5</c:v>
                </c:pt>
              </c:numCache>
            </c:numRef>
          </c:xVal>
          <c:yVal>
            <c:numRef>
              <c:f>'Social (PB) '!$D$61:$D$62</c:f>
              <c:numCache>
                <c:formatCode>General</c:formatCode>
                <c:ptCount val="2"/>
                <c:pt idx="0">
                  <c:v>1.9745377640114484E-2</c:v>
                </c:pt>
                <c:pt idx="1">
                  <c:v>3.9608369452833553E-2</c:v>
                </c:pt>
              </c:numCache>
            </c:numRef>
          </c:yVal>
          <c:smooth val="0"/>
          <c:extLst>
            <c:ext xmlns:c15="http://schemas.microsoft.com/office/drawing/2012/chart" uri="{02D57815-91ED-43cb-92C2-25804820EDAC}">
              <c15:datalabelsRange>
                <c15:f>'Social (PB) '!$B$61:$B$62</c15:f>
                <c15:dlblRangeCache>
                  <c:ptCount val="2"/>
                  <c:pt idx="0">
                    <c:v>PUO</c:v>
                  </c:pt>
                  <c:pt idx="1">
                    <c:v>PUP</c:v>
                  </c:pt>
                </c15:dlblRangeCache>
              </c15:datalabelsRange>
            </c:ext>
            <c:ext xmlns:c16="http://schemas.microsoft.com/office/drawing/2014/chart" uri="{C3380CC4-5D6E-409C-BE32-E72D297353CC}">
              <c16:uniqueId val="{00000002-56AE-4B28-814B-0EDC8AB98057}"/>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'Social (PB) '!$C$64:$C$65</c:f>
              <c:numCache>
                <c:formatCode>General</c:formatCode>
                <c:ptCount val="2"/>
                <c:pt idx="0">
                  <c:v>0</c:v>
                </c:pt>
                <c:pt idx="1">
                  <c:v>10</c:v>
                </c:pt>
              </c:numCache>
            </c:numRef>
          </c:xVal>
          <c:yVal>
            <c:numRef>
              <c:f>'Social (PB) '!$D$64:$D$65</c:f>
              <c:numCache>
                <c:formatCode>General</c:formatCode>
                <c:ptCount val="2"/>
                <c:pt idx="0">
                  <c:v>5.0990927928383341E-2</c:v>
                </c:pt>
                <c:pt idx="1">
                  <c:v>5.0990927928383341E-2</c:v>
                </c:pt>
              </c:numCache>
            </c:numRef>
          </c:yVal>
          <c:smooth val="0"/>
          <c:extLst>
            <c:ext xmlns:c16="http://schemas.microsoft.com/office/drawing/2014/chart" uri="{C3380CC4-5D6E-409C-BE32-E72D297353CC}">
              <c16:uniqueId val="{00000003-56AE-4B28-814B-0EDC8AB98057}"/>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'Social (PB) '!$C$69:$C$70</c:f>
              <c:numCache>
                <c:formatCode>General</c:formatCode>
                <c:ptCount val="2"/>
                <c:pt idx="0">
                  <c:v>6.96</c:v>
                </c:pt>
                <c:pt idx="1">
                  <c:v>6.96</c:v>
                </c:pt>
              </c:numCache>
            </c:numRef>
          </c:xVal>
          <c:yVal>
            <c:numRef>
              <c:f>'Social (PB) '!$D$69:$D$70</c:f>
              <c:numCache>
                <c:formatCode>0.00</c:formatCode>
                <c:ptCount val="2"/>
                <c:pt idx="0" formatCode="General">
                  <c:v>0</c:v>
                </c:pt>
                <c:pt idx="1">
                  <c:v>0.14404728233107458</c:v>
                </c:pt>
              </c:numCache>
            </c:numRef>
          </c:yVal>
          <c:smooth val="0"/>
          <c:extLst>
            <c:ext xmlns:c16="http://schemas.microsoft.com/office/drawing/2014/chart" uri="{C3380CC4-5D6E-409C-BE32-E72D297353CC}">
              <c16:uniqueId val="{00000004-56AE-4B28-814B-0EDC8AB98057}"/>
            </c:ext>
          </c:extLst>
        </c:ser>
        <c:dLbls>
          <c:showLegendKey val="0"/>
          <c:showVal val="0"/>
          <c:showCatName val="0"/>
          <c:showSerName val="0"/>
          <c:showPercent val="0"/>
          <c:showBubbleSize val="0"/>
        </c:dLbls>
        <c:axId val="314595056"/>
        <c:axId val="314594640"/>
      </c:scatterChart>
      <c:valAx>
        <c:axId val="314595056"/>
        <c:scaling>
          <c:orientation val="minMax"/>
          <c:max val="10"/>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4640"/>
        <c:crosses val="autoZero"/>
        <c:crossBetween val="midCat"/>
      </c:valAx>
      <c:valAx>
        <c:axId val="314594640"/>
        <c:scaling>
          <c:orientation val="minMax"/>
          <c:max val="0.14404728200000005"/>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5056"/>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2018 </a:t>
            </a:r>
          </a:p>
        </c:rich>
      </c:tx>
      <c:layout>
        <c:manualLayout>
          <c:xMode val="edge"/>
          <c:yMode val="edge"/>
          <c:x val="0.23727065366829148"/>
          <c:y val="3.240726159230096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2144513185851769"/>
          <c:y val="0.14494444444444443"/>
          <c:w val="0.71680883639545057"/>
          <c:h val="0.68614829396325472"/>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067E1068-CE4C-4247-8484-9131D4DA5CB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0547-4B1C-A1B4-A9D2DCB513A6}"/>
                </c:ext>
              </c:extLst>
            </c:dLbl>
            <c:dLbl>
              <c:idx val="1"/>
              <c:tx>
                <c:rich>
                  <a:bodyPr/>
                  <a:lstStyle/>
                  <a:p>
                    <a:fld id="{A49C2200-1069-4CBD-A91D-87656B19CD5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0547-4B1C-A1B4-A9D2DCB513A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'Social (SB)  '!$C$61:$C$62</c:f>
              <c:numCache>
                <c:formatCode>General</c:formatCode>
                <c:ptCount val="2"/>
                <c:pt idx="0">
                  <c:v>2</c:v>
                </c:pt>
                <c:pt idx="1">
                  <c:v>5</c:v>
                </c:pt>
              </c:numCache>
            </c:numRef>
          </c:xVal>
          <c:yVal>
            <c:numRef>
              <c:f>'Social (SB)  '!$D$61:$D$62</c:f>
              <c:numCache>
                <c:formatCode>General</c:formatCode>
                <c:ptCount val="2"/>
                <c:pt idx="0">
                  <c:v>3.5530353840212997E-2</c:v>
                </c:pt>
                <c:pt idx="1">
                  <c:v>3.118471620164312E-2</c:v>
                </c:pt>
              </c:numCache>
            </c:numRef>
          </c:yVal>
          <c:smooth val="0"/>
          <c:extLst>
            <c:ext xmlns:c15="http://schemas.microsoft.com/office/drawing/2012/chart" uri="{02D57815-91ED-43cb-92C2-25804820EDAC}">
              <c15:datalabelsRange>
                <c15:f>'Social (SB)  '!$B$61:$B$62</c15:f>
                <c15:dlblRangeCache>
                  <c:ptCount val="2"/>
                  <c:pt idx="0">
                    <c:v>PUO</c:v>
                  </c:pt>
                  <c:pt idx="1">
                    <c:v>PUP</c:v>
                  </c:pt>
                </c15:dlblRangeCache>
              </c15:datalabelsRange>
            </c:ext>
            <c:ext xmlns:c16="http://schemas.microsoft.com/office/drawing/2014/chart" uri="{C3380CC4-5D6E-409C-BE32-E72D297353CC}">
              <c16:uniqueId val="{00000002-0547-4B1C-A1B4-A9D2DCB513A6}"/>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'Social (SB)  '!$C$64:$C$65</c:f>
              <c:numCache>
                <c:formatCode>General</c:formatCode>
                <c:ptCount val="2"/>
                <c:pt idx="0">
                  <c:v>0</c:v>
                </c:pt>
                <c:pt idx="1">
                  <c:v>12</c:v>
                </c:pt>
              </c:numCache>
            </c:numRef>
          </c:xVal>
          <c:yVal>
            <c:numRef>
              <c:f>'Social (SB)  '!$D$64:$D$65</c:f>
              <c:numCache>
                <c:formatCode>General</c:formatCode>
                <c:ptCount val="2"/>
                <c:pt idx="0">
                  <c:v>6.1459893959753098E-2</c:v>
                </c:pt>
                <c:pt idx="1">
                  <c:v>6.1459893959753098E-2</c:v>
                </c:pt>
              </c:numCache>
            </c:numRef>
          </c:yVal>
          <c:smooth val="0"/>
          <c:extLst>
            <c:ext xmlns:c16="http://schemas.microsoft.com/office/drawing/2014/chart" uri="{C3380CC4-5D6E-409C-BE32-E72D297353CC}">
              <c16:uniqueId val="{00000003-0547-4B1C-A1B4-A9D2DCB513A6}"/>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'Social (SB)  '!$C$69:$C$70</c:f>
              <c:numCache>
                <c:formatCode>General</c:formatCode>
                <c:ptCount val="2"/>
                <c:pt idx="0">
                  <c:v>6.96</c:v>
                </c:pt>
                <c:pt idx="1">
                  <c:v>6.96</c:v>
                </c:pt>
              </c:numCache>
            </c:numRef>
          </c:xVal>
          <c:yVal>
            <c:numRef>
              <c:f>'Social (SB)  '!$D$69:$D$70</c:f>
              <c:numCache>
                <c:formatCode>0.00</c:formatCode>
                <c:ptCount val="2"/>
                <c:pt idx="0" formatCode="General">
                  <c:v>0</c:v>
                </c:pt>
                <c:pt idx="1">
                  <c:v>0.19856147277588526</c:v>
                </c:pt>
              </c:numCache>
            </c:numRef>
          </c:yVal>
          <c:smooth val="0"/>
          <c:extLst>
            <c:ext xmlns:c16="http://schemas.microsoft.com/office/drawing/2014/chart" uri="{C3380CC4-5D6E-409C-BE32-E72D297353CC}">
              <c16:uniqueId val="{00000004-0547-4B1C-A1B4-A9D2DCB513A6}"/>
            </c:ext>
          </c:extLst>
        </c:ser>
        <c:dLbls>
          <c:showLegendKey val="0"/>
          <c:showVal val="0"/>
          <c:showCatName val="0"/>
          <c:showSerName val="0"/>
          <c:showPercent val="0"/>
          <c:showBubbleSize val="0"/>
        </c:dLbls>
        <c:axId val="314595056"/>
        <c:axId val="314594640"/>
      </c:scatterChart>
      <c:valAx>
        <c:axId val="314595056"/>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4640"/>
        <c:crosses val="autoZero"/>
        <c:crossBetween val="midCat"/>
      </c:valAx>
      <c:valAx>
        <c:axId val="314594640"/>
        <c:scaling>
          <c:orientation val="minMax"/>
          <c:max val="0.19856147300000004"/>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5056"/>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2021 (PB)</a:t>
            </a:r>
          </a:p>
        </c:rich>
      </c:tx>
      <c:layout>
        <c:manualLayout>
          <c:xMode val="edge"/>
          <c:yMode val="edge"/>
          <c:x val="0.22030746156730407"/>
          <c:y val="3.333333333333333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5605555555555556"/>
          <c:w val="0.7703208973878265"/>
          <c:h val="0.68059273840769918"/>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706A9E63-5595-40C0-AF36-FB42BEB2B1ED}"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941D-4138-89DB-168CC93A979A}"/>
                </c:ext>
              </c:extLst>
            </c:dLbl>
            <c:dLbl>
              <c:idx val="1"/>
              <c:tx>
                <c:rich>
                  <a:bodyPr/>
                  <a:lstStyle/>
                  <a:p>
                    <a:fld id="{A4F79E3B-C38D-40F1-A44C-C75461E0204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941D-4138-89DB-168CC93A979A}"/>
                </c:ext>
              </c:extLst>
            </c:dLbl>
            <c:dLbl>
              <c:idx val="2"/>
              <c:tx>
                <c:rich>
                  <a:bodyPr/>
                  <a:lstStyle/>
                  <a:p>
                    <a:fld id="{C7A342F7-B401-4418-B5A8-2ACAB55801DC}"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941D-4138-89DB-168CC93A979A}"/>
                </c:ext>
              </c:extLst>
            </c:dLbl>
            <c:dLbl>
              <c:idx val="3"/>
              <c:tx>
                <c:rich>
                  <a:bodyPr/>
                  <a:lstStyle/>
                  <a:p>
                    <a:fld id="{F2B43D0C-36A1-4FB1-8A39-7E4842E3162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941D-4138-89DB-168CC93A979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'Technological (PB)'!$C$3:$C$6</c:f>
              <c:numCache>
                <c:formatCode>General</c:formatCode>
                <c:ptCount val="4"/>
                <c:pt idx="0">
                  <c:v>8</c:v>
                </c:pt>
                <c:pt idx="1">
                  <c:v>2</c:v>
                </c:pt>
                <c:pt idx="2">
                  <c:v>5</c:v>
                </c:pt>
                <c:pt idx="3">
                  <c:v>9</c:v>
                </c:pt>
              </c:numCache>
            </c:numRef>
          </c:xVal>
          <c:yVal>
            <c:numRef>
              <c:f>'Technological (PB)'!$D$3:$D$6</c:f>
              <c:numCache>
                <c:formatCode>General</c:formatCode>
                <c:ptCount val="4"/>
                <c:pt idx="0">
                  <c:v>5.2480042890340292E-2</c:v>
                </c:pt>
                <c:pt idx="1">
                  <c:v>3.1504176241018346E-2</c:v>
                </c:pt>
                <c:pt idx="2">
                  <c:v>2.9650972090511197E-2</c:v>
                </c:pt>
                <c:pt idx="3">
                  <c:v>3.2146697571856925E-2</c:v>
                </c:pt>
              </c:numCache>
            </c:numRef>
          </c:yVal>
          <c:smooth val="0"/>
          <c:extLst>
            <c:ext xmlns:c15="http://schemas.microsoft.com/office/drawing/2012/chart" uri="{02D57815-91ED-43cb-92C2-25804820EDAC}">
              <c15:datalabelsRange>
                <c15:f>'Technological (PB)'!$B$3:$B$6</c15:f>
                <c15:dlblRangeCache>
                  <c:ptCount val="4"/>
                  <c:pt idx="0">
                    <c:v>CNT</c:v>
                  </c:pt>
                  <c:pt idx="1">
                    <c:v>FLC</c:v>
                  </c:pt>
                  <c:pt idx="2">
                    <c:v>INP</c:v>
                  </c:pt>
                  <c:pt idx="3">
                    <c:v>CYS</c:v>
                  </c:pt>
                </c15:dlblRangeCache>
              </c15:datalabelsRange>
            </c:ext>
            <c:ext xmlns:c16="http://schemas.microsoft.com/office/drawing/2014/chart" uri="{C3380CC4-5D6E-409C-BE32-E72D297353CC}">
              <c16:uniqueId val="{00000004-941D-4138-89DB-168CC93A979A}"/>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'Technological (PB)'!$C$8:$C$9</c:f>
              <c:numCache>
                <c:formatCode>General</c:formatCode>
                <c:ptCount val="2"/>
                <c:pt idx="0">
                  <c:v>0</c:v>
                </c:pt>
                <c:pt idx="1">
                  <c:v>9</c:v>
                </c:pt>
              </c:numCache>
            </c:numRef>
          </c:xVal>
          <c:yVal>
            <c:numRef>
              <c:f>'Technological (PB)'!$D$8:$D$9</c:f>
              <c:numCache>
                <c:formatCode>General</c:formatCode>
                <c:ptCount val="2"/>
                <c:pt idx="0">
                  <c:v>5.3075522900180812E-2</c:v>
                </c:pt>
                <c:pt idx="1">
                  <c:v>5.3075522900180812E-2</c:v>
                </c:pt>
              </c:numCache>
            </c:numRef>
          </c:yVal>
          <c:smooth val="0"/>
          <c:extLst>
            <c:ext xmlns:c16="http://schemas.microsoft.com/office/drawing/2014/chart" uri="{C3380CC4-5D6E-409C-BE32-E72D297353CC}">
              <c16:uniqueId val="{00000005-941D-4138-89DB-168CC93A979A}"/>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'Technological (PB)'!$C$13:$C$14</c:f>
              <c:numCache>
                <c:formatCode>General</c:formatCode>
                <c:ptCount val="2"/>
                <c:pt idx="0">
                  <c:v>6.4</c:v>
                </c:pt>
                <c:pt idx="1">
                  <c:v>6.4</c:v>
                </c:pt>
              </c:numCache>
            </c:numRef>
          </c:xVal>
          <c:yVal>
            <c:numRef>
              <c:f>'Technological (PB)'!$D$13:$D$14</c:f>
              <c:numCache>
                <c:formatCode>0.00</c:formatCode>
                <c:ptCount val="2"/>
                <c:pt idx="0" formatCode="General">
                  <c:v>0</c:v>
                </c:pt>
                <c:pt idx="1">
                  <c:v>0.13153159060957317</c:v>
                </c:pt>
              </c:numCache>
            </c:numRef>
          </c:yVal>
          <c:smooth val="0"/>
          <c:extLst>
            <c:ext xmlns:c16="http://schemas.microsoft.com/office/drawing/2014/chart" uri="{C3380CC4-5D6E-409C-BE32-E72D297353CC}">
              <c16:uniqueId val="{00000006-941D-4138-89DB-168CC93A979A}"/>
            </c:ext>
          </c:extLst>
        </c:ser>
        <c:dLbls>
          <c:showLegendKey val="0"/>
          <c:showVal val="0"/>
          <c:showCatName val="0"/>
          <c:showSerName val="0"/>
          <c:showPercent val="0"/>
          <c:showBubbleSize val="0"/>
        </c:dLbls>
        <c:axId val="340807024"/>
        <c:axId val="423992384"/>
      </c:scatterChart>
      <c:valAx>
        <c:axId val="340807024"/>
        <c:scaling>
          <c:orientation val="minMax"/>
          <c:max val="9"/>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92384"/>
        <c:crosses val="autoZero"/>
        <c:crossBetween val="midCat"/>
      </c:valAx>
      <c:valAx>
        <c:axId val="423992384"/>
        <c:scaling>
          <c:orientation val="minMax"/>
          <c:max val="0.13153159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807024"/>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2021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144513185851769"/>
          <c:y val="0.16161111111111112"/>
          <c:w val="0.74680883639545059"/>
          <c:h val="0.67503718285214354"/>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D12E94CD-926B-4D66-BA2B-6C9A1DCD82DC}"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9B47-4962-9F44-FD77E84FCF55}"/>
                </c:ext>
              </c:extLst>
            </c:dLbl>
            <c:dLbl>
              <c:idx val="1"/>
              <c:tx>
                <c:rich>
                  <a:bodyPr/>
                  <a:lstStyle/>
                  <a:p>
                    <a:fld id="{AA019324-3923-49CF-8DB7-2FA2A55BADF0}"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9B47-4962-9F44-FD77E84FCF55}"/>
                </c:ext>
              </c:extLst>
            </c:dLbl>
            <c:dLbl>
              <c:idx val="2"/>
              <c:tx>
                <c:rich>
                  <a:bodyPr/>
                  <a:lstStyle/>
                  <a:p>
                    <a:fld id="{321CD096-DA5E-4633-BC99-A61E037ED0F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9B47-4962-9F44-FD77E84FCF55}"/>
                </c:ext>
              </c:extLst>
            </c:dLbl>
            <c:dLbl>
              <c:idx val="3"/>
              <c:tx>
                <c:rich>
                  <a:bodyPr/>
                  <a:lstStyle/>
                  <a:p>
                    <a:fld id="{35A3AEE0-C157-4572-828E-AE30B233197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9B47-4962-9F44-FD77E84FCF5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'Technological (SB)'!$C$3:$C$6</c:f>
              <c:numCache>
                <c:formatCode>General</c:formatCode>
                <c:ptCount val="4"/>
                <c:pt idx="0">
                  <c:v>3</c:v>
                </c:pt>
                <c:pt idx="1">
                  <c:v>0</c:v>
                </c:pt>
                <c:pt idx="2">
                  <c:v>1</c:v>
                </c:pt>
                <c:pt idx="3">
                  <c:v>12</c:v>
                </c:pt>
              </c:numCache>
            </c:numRef>
          </c:xVal>
          <c:yVal>
            <c:numRef>
              <c:f>'Technological (SB)'!$D$3:$D$6</c:f>
              <c:numCache>
                <c:formatCode>General</c:formatCode>
                <c:ptCount val="4"/>
                <c:pt idx="0">
                  <c:v>2.5836177534416152E-2</c:v>
                </c:pt>
                <c:pt idx="1">
                  <c:v>0</c:v>
                </c:pt>
                <c:pt idx="2">
                  <c:v>8.6274509803921564E-3</c:v>
                </c:pt>
                <c:pt idx="3">
                  <c:v>4.0430960805642541E-2</c:v>
                </c:pt>
              </c:numCache>
            </c:numRef>
          </c:yVal>
          <c:smooth val="0"/>
          <c:extLst>
            <c:ext xmlns:c15="http://schemas.microsoft.com/office/drawing/2012/chart" uri="{02D57815-91ED-43cb-92C2-25804820EDAC}">
              <c15:datalabelsRange>
                <c15:f>'Technological (SB)'!$B$3:$B$6</c15:f>
                <c15:dlblRangeCache>
                  <c:ptCount val="4"/>
                  <c:pt idx="0">
                    <c:v>CNT</c:v>
                  </c:pt>
                  <c:pt idx="1">
                    <c:v>FLC</c:v>
                  </c:pt>
                  <c:pt idx="2">
                    <c:v>INP</c:v>
                  </c:pt>
                  <c:pt idx="3">
                    <c:v>CYS</c:v>
                  </c:pt>
                </c15:dlblRangeCache>
              </c15:datalabelsRange>
            </c:ext>
            <c:ext xmlns:c16="http://schemas.microsoft.com/office/drawing/2014/chart" uri="{C3380CC4-5D6E-409C-BE32-E72D297353CC}">
              <c16:uniqueId val="{00000004-9B47-4962-9F44-FD77E84FCF55}"/>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'Technological (SB)'!$C$8:$C$9</c:f>
              <c:numCache>
                <c:formatCode>General</c:formatCode>
                <c:ptCount val="2"/>
                <c:pt idx="0">
                  <c:v>0</c:v>
                </c:pt>
                <c:pt idx="1">
                  <c:v>12</c:v>
                </c:pt>
              </c:numCache>
            </c:numRef>
          </c:xVal>
          <c:yVal>
            <c:numRef>
              <c:f>'Technological (SB)'!$D$8:$D$9</c:f>
              <c:numCache>
                <c:formatCode>General</c:formatCode>
                <c:ptCount val="2"/>
                <c:pt idx="0">
                  <c:v>5.9237188706440451E-2</c:v>
                </c:pt>
                <c:pt idx="1">
                  <c:v>5.9237188706440451E-2</c:v>
                </c:pt>
              </c:numCache>
            </c:numRef>
          </c:yVal>
          <c:smooth val="0"/>
          <c:extLst>
            <c:ext xmlns:c16="http://schemas.microsoft.com/office/drawing/2014/chart" uri="{C3380CC4-5D6E-409C-BE32-E72D297353CC}">
              <c16:uniqueId val="{00000005-9B47-4962-9F44-FD77E84FCF55}"/>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'Technological (SB)'!$C$13:$C$14</c:f>
              <c:numCache>
                <c:formatCode>General</c:formatCode>
                <c:ptCount val="2"/>
                <c:pt idx="0">
                  <c:v>7.041666666666667</c:v>
                </c:pt>
                <c:pt idx="1">
                  <c:v>7.041666666666667</c:v>
                </c:pt>
              </c:numCache>
            </c:numRef>
          </c:xVal>
          <c:yVal>
            <c:numRef>
              <c:f>'Technological (SB)'!$D$13:$D$14</c:f>
              <c:numCache>
                <c:formatCode>0.00</c:formatCode>
                <c:ptCount val="2"/>
                <c:pt idx="0" formatCode="General">
                  <c:v>0</c:v>
                </c:pt>
                <c:pt idx="1">
                  <c:v>0.17076097944056998</c:v>
                </c:pt>
              </c:numCache>
            </c:numRef>
          </c:yVal>
          <c:smooth val="0"/>
          <c:extLst>
            <c:ext xmlns:c16="http://schemas.microsoft.com/office/drawing/2014/chart" uri="{C3380CC4-5D6E-409C-BE32-E72D297353CC}">
              <c16:uniqueId val="{00000006-9B47-4962-9F44-FD77E84FCF55}"/>
            </c:ext>
          </c:extLst>
        </c:ser>
        <c:dLbls>
          <c:showLegendKey val="0"/>
          <c:showVal val="0"/>
          <c:showCatName val="0"/>
          <c:showSerName val="0"/>
          <c:showPercent val="0"/>
          <c:showBubbleSize val="0"/>
        </c:dLbls>
        <c:axId val="340807024"/>
        <c:axId val="423992384"/>
      </c:scatterChart>
      <c:valAx>
        <c:axId val="340807024"/>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92384"/>
        <c:crosses val="autoZero"/>
        <c:crossBetween val="midCat"/>
      </c:valAx>
      <c:valAx>
        <c:axId val="423992384"/>
        <c:scaling>
          <c:orientation val="minMax"/>
          <c:max val="0.1707609790000000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807024"/>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5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2020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763560804899388"/>
          <c:y val="0.16716666666666669"/>
          <c:w val="0.7406183602049744"/>
          <c:h val="0.66392607174103235"/>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7E806383-DDEE-4CEF-B937-721650659E35}"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9E69-49F6-82D0-D97BA8128334}"/>
                </c:ext>
              </c:extLst>
            </c:dLbl>
            <c:dLbl>
              <c:idx val="1"/>
              <c:tx>
                <c:rich>
                  <a:bodyPr/>
                  <a:lstStyle/>
                  <a:p>
                    <a:fld id="{654DD5F1-F9A5-49B5-8086-D702B23E31B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9E69-49F6-82D0-D97BA8128334}"/>
                </c:ext>
              </c:extLst>
            </c:dLbl>
            <c:dLbl>
              <c:idx val="2"/>
              <c:tx>
                <c:rich>
                  <a:bodyPr/>
                  <a:lstStyle/>
                  <a:p>
                    <a:fld id="{2FA2D9ED-3ED4-4EF8-82D4-DFDC22F239D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9E69-49F6-82D0-D97BA8128334}"/>
                </c:ext>
              </c:extLst>
            </c:dLbl>
            <c:dLbl>
              <c:idx val="3"/>
              <c:tx>
                <c:rich>
                  <a:bodyPr/>
                  <a:lstStyle/>
                  <a:p>
                    <a:fld id="{DF840714-9DAD-4F14-BB67-343C2611A1A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9E69-49F6-82D0-D97BA812833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'Technological (PB)'!$C$22:$C$25</c:f>
              <c:numCache>
                <c:formatCode>General</c:formatCode>
                <c:ptCount val="4"/>
                <c:pt idx="0">
                  <c:v>9</c:v>
                </c:pt>
                <c:pt idx="1">
                  <c:v>2</c:v>
                </c:pt>
                <c:pt idx="2">
                  <c:v>5</c:v>
                </c:pt>
                <c:pt idx="3">
                  <c:v>9</c:v>
                </c:pt>
              </c:numCache>
            </c:numRef>
          </c:xVal>
          <c:yVal>
            <c:numRef>
              <c:f>'Technological (PB)'!$D$22:$D$25</c:f>
              <c:numCache>
                <c:formatCode>General</c:formatCode>
                <c:ptCount val="4"/>
                <c:pt idx="0">
                  <c:v>4.4930297959019969E-2</c:v>
                </c:pt>
                <c:pt idx="1">
                  <c:v>3.3230931063748401E-2</c:v>
                </c:pt>
                <c:pt idx="2">
                  <c:v>2.493130226534913E-2</c:v>
                </c:pt>
                <c:pt idx="3">
                  <c:v>3.6078183752417455E-2</c:v>
                </c:pt>
              </c:numCache>
            </c:numRef>
          </c:yVal>
          <c:smooth val="0"/>
          <c:extLst>
            <c:ext xmlns:c15="http://schemas.microsoft.com/office/drawing/2012/chart" uri="{02D57815-91ED-43cb-92C2-25804820EDAC}">
              <c15:datalabelsRange>
                <c15:f>'Technological (PB)'!$B$22:$B$25</c15:f>
                <c15:dlblRangeCache>
                  <c:ptCount val="4"/>
                  <c:pt idx="0">
                    <c:v>CNT</c:v>
                  </c:pt>
                  <c:pt idx="1">
                    <c:v>FLC</c:v>
                  </c:pt>
                  <c:pt idx="2">
                    <c:v>INP</c:v>
                  </c:pt>
                  <c:pt idx="3">
                    <c:v>CYS</c:v>
                  </c:pt>
                </c15:dlblRangeCache>
              </c15:datalabelsRange>
            </c:ext>
            <c:ext xmlns:c16="http://schemas.microsoft.com/office/drawing/2014/chart" uri="{C3380CC4-5D6E-409C-BE32-E72D297353CC}">
              <c16:uniqueId val="{00000004-9E69-49F6-82D0-D97BA8128334}"/>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'Technological (PB)'!$C$27:$C$28</c:f>
              <c:numCache>
                <c:formatCode>General</c:formatCode>
                <c:ptCount val="2"/>
                <c:pt idx="0">
                  <c:v>0</c:v>
                </c:pt>
                <c:pt idx="1">
                  <c:v>10</c:v>
                </c:pt>
              </c:numCache>
            </c:numRef>
          </c:xVal>
          <c:yVal>
            <c:numRef>
              <c:f>'Technological (PB)'!$D$27:$D$28</c:f>
              <c:numCache>
                <c:formatCode>General</c:formatCode>
                <c:ptCount val="2"/>
                <c:pt idx="0">
                  <c:v>5.2835715816190766E-2</c:v>
                </c:pt>
                <c:pt idx="1">
                  <c:v>5.2835715816190766E-2</c:v>
                </c:pt>
              </c:numCache>
            </c:numRef>
          </c:yVal>
          <c:smooth val="0"/>
          <c:extLst>
            <c:ext xmlns:c16="http://schemas.microsoft.com/office/drawing/2014/chart" uri="{C3380CC4-5D6E-409C-BE32-E72D297353CC}">
              <c16:uniqueId val="{00000005-9E69-49F6-82D0-D97BA8128334}"/>
            </c:ext>
          </c:extLst>
        </c:ser>
        <c:ser>
          <c:idx val="2"/>
          <c:order val="2"/>
          <c:tx>
            <c:strRef>
              <c:f>'Technological (PB)'!$C$32:$C$33</c:f>
              <c:strCache>
                <c:ptCount val="2"/>
                <c:pt idx="0">
                  <c:v>7.04</c:v>
                </c:pt>
                <c:pt idx="1">
                  <c:v>7.04</c:v>
                </c:pt>
              </c:strCache>
            </c:strRef>
          </c:tx>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'Technological (PB)'!$C$32:$C$33</c:f>
              <c:numCache>
                <c:formatCode>General</c:formatCode>
                <c:ptCount val="2"/>
                <c:pt idx="0">
                  <c:v>7.04</c:v>
                </c:pt>
                <c:pt idx="1">
                  <c:v>7.04</c:v>
                </c:pt>
              </c:numCache>
            </c:numRef>
          </c:xVal>
          <c:yVal>
            <c:numRef>
              <c:f>'Technological (PB)'!$D$32:$D$33</c:f>
              <c:numCache>
                <c:formatCode>General</c:formatCode>
                <c:ptCount val="2"/>
                <c:pt idx="0">
                  <c:v>0</c:v>
                </c:pt>
                <c:pt idx="1">
                  <c:v>0.12576578540988731</c:v>
                </c:pt>
              </c:numCache>
            </c:numRef>
          </c:yVal>
          <c:smooth val="0"/>
          <c:extLst>
            <c:ext xmlns:c16="http://schemas.microsoft.com/office/drawing/2014/chart" uri="{C3380CC4-5D6E-409C-BE32-E72D297353CC}">
              <c16:uniqueId val="{00000006-9E69-49F6-82D0-D97BA8128334}"/>
            </c:ext>
          </c:extLst>
        </c:ser>
        <c:dLbls>
          <c:showLegendKey val="0"/>
          <c:showVal val="0"/>
          <c:showCatName val="0"/>
          <c:showSerName val="0"/>
          <c:showPercent val="0"/>
          <c:showBubbleSize val="0"/>
        </c:dLbls>
        <c:axId val="320434688"/>
        <c:axId val="320432192"/>
      </c:scatterChart>
      <c:valAx>
        <c:axId val="320434688"/>
        <c:scaling>
          <c:orientation val="minMax"/>
          <c:max val="10"/>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2192"/>
        <c:crosses val="autoZero"/>
        <c:crossBetween val="midCat"/>
      </c:valAx>
      <c:valAx>
        <c:axId val="320432192"/>
        <c:scaling>
          <c:orientation val="minMax"/>
          <c:max val="0.12576578500000002"/>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4688"/>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5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2020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160386201724784"/>
          <c:y val="0.16716666666666669"/>
          <c:w val="0.73665010623672045"/>
          <c:h val="0.65837051618547693"/>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C33EB21B-9DD9-41B1-8F9A-4E8FC94D87DE}"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DAAA-4947-AE8E-E9A82FC7D2A0}"/>
                </c:ext>
              </c:extLst>
            </c:dLbl>
            <c:dLbl>
              <c:idx val="1"/>
              <c:tx>
                <c:rich>
                  <a:bodyPr/>
                  <a:lstStyle/>
                  <a:p>
                    <a:fld id="{27A57D9F-6282-4F3C-BD9A-4AF68500EC8E}"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DAAA-4947-AE8E-E9A82FC7D2A0}"/>
                </c:ext>
              </c:extLst>
            </c:dLbl>
            <c:dLbl>
              <c:idx val="2"/>
              <c:tx>
                <c:rich>
                  <a:bodyPr/>
                  <a:lstStyle/>
                  <a:p>
                    <a:fld id="{B9553EA5-D29A-4339-96DA-B9887960B8F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DAAA-4947-AE8E-E9A82FC7D2A0}"/>
                </c:ext>
              </c:extLst>
            </c:dLbl>
            <c:dLbl>
              <c:idx val="3"/>
              <c:tx>
                <c:rich>
                  <a:bodyPr/>
                  <a:lstStyle/>
                  <a:p>
                    <a:fld id="{7D74443C-9EE6-4B5E-A071-639201EC86A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DAAA-4947-AE8E-E9A82FC7D2A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'Technological (SB)'!$C$22:$C$25</c:f>
              <c:numCache>
                <c:formatCode>General</c:formatCode>
                <c:ptCount val="4"/>
                <c:pt idx="0">
                  <c:v>3</c:v>
                </c:pt>
                <c:pt idx="1">
                  <c:v>0</c:v>
                </c:pt>
                <c:pt idx="2">
                  <c:v>1</c:v>
                </c:pt>
                <c:pt idx="3">
                  <c:v>12</c:v>
                </c:pt>
              </c:numCache>
            </c:numRef>
          </c:xVal>
          <c:yVal>
            <c:numRef>
              <c:f>'Technological (SB)'!$D$22:$D$25</c:f>
              <c:numCache>
                <c:formatCode>General</c:formatCode>
                <c:ptCount val="4"/>
                <c:pt idx="0">
                  <c:v>2.6723352240079008E-2</c:v>
                </c:pt>
                <c:pt idx="1">
                  <c:v>0</c:v>
                </c:pt>
                <c:pt idx="2">
                  <c:v>7.3469387755102046E-3</c:v>
                </c:pt>
                <c:pt idx="3">
                  <c:v>4.1709278613278826E-2</c:v>
                </c:pt>
              </c:numCache>
            </c:numRef>
          </c:yVal>
          <c:smooth val="0"/>
          <c:extLst>
            <c:ext xmlns:c15="http://schemas.microsoft.com/office/drawing/2012/chart" uri="{02D57815-91ED-43cb-92C2-25804820EDAC}">
              <c15:datalabelsRange>
                <c15:f>'Technological (SB)'!$B$22:$B$25</c15:f>
                <c15:dlblRangeCache>
                  <c:ptCount val="4"/>
                  <c:pt idx="0">
                    <c:v>CNT</c:v>
                  </c:pt>
                  <c:pt idx="1">
                    <c:v>FLC</c:v>
                  </c:pt>
                  <c:pt idx="2">
                    <c:v>INP</c:v>
                  </c:pt>
                  <c:pt idx="3">
                    <c:v>CYS</c:v>
                  </c:pt>
                </c15:dlblRangeCache>
              </c15:datalabelsRange>
            </c:ext>
            <c:ext xmlns:c16="http://schemas.microsoft.com/office/drawing/2014/chart" uri="{C3380CC4-5D6E-409C-BE32-E72D297353CC}">
              <c16:uniqueId val="{00000004-DAAA-4947-AE8E-E9A82FC7D2A0}"/>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'Technological (SB)'!$C$27:$C$28</c:f>
              <c:numCache>
                <c:formatCode>General</c:formatCode>
                <c:ptCount val="2"/>
                <c:pt idx="0">
                  <c:v>0</c:v>
                </c:pt>
                <c:pt idx="1">
                  <c:v>12</c:v>
                </c:pt>
              </c:numCache>
            </c:numRef>
          </c:xVal>
          <c:yVal>
            <c:numRef>
              <c:f>'Technological (SB)'!$D$27:$D$28</c:f>
              <c:numCache>
                <c:formatCode>General</c:formatCode>
                <c:ptCount val="2"/>
                <c:pt idx="0">
                  <c:v>5.9935463661229725E-2</c:v>
                </c:pt>
                <c:pt idx="1">
                  <c:v>5.9935463661229725E-2</c:v>
                </c:pt>
              </c:numCache>
            </c:numRef>
          </c:yVal>
          <c:smooth val="0"/>
          <c:extLst>
            <c:ext xmlns:c16="http://schemas.microsoft.com/office/drawing/2014/chart" uri="{C3380CC4-5D6E-409C-BE32-E72D297353CC}">
              <c16:uniqueId val="{00000005-DAAA-4947-AE8E-E9A82FC7D2A0}"/>
            </c:ext>
          </c:extLst>
        </c:ser>
        <c:ser>
          <c:idx val="2"/>
          <c:order val="2"/>
          <c:tx>
            <c:strRef>
              <c:f>'Technological (SB)'!$C$32:$C$33</c:f>
              <c:strCache>
                <c:ptCount val="2"/>
                <c:pt idx="0">
                  <c:v>6.96</c:v>
                </c:pt>
                <c:pt idx="1">
                  <c:v>6.96</c:v>
                </c:pt>
              </c:strCache>
            </c:strRef>
          </c:tx>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'Technological (SB)'!$C$32:$C$33</c:f>
              <c:numCache>
                <c:formatCode>General</c:formatCode>
                <c:ptCount val="2"/>
                <c:pt idx="0">
                  <c:v>6.96</c:v>
                </c:pt>
                <c:pt idx="1">
                  <c:v>6.96</c:v>
                </c:pt>
              </c:numCache>
            </c:numRef>
          </c:xVal>
          <c:yVal>
            <c:numRef>
              <c:f>'Technological (SB)'!$D$32:$D$33</c:f>
              <c:numCache>
                <c:formatCode>General</c:formatCode>
                <c:ptCount val="2"/>
                <c:pt idx="0">
                  <c:v>0</c:v>
                </c:pt>
                <c:pt idx="1">
                  <c:v>0.17209612779009353</c:v>
                </c:pt>
              </c:numCache>
            </c:numRef>
          </c:yVal>
          <c:smooth val="0"/>
          <c:extLst>
            <c:ext xmlns:c16="http://schemas.microsoft.com/office/drawing/2014/chart" uri="{C3380CC4-5D6E-409C-BE32-E72D297353CC}">
              <c16:uniqueId val="{00000006-DAAA-4947-AE8E-E9A82FC7D2A0}"/>
            </c:ext>
          </c:extLst>
        </c:ser>
        <c:dLbls>
          <c:showLegendKey val="0"/>
          <c:showVal val="0"/>
          <c:showCatName val="0"/>
          <c:showSerName val="0"/>
          <c:showPercent val="0"/>
          <c:showBubbleSize val="0"/>
        </c:dLbls>
        <c:axId val="320434688"/>
        <c:axId val="320432192"/>
      </c:scatterChart>
      <c:valAx>
        <c:axId val="320434688"/>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2192"/>
        <c:crosses val="autoZero"/>
        <c:crossBetween val="midCat"/>
      </c:valAx>
      <c:valAx>
        <c:axId val="320432192"/>
        <c:scaling>
          <c:orientation val="minMax"/>
          <c:max val="0.1720961280000000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4688"/>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5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2019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682195975503058"/>
          <c:y val="0.16716666666666669"/>
          <c:w val="0.75252312210973626"/>
          <c:h val="0.65837051618547693"/>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BFCF9DF0-770F-4B24-84F1-7AA64116A5A9}"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04D6-42C5-A241-A1CB03738C9A}"/>
                </c:ext>
              </c:extLst>
            </c:dLbl>
            <c:dLbl>
              <c:idx val="1"/>
              <c:tx>
                <c:rich>
                  <a:bodyPr/>
                  <a:lstStyle/>
                  <a:p>
                    <a:fld id="{9ED87055-8DFA-4B86-8D7D-41144343501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04D6-42C5-A241-A1CB03738C9A}"/>
                </c:ext>
              </c:extLst>
            </c:dLbl>
            <c:dLbl>
              <c:idx val="2"/>
              <c:tx>
                <c:rich>
                  <a:bodyPr/>
                  <a:lstStyle/>
                  <a:p>
                    <a:fld id="{72BA0141-E964-4C2B-B6B8-82C0FDB107E0}"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04D6-42C5-A241-A1CB03738C9A}"/>
                </c:ext>
              </c:extLst>
            </c:dLbl>
            <c:dLbl>
              <c:idx val="3"/>
              <c:tx>
                <c:rich>
                  <a:bodyPr/>
                  <a:lstStyle/>
                  <a:p>
                    <a:fld id="{9293AE13-0E01-442C-AD9A-B5BDDB51DA9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04D6-42C5-A241-A1CB03738C9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'Technological (PB)'!$C$45:$C$48</c:f>
              <c:numCache>
                <c:formatCode>General</c:formatCode>
                <c:ptCount val="4"/>
                <c:pt idx="0">
                  <c:v>9</c:v>
                </c:pt>
                <c:pt idx="1">
                  <c:v>0</c:v>
                </c:pt>
                <c:pt idx="2">
                  <c:v>5</c:v>
                </c:pt>
                <c:pt idx="3">
                  <c:v>7</c:v>
                </c:pt>
              </c:numCache>
            </c:numRef>
          </c:xVal>
          <c:yVal>
            <c:numRef>
              <c:f>'Technological (PB)'!$D$45:$D$48</c:f>
              <c:numCache>
                <c:formatCode>General</c:formatCode>
                <c:ptCount val="4"/>
                <c:pt idx="0">
                  <c:v>4.5121530204859629E-2</c:v>
                </c:pt>
                <c:pt idx="1">
                  <c:v>0</c:v>
                </c:pt>
                <c:pt idx="2">
                  <c:v>3.4069020560761012E-2</c:v>
                </c:pt>
                <c:pt idx="3">
                  <c:v>3.8852574612959247E-2</c:v>
                </c:pt>
              </c:numCache>
            </c:numRef>
          </c:yVal>
          <c:smooth val="0"/>
          <c:extLst>
            <c:ext xmlns:c15="http://schemas.microsoft.com/office/drawing/2012/chart" uri="{02D57815-91ED-43cb-92C2-25804820EDAC}">
              <c15:datalabelsRange>
                <c15:f>'Technological (PB)'!$B$45:$B$48</c15:f>
                <c15:dlblRangeCache>
                  <c:ptCount val="4"/>
                  <c:pt idx="0">
                    <c:v>CNT</c:v>
                  </c:pt>
                  <c:pt idx="1">
                    <c:v>FLC</c:v>
                  </c:pt>
                  <c:pt idx="2">
                    <c:v>INP</c:v>
                  </c:pt>
                  <c:pt idx="3">
                    <c:v>CYS</c:v>
                  </c:pt>
                </c15:dlblRangeCache>
              </c15:datalabelsRange>
            </c:ext>
            <c:ext xmlns:c16="http://schemas.microsoft.com/office/drawing/2014/chart" uri="{C3380CC4-5D6E-409C-BE32-E72D297353CC}">
              <c16:uniqueId val="{00000004-04D6-42C5-A241-A1CB03738C9A}"/>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'Technological (PB)'!$C$50:$C$51</c:f>
              <c:numCache>
                <c:formatCode>General</c:formatCode>
                <c:ptCount val="2"/>
                <c:pt idx="0">
                  <c:v>0</c:v>
                </c:pt>
                <c:pt idx="1">
                  <c:v>10</c:v>
                </c:pt>
              </c:numCache>
            </c:numRef>
          </c:xVal>
          <c:yVal>
            <c:numRef>
              <c:f>'Technological (PB)'!$D$50:$D$51</c:f>
              <c:numCache>
                <c:formatCode>General</c:formatCode>
                <c:ptCount val="2"/>
                <c:pt idx="0">
                  <c:v>5.277651395876113E-2</c:v>
                </c:pt>
                <c:pt idx="1">
                  <c:v>5.277651395876113E-2</c:v>
                </c:pt>
              </c:numCache>
            </c:numRef>
          </c:yVal>
          <c:smooth val="0"/>
          <c:extLst>
            <c:ext xmlns:c16="http://schemas.microsoft.com/office/drawing/2014/chart" uri="{C3380CC4-5D6E-409C-BE32-E72D297353CC}">
              <c16:uniqueId val="{00000005-04D6-42C5-A241-A1CB03738C9A}"/>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'Technological (PB)'!$C$55:$C$56</c:f>
              <c:numCache>
                <c:formatCode>General</c:formatCode>
                <c:ptCount val="2"/>
                <c:pt idx="0">
                  <c:v>6.96</c:v>
                </c:pt>
                <c:pt idx="1">
                  <c:v>6.96</c:v>
                </c:pt>
              </c:numCache>
            </c:numRef>
          </c:xVal>
          <c:yVal>
            <c:numRef>
              <c:f>'Technological (PB)'!$D$55:$D$56</c:f>
              <c:numCache>
                <c:formatCode>0.00</c:formatCode>
                <c:ptCount val="2"/>
                <c:pt idx="0" formatCode="General">
                  <c:v>0</c:v>
                </c:pt>
                <c:pt idx="1">
                  <c:v>0.14967068135288208</c:v>
                </c:pt>
              </c:numCache>
            </c:numRef>
          </c:yVal>
          <c:smooth val="0"/>
          <c:extLst>
            <c:ext xmlns:c16="http://schemas.microsoft.com/office/drawing/2014/chart" uri="{C3380CC4-5D6E-409C-BE32-E72D297353CC}">
              <c16:uniqueId val="{00000006-04D6-42C5-A241-A1CB03738C9A}"/>
            </c:ext>
          </c:extLst>
        </c:ser>
        <c:dLbls>
          <c:showLegendKey val="0"/>
          <c:showVal val="0"/>
          <c:showCatName val="0"/>
          <c:showSerName val="0"/>
          <c:showPercent val="0"/>
          <c:showBubbleSize val="0"/>
        </c:dLbls>
        <c:axId val="426555360"/>
        <c:axId val="426551200"/>
      </c:scatterChart>
      <c:valAx>
        <c:axId val="426555360"/>
        <c:scaling>
          <c:orientation val="minMax"/>
          <c:max val="10"/>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1200"/>
        <c:crosses val="autoZero"/>
        <c:crossBetween val="midCat"/>
      </c:valAx>
      <c:valAx>
        <c:axId val="426551200"/>
        <c:scaling>
          <c:orientation val="minMax"/>
          <c:max val="0.14967068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5360"/>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5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2019</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954036995375577"/>
          <c:y val="0.16716666666666669"/>
          <c:w val="0.72871359830021243"/>
          <c:h val="0.67503718285214354"/>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82DDCDC1-BCDF-406E-9E5F-2B2769294680}"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A86A-4CFA-B86E-2519C9AE01F8}"/>
                </c:ext>
              </c:extLst>
            </c:dLbl>
            <c:dLbl>
              <c:idx val="1"/>
              <c:tx>
                <c:rich>
                  <a:bodyPr/>
                  <a:lstStyle/>
                  <a:p>
                    <a:fld id="{FA26FD87-8807-4EF7-8517-D424189AD63C}"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A86A-4CFA-B86E-2519C9AE01F8}"/>
                </c:ext>
              </c:extLst>
            </c:dLbl>
            <c:dLbl>
              <c:idx val="2"/>
              <c:layout>
                <c:manualLayout>
                  <c:x val="-4.4444444444444446E-2"/>
                  <c:y val="-5.6680161943319915E-2"/>
                </c:manualLayout>
              </c:layout>
              <c:tx>
                <c:rich>
                  <a:bodyPr/>
                  <a:lstStyle/>
                  <a:p>
                    <a:fld id="{B1C967AB-2B28-454A-86B2-577CB518692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2-A86A-4CFA-B86E-2519C9AE01F8}"/>
                </c:ext>
              </c:extLst>
            </c:dLbl>
            <c:dLbl>
              <c:idx val="3"/>
              <c:tx>
                <c:rich>
                  <a:bodyPr/>
                  <a:lstStyle/>
                  <a:p>
                    <a:fld id="{5DC17F7D-225E-4628-85A5-98A810C2BBE3}"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A86A-4CFA-B86E-2519C9AE01F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'Technological (SB)'!$C$45:$C$48</c:f>
              <c:numCache>
                <c:formatCode>General</c:formatCode>
                <c:ptCount val="4"/>
                <c:pt idx="0">
                  <c:v>3</c:v>
                </c:pt>
                <c:pt idx="1">
                  <c:v>0</c:v>
                </c:pt>
                <c:pt idx="2">
                  <c:v>1</c:v>
                </c:pt>
                <c:pt idx="3">
                  <c:v>12</c:v>
                </c:pt>
              </c:numCache>
            </c:numRef>
          </c:xVal>
          <c:yVal>
            <c:numRef>
              <c:f>'Technological (SB)'!$D$45:$D$48</c:f>
              <c:numCache>
                <c:formatCode>General</c:formatCode>
                <c:ptCount val="4"/>
                <c:pt idx="0">
                  <c:v>2.4972029675437223E-2</c:v>
                </c:pt>
                <c:pt idx="1">
                  <c:v>0</c:v>
                </c:pt>
                <c:pt idx="2">
                  <c:v>1.7142857142857144E-2</c:v>
                </c:pt>
                <c:pt idx="3">
                  <c:v>3.7067344841060189E-2</c:v>
                </c:pt>
              </c:numCache>
            </c:numRef>
          </c:yVal>
          <c:smooth val="0"/>
          <c:extLst>
            <c:ext xmlns:c15="http://schemas.microsoft.com/office/drawing/2012/chart" uri="{02D57815-91ED-43cb-92C2-25804820EDAC}">
              <c15:datalabelsRange>
                <c15:f>'Technological (SB)'!$B$45:$B$48</c15:f>
                <c15:dlblRangeCache>
                  <c:ptCount val="4"/>
                  <c:pt idx="0">
                    <c:v>CNT</c:v>
                  </c:pt>
                  <c:pt idx="1">
                    <c:v>FLC</c:v>
                  </c:pt>
                  <c:pt idx="2">
                    <c:v>INP</c:v>
                  </c:pt>
                  <c:pt idx="3">
                    <c:v>CYS</c:v>
                  </c:pt>
                </c15:dlblRangeCache>
              </c15:datalabelsRange>
            </c:ext>
            <c:ext xmlns:c16="http://schemas.microsoft.com/office/drawing/2014/chart" uri="{C3380CC4-5D6E-409C-BE32-E72D297353CC}">
              <c16:uniqueId val="{00000004-A86A-4CFA-B86E-2519C9AE01F8}"/>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'Technological (SB)'!$C$50:$C$51</c:f>
              <c:numCache>
                <c:formatCode>General</c:formatCode>
                <c:ptCount val="2"/>
                <c:pt idx="0">
                  <c:v>0</c:v>
                </c:pt>
                <c:pt idx="1">
                  <c:v>12</c:v>
                </c:pt>
              </c:numCache>
            </c:numRef>
          </c:xVal>
          <c:yVal>
            <c:numRef>
              <c:f>'Technological (SB)'!$D$50:$D$51</c:f>
              <c:numCache>
                <c:formatCode>General</c:formatCode>
                <c:ptCount val="2"/>
                <c:pt idx="0">
                  <c:v>6.0722585961321691E-2</c:v>
                </c:pt>
                <c:pt idx="1">
                  <c:v>6.0722585961321691E-2</c:v>
                </c:pt>
              </c:numCache>
            </c:numRef>
          </c:yVal>
          <c:smooth val="0"/>
          <c:extLst>
            <c:ext xmlns:c16="http://schemas.microsoft.com/office/drawing/2014/chart" uri="{C3380CC4-5D6E-409C-BE32-E72D297353CC}">
              <c16:uniqueId val="{00000005-A86A-4CFA-B86E-2519C9AE01F8}"/>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'Technological (SB)'!$C$55:$C$56</c:f>
              <c:numCache>
                <c:formatCode>General</c:formatCode>
                <c:ptCount val="2"/>
                <c:pt idx="0">
                  <c:v>6.84</c:v>
                </c:pt>
                <c:pt idx="1">
                  <c:v>6.84</c:v>
                </c:pt>
              </c:numCache>
            </c:numRef>
          </c:xVal>
          <c:yVal>
            <c:numRef>
              <c:f>'Technological (SB)'!$D$55:$D$56</c:f>
              <c:numCache>
                <c:formatCode>0.00</c:formatCode>
                <c:ptCount val="2"/>
                <c:pt idx="0" formatCode="General">
                  <c:v>0</c:v>
                </c:pt>
                <c:pt idx="1">
                  <c:v>0.19613975396947828</c:v>
                </c:pt>
              </c:numCache>
            </c:numRef>
          </c:yVal>
          <c:smooth val="0"/>
          <c:extLst>
            <c:ext xmlns:c16="http://schemas.microsoft.com/office/drawing/2014/chart" uri="{C3380CC4-5D6E-409C-BE32-E72D297353CC}">
              <c16:uniqueId val="{00000006-A86A-4CFA-B86E-2519C9AE01F8}"/>
            </c:ext>
          </c:extLst>
        </c:ser>
        <c:dLbls>
          <c:showLegendKey val="0"/>
          <c:showVal val="0"/>
          <c:showCatName val="0"/>
          <c:showSerName val="0"/>
          <c:showPercent val="0"/>
          <c:showBubbleSize val="0"/>
        </c:dLbls>
        <c:axId val="426555360"/>
        <c:axId val="426551200"/>
      </c:scatterChart>
      <c:valAx>
        <c:axId val="426555360"/>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1200"/>
        <c:crosses val="autoZero"/>
        <c:crossBetween val="midCat"/>
      </c:valAx>
      <c:valAx>
        <c:axId val="426551200"/>
        <c:scaling>
          <c:orientation val="minMax"/>
          <c:max val="0.19613975400000003"/>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5360"/>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5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2018 </a:t>
            </a:r>
          </a:p>
        </c:rich>
      </c:tx>
      <c:layout>
        <c:manualLayout>
          <c:xMode val="edge"/>
          <c:yMode val="edge"/>
          <c:x val="0.22549587551556055"/>
          <c:y val="3.240726159230096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557211598550182"/>
          <c:y val="0.16716666666666669"/>
          <c:w val="0.73268185226846649"/>
          <c:h val="0.67503718285214354"/>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899307F4-DA88-4EC1-8596-6EA9EBDEB62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B709-491C-88F8-2AD0E7F6AC32}"/>
                </c:ext>
              </c:extLst>
            </c:dLbl>
            <c:dLbl>
              <c:idx val="1"/>
              <c:tx>
                <c:rich>
                  <a:bodyPr/>
                  <a:lstStyle/>
                  <a:p>
                    <a:fld id="{AACFAC53-A061-4186-9316-3B27CC7A61A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B709-491C-88F8-2AD0E7F6AC32}"/>
                </c:ext>
              </c:extLst>
            </c:dLbl>
            <c:dLbl>
              <c:idx val="2"/>
              <c:tx>
                <c:rich>
                  <a:bodyPr/>
                  <a:lstStyle/>
                  <a:p>
                    <a:fld id="{EEEF2937-A979-4AFF-84FA-CF67C0D9E70E}"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B709-491C-88F8-2AD0E7F6AC32}"/>
                </c:ext>
              </c:extLst>
            </c:dLbl>
            <c:dLbl>
              <c:idx val="3"/>
              <c:tx>
                <c:rich>
                  <a:bodyPr/>
                  <a:lstStyle/>
                  <a:p>
                    <a:fld id="{3765B14D-A54B-4966-9219-327F9E0CE85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B709-491C-88F8-2AD0E7F6AC3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'Technological (PB)'!$C$67:$C$70</c:f>
              <c:numCache>
                <c:formatCode>General</c:formatCode>
                <c:ptCount val="4"/>
                <c:pt idx="0">
                  <c:v>9</c:v>
                </c:pt>
                <c:pt idx="1">
                  <c:v>1</c:v>
                </c:pt>
                <c:pt idx="2">
                  <c:v>5</c:v>
                </c:pt>
                <c:pt idx="3">
                  <c:v>6</c:v>
                </c:pt>
              </c:numCache>
            </c:numRef>
          </c:xVal>
          <c:yVal>
            <c:numRef>
              <c:f>'Technological (PB)'!$D$67:$D$70</c:f>
              <c:numCache>
                <c:formatCode>General</c:formatCode>
                <c:ptCount val="4"/>
                <c:pt idx="0">
                  <c:v>4.7433270623844226E-2</c:v>
                </c:pt>
                <c:pt idx="1">
                  <c:v>1.6666666666666666E-2</c:v>
                </c:pt>
                <c:pt idx="2">
                  <c:v>2.851455045193459E-2</c:v>
                </c:pt>
                <c:pt idx="3">
                  <c:v>3.5358270430458867E-2</c:v>
                </c:pt>
              </c:numCache>
            </c:numRef>
          </c:yVal>
          <c:smooth val="0"/>
          <c:extLst>
            <c:ext xmlns:c15="http://schemas.microsoft.com/office/drawing/2012/chart" uri="{02D57815-91ED-43cb-92C2-25804820EDAC}">
              <c15:datalabelsRange>
                <c15:f>'Technological (PB)'!$B$67:$B$70</c15:f>
                <c15:dlblRangeCache>
                  <c:ptCount val="4"/>
                  <c:pt idx="0">
                    <c:v>CNT</c:v>
                  </c:pt>
                  <c:pt idx="1">
                    <c:v>FLC</c:v>
                  </c:pt>
                  <c:pt idx="2">
                    <c:v>INP</c:v>
                  </c:pt>
                  <c:pt idx="3">
                    <c:v>CYS</c:v>
                  </c:pt>
                </c15:dlblRangeCache>
              </c15:datalabelsRange>
            </c:ext>
            <c:ext xmlns:c16="http://schemas.microsoft.com/office/drawing/2014/chart" uri="{C3380CC4-5D6E-409C-BE32-E72D297353CC}">
              <c16:uniqueId val="{00000004-B709-491C-88F8-2AD0E7F6AC32}"/>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'Technological (PB)'!$C$72:$C$73</c:f>
              <c:numCache>
                <c:formatCode>General</c:formatCode>
                <c:ptCount val="2"/>
                <c:pt idx="0">
                  <c:v>0</c:v>
                </c:pt>
                <c:pt idx="1">
                  <c:v>10</c:v>
                </c:pt>
              </c:numCache>
            </c:numRef>
          </c:xVal>
          <c:yVal>
            <c:numRef>
              <c:f>'Technological (PB)'!$D$72:$D$73</c:f>
              <c:numCache>
                <c:formatCode>General</c:formatCode>
                <c:ptCount val="2"/>
                <c:pt idx="0">
                  <c:v>5.0990927928383341E-2</c:v>
                </c:pt>
                <c:pt idx="1">
                  <c:v>5.0990927928383341E-2</c:v>
                </c:pt>
              </c:numCache>
            </c:numRef>
          </c:yVal>
          <c:smooth val="0"/>
          <c:extLst>
            <c:ext xmlns:c16="http://schemas.microsoft.com/office/drawing/2014/chart" uri="{C3380CC4-5D6E-409C-BE32-E72D297353CC}">
              <c16:uniqueId val="{00000005-B709-491C-88F8-2AD0E7F6AC32}"/>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'Technological (PB)'!$C$77:$C$78</c:f>
              <c:numCache>
                <c:formatCode>General</c:formatCode>
                <c:ptCount val="2"/>
                <c:pt idx="0">
                  <c:v>6.96</c:v>
                </c:pt>
                <c:pt idx="1">
                  <c:v>6.96</c:v>
                </c:pt>
              </c:numCache>
            </c:numRef>
          </c:xVal>
          <c:yVal>
            <c:numRef>
              <c:f>'Technological (PB)'!$D$77:$D$78</c:f>
              <c:numCache>
                <c:formatCode>0.00</c:formatCode>
                <c:ptCount val="2"/>
                <c:pt idx="0" formatCode="General">
                  <c:v>0</c:v>
                </c:pt>
                <c:pt idx="1">
                  <c:v>0.14404728233107458</c:v>
                </c:pt>
              </c:numCache>
            </c:numRef>
          </c:yVal>
          <c:smooth val="0"/>
          <c:extLst>
            <c:ext xmlns:c16="http://schemas.microsoft.com/office/drawing/2014/chart" uri="{C3380CC4-5D6E-409C-BE32-E72D297353CC}">
              <c16:uniqueId val="{00000006-B709-491C-88F8-2AD0E7F6AC32}"/>
            </c:ext>
          </c:extLst>
        </c:ser>
        <c:dLbls>
          <c:showLegendKey val="0"/>
          <c:showVal val="0"/>
          <c:showCatName val="0"/>
          <c:showSerName val="0"/>
          <c:showPercent val="0"/>
          <c:showBubbleSize val="0"/>
        </c:dLbls>
        <c:axId val="314595056"/>
        <c:axId val="314594640"/>
      </c:scatterChart>
      <c:valAx>
        <c:axId val="314595056"/>
        <c:scaling>
          <c:orientation val="minMax"/>
          <c:max val="10"/>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4640"/>
        <c:crosses val="autoZero"/>
        <c:crossBetween val="midCat"/>
      </c:valAx>
      <c:valAx>
        <c:axId val="314594640"/>
        <c:scaling>
          <c:orientation val="minMax"/>
          <c:max val="0.14404728200000005"/>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5056"/>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5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2018 </a:t>
            </a:r>
          </a:p>
        </c:rich>
      </c:tx>
      <c:layout>
        <c:manualLayout>
          <c:xMode val="edge"/>
          <c:yMode val="edge"/>
          <c:x val="0.22865079365079366"/>
          <c:y val="3.240726159230096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2541338582677165"/>
          <c:y val="0.16716666666666669"/>
          <c:w val="0.71284058242719661"/>
          <c:h val="0.68614829396325472"/>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772DD4D1-A291-4A41-8305-9D7454D68A9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E487-48C0-B2AA-70E6B9C36C8D}"/>
                </c:ext>
              </c:extLst>
            </c:dLbl>
            <c:dLbl>
              <c:idx val="1"/>
              <c:tx>
                <c:rich>
                  <a:bodyPr/>
                  <a:lstStyle/>
                  <a:p>
                    <a:fld id="{379E587F-5D11-4ACE-88EF-F759479899BE}"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E487-48C0-B2AA-70E6B9C36C8D}"/>
                </c:ext>
              </c:extLst>
            </c:dLbl>
            <c:dLbl>
              <c:idx val="2"/>
              <c:tx>
                <c:rich>
                  <a:bodyPr/>
                  <a:lstStyle/>
                  <a:p>
                    <a:fld id="{7168A71C-7150-4EBD-A033-5E9BC97D084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E487-48C0-B2AA-70E6B9C36C8D}"/>
                </c:ext>
              </c:extLst>
            </c:dLbl>
            <c:dLbl>
              <c:idx val="3"/>
              <c:tx>
                <c:rich>
                  <a:bodyPr/>
                  <a:lstStyle/>
                  <a:p>
                    <a:fld id="{6C7D8C8A-AA54-49D3-AFC5-C11983DB57A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E487-48C0-B2AA-70E6B9C36C8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'Technological (SB)'!$C$67:$C$70</c:f>
              <c:numCache>
                <c:formatCode>General</c:formatCode>
                <c:ptCount val="4"/>
                <c:pt idx="0">
                  <c:v>2</c:v>
                </c:pt>
                <c:pt idx="1">
                  <c:v>0</c:v>
                </c:pt>
                <c:pt idx="2">
                  <c:v>2</c:v>
                </c:pt>
                <c:pt idx="3">
                  <c:v>12</c:v>
                </c:pt>
              </c:numCache>
            </c:numRef>
          </c:xVal>
          <c:yVal>
            <c:numRef>
              <c:f>'Technological (SB)'!$D$67:$D$70</c:f>
              <c:numCache>
                <c:formatCode>General</c:formatCode>
                <c:ptCount val="4"/>
                <c:pt idx="0">
                  <c:v>2.9399760385675877E-2</c:v>
                </c:pt>
                <c:pt idx="1">
                  <c:v>0</c:v>
                </c:pt>
                <c:pt idx="2">
                  <c:v>1.4811267707823185E-2</c:v>
                </c:pt>
                <c:pt idx="3">
                  <c:v>3.0095766833435345E-2</c:v>
                </c:pt>
              </c:numCache>
            </c:numRef>
          </c:yVal>
          <c:smooth val="0"/>
          <c:extLst>
            <c:ext xmlns:c15="http://schemas.microsoft.com/office/drawing/2012/chart" uri="{02D57815-91ED-43cb-92C2-25804820EDAC}">
              <c15:datalabelsRange>
                <c15:f>'Technological (SB)'!$B$67:$B$70</c15:f>
                <c15:dlblRangeCache>
                  <c:ptCount val="4"/>
                  <c:pt idx="0">
                    <c:v>CNT</c:v>
                  </c:pt>
                  <c:pt idx="1">
                    <c:v>FLC</c:v>
                  </c:pt>
                  <c:pt idx="2">
                    <c:v>INP</c:v>
                  </c:pt>
                  <c:pt idx="3">
                    <c:v>CYS</c:v>
                  </c:pt>
                </c15:dlblRangeCache>
              </c15:datalabelsRange>
            </c:ext>
            <c:ext xmlns:c16="http://schemas.microsoft.com/office/drawing/2014/chart" uri="{C3380CC4-5D6E-409C-BE32-E72D297353CC}">
              <c16:uniqueId val="{00000004-E487-48C0-B2AA-70E6B9C36C8D}"/>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'Technological (SB)'!$C$72:$C$73</c:f>
              <c:numCache>
                <c:formatCode>General</c:formatCode>
                <c:ptCount val="2"/>
                <c:pt idx="0">
                  <c:v>0</c:v>
                </c:pt>
                <c:pt idx="1">
                  <c:v>12</c:v>
                </c:pt>
              </c:numCache>
            </c:numRef>
          </c:xVal>
          <c:yVal>
            <c:numRef>
              <c:f>'Technological (SB)'!$D$72:$D$73</c:f>
              <c:numCache>
                <c:formatCode>General</c:formatCode>
                <c:ptCount val="2"/>
                <c:pt idx="0">
                  <c:v>6.1459893959753098E-2</c:v>
                </c:pt>
                <c:pt idx="1">
                  <c:v>6.1459893959753098E-2</c:v>
                </c:pt>
              </c:numCache>
            </c:numRef>
          </c:yVal>
          <c:smooth val="0"/>
          <c:extLst>
            <c:ext xmlns:c16="http://schemas.microsoft.com/office/drawing/2014/chart" uri="{C3380CC4-5D6E-409C-BE32-E72D297353CC}">
              <c16:uniqueId val="{00000005-E487-48C0-B2AA-70E6B9C36C8D}"/>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'Technological (SB)'!$C$77:$C$78</c:f>
              <c:numCache>
                <c:formatCode>General</c:formatCode>
                <c:ptCount val="2"/>
                <c:pt idx="0">
                  <c:v>6.96</c:v>
                </c:pt>
                <c:pt idx="1">
                  <c:v>6.96</c:v>
                </c:pt>
              </c:numCache>
            </c:numRef>
          </c:xVal>
          <c:yVal>
            <c:numRef>
              <c:f>'Technological (SB)'!$D$77:$D$78</c:f>
              <c:numCache>
                <c:formatCode>0.00</c:formatCode>
                <c:ptCount val="2"/>
                <c:pt idx="0" formatCode="General">
                  <c:v>0</c:v>
                </c:pt>
                <c:pt idx="1">
                  <c:v>0.19856147277588526</c:v>
                </c:pt>
              </c:numCache>
            </c:numRef>
          </c:yVal>
          <c:smooth val="0"/>
          <c:extLst>
            <c:ext xmlns:c16="http://schemas.microsoft.com/office/drawing/2014/chart" uri="{C3380CC4-5D6E-409C-BE32-E72D297353CC}">
              <c16:uniqueId val="{00000006-E487-48C0-B2AA-70E6B9C36C8D}"/>
            </c:ext>
          </c:extLst>
        </c:ser>
        <c:dLbls>
          <c:showLegendKey val="0"/>
          <c:showVal val="0"/>
          <c:showCatName val="0"/>
          <c:showSerName val="0"/>
          <c:showPercent val="0"/>
          <c:showBubbleSize val="0"/>
        </c:dLbls>
        <c:axId val="314595056"/>
        <c:axId val="314594640"/>
      </c:scatterChart>
      <c:valAx>
        <c:axId val="314595056"/>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4640"/>
        <c:crosses val="autoZero"/>
        <c:crossBetween val="midCat"/>
      </c:valAx>
      <c:valAx>
        <c:axId val="314594640"/>
        <c:scaling>
          <c:orientation val="minMax"/>
          <c:max val="0.19856147300000004"/>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5056"/>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5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2021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7827777777777781"/>
          <c:w val="0.77428915135608045"/>
          <c:h val="0.66948162729658789"/>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F8947D79-A67B-4219-988A-F92A3F7EF6D3}"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1201-4442-8D37-CBD04655F513}"/>
                </c:ext>
              </c:extLst>
            </c:dLbl>
            <c:dLbl>
              <c:idx val="1"/>
              <c:tx>
                <c:rich>
                  <a:bodyPr/>
                  <a:lstStyle/>
                  <a:p>
                    <a:fld id="{3E143E39-1203-4A2D-AE78-47DB1FC68613}"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1201-4442-8D37-CBD04655F51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'Primary activities (PB)'!$C$3:$C$4</c:f>
              <c:numCache>
                <c:formatCode>General</c:formatCode>
                <c:ptCount val="2"/>
                <c:pt idx="0">
                  <c:v>4</c:v>
                </c:pt>
                <c:pt idx="1">
                  <c:v>9</c:v>
                </c:pt>
              </c:numCache>
            </c:numRef>
          </c:xVal>
          <c:yVal>
            <c:numRef>
              <c:f>'Primary activities (PB)'!$D$3:$D$4</c:f>
              <c:numCache>
                <c:formatCode>General</c:formatCode>
                <c:ptCount val="2"/>
                <c:pt idx="0">
                  <c:v>7.0543577135186469E-2</c:v>
                </c:pt>
                <c:pt idx="1">
                  <c:v>7.9389498277788559E-2</c:v>
                </c:pt>
              </c:numCache>
            </c:numRef>
          </c:yVal>
          <c:smooth val="0"/>
          <c:extLst>
            <c:ext xmlns:c15="http://schemas.microsoft.com/office/drawing/2012/chart" uri="{02D57815-91ED-43cb-92C2-25804820EDAC}">
              <c15:datalabelsRange>
                <c15:f>'Primary activities (PB)'!$B$3:$B$4</c15:f>
                <c15:dlblRangeCache>
                  <c:ptCount val="2"/>
                  <c:pt idx="0">
                    <c:v>FTD</c:v>
                  </c:pt>
                  <c:pt idx="1">
                    <c:v>PRO</c:v>
                  </c:pt>
                </c15:dlblRangeCache>
              </c15:datalabelsRange>
            </c:ext>
            <c:ext xmlns:c16="http://schemas.microsoft.com/office/drawing/2014/chart" uri="{C3380CC4-5D6E-409C-BE32-E72D297353CC}">
              <c16:uniqueId val="{00000002-1201-4442-8D37-CBD04655F513}"/>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'Primary activities (PB)'!$C$6:$C$7</c:f>
              <c:numCache>
                <c:formatCode>General</c:formatCode>
                <c:ptCount val="2"/>
                <c:pt idx="0">
                  <c:v>0</c:v>
                </c:pt>
                <c:pt idx="1">
                  <c:v>9</c:v>
                </c:pt>
              </c:numCache>
            </c:numRef>
          </c:xVal>
          <c:yVal>
            <c:numRef>
              <c:f>'Primary activities (PB)'!$D$6:$D$7</c:f>
              <c:numCache>
                <c:formatCode>General</c:formatCode>
                <c:ptCount val="2"/>
                <c:pt idx="0">
                  <c:v>5.3075522900180812E-2</c:v>
                </c:pt>
                <c:pt idx="1">
                  <c:v>5.3075522900180812E-2</c:v>
                </c:pt>
              </c:numCache>
            </c:numRef>
          </c:yVal>
          <c:smooth val="0"/>
          <c:extLst>
            <c:ext xmlns:c16="http://schemas.microsoft.com/office/drawing/2014/chart" uri="{C3380CC4-5D6E-409C-BE32-E72D297353CC}">
              <c16:uniqueId val="{00000003-1201-4442-8D37-CBD04655F513}"/>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'Primary activities (PB)'!$C$11:$C$12</c:f>
              <c:numCache>
                <c:formatCode>General</c:formatCode>
                <c:ptCount val="2"/>
                <c:pt idx="0">
                  <c:v>6.4</c:v>
                </c:pt>
                <c:pt idx="1">
                  <c:v>6.4</c:v>
                </c:pt>
              </c:numCache>
            </c:numRef>
          </c:xVal>
          <c:yVal>
            <c:numRef>
              <c:f>'Primary activities (PB)'!$D$11:$D$12</c:f>
              <c:numCache>
                <c:formatCode>0.00</c:formatCode>
                <c:ptCount val="2"/>
                <c:pt idx="0" formatCode="General">
                  <c:v>0</c:v>
                </c:pt>
                <c:pt idx="1">
                  <c:v>0.13153159060957317</c:v>
                </c:pt>
              </c:numCache>
            </c:numRef>
          </c:yVal>
          <c:smooth val="0"/>
          <c:extLst>
            <c:ext xmlns:c16="http://schemas.microsoft.com/office/drawing/2014/chart" uri="{C3380CC4-5D6E-409C-BE32-E72D297353CC}">
              <c16:uniqueId val="{00000004-1201-4442-8D37-CBD04655F513}"/>
            </c:ext>
          </c:extLst>
        </c:ser>
        <c:dLbls>
          <c:showLegendKey val="0"/>
          <c:showVal val="0"/>
          <c:showCatName val="0"/>
          <c:showSerName val="0"/>
          <c:showPercent val="0"/>
          <c:showBubbleSize val="0"/>
        </c:dLbls>
        <c:axId val="340807024"/>
        <c:axId val="423992384"/>
      </c:scatterChart>
      <c:valAx>
        <c:axId val="340807024"/>
        <c:scaling>
          <c:orientation val="minMax"/>
          <c:max val="9"/>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92384"/>
        <c:crosses val="autoZero"/>
        <c:crossBetween val="midCat"/>
      </c:valAx>
      <c:valAx>
        <c:axId val="423992384"/>
        <c:scaling>
          <c:orientation val="minMax"/>
          <c:max val="0.13153159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807024"/>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5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2021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8747687789026368"/>
          <c:y val="0.16716666666666669"/>
          <c:w val="0.75077709036370455"/>
          <c:h val="0.66948162729658789"/>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B3D65637-0482-447C-90F6-270F13CAF4B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D530-4B2B-B7F8-707E96F08570}"/>
                </c:ext>
              </c:extLst>
            </c:dLbl>
            <c:dLbl>
              <c:idx val="1"/>
              <c:tx>
                <c:rich>
                  <a:bodyPr/>
                  <a:lstStyle/>
                  <a:p>
                    <a:fld id="{8FB57AE6-D5E6-4C7F-BFB5-9CDDC44843F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D530-4B2B-B7F8-707E96F0857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'Primary activities (SB)'!$C$3:$C$4</c:f>
              <c:numCache>
                <c:formatCode>General</c:formatCode>
                <c:ptCount val="2"/>
                <c:pt idx="0">
                  <c:v>5</c:v>
                </c:pt>
                <c:pt idx="1">
                  <c:v>12</c:v>
                </c:pt>
              </c:numCache>
            </c:numRef>
          </c:xVal>
          <c:yVal>
            <c:numRef>
              <c:f>'Primary activities (SB)'!$D$3:$D$4</c:f>
              <c:numCache>
                <c:formatCode>General</c:formatCode>
                <c:ptCount val="2"/>
                <c:pt idx="0">
                  <c:v>5.1522843203279954E-2</c:v>
                </c:pt>
                <c:pt idx="1">
                  <c:v>9.251111644781175E-2</c:v>
                </c:pt>
              </c:numCache>
            </c:numRef>
          </c:yVal>
          <c:smooth val="0"/>
          <c:extLst>
            <c:ext xmlns:c15="http://schemas.microsoft.com/office/drawing/2012/chart" uri="{02D57815-91ED-43cb-92C2-25804820EDAC}">
              <c15:datalabelsRange>
                <c15:f>'Primary activities (SB)'!$B$3:$B$4</c15:f>
                <c15:dlblRangeCache>
                  <c:ptCount val="2"/>
                  <c:pt idx="0">
                    <c:v>FTD</c:v>
                  </c:pt>
                  <c:pt idx="1">
                    <c:v>PRO</c:v>
                  </c:pt>
                </c15:dlblRangeCache>
              </c15:datalabelsRange>
            </c:ext>
            <c:ext xmlns:c16="http://schemas.microsoft.com/office/drawing/2014/chart" uri="{C3380CC4-5D6E-409C-BE32-E72D297353CC}">
              <c16:uniqueId val="{00000002-D530-4B2B-B7F8-707E96F08570}"/>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'Primary activities (SB)'!$C$6:$C$7</c:f>
              <c:numCache>
                <c:formatCode>General</c:formatCode>
                <c:ptCount val="2"/>
                <c:pt idx="0">
                  <c:v>0</c:v>
                </c:pt>
                <c:pt idx="1">
                  <c:v>12</c:v>
                </c:pt>
              </c:numCache>
            </c:numRef>
          </c:xVal>
          <c:yVal>
            <c:numRef>
              <c:f>'Primary activities (SB)'!$D$6:$D$7</c:f>
              <c:numCache>
                <c:formatCode>General</c:formatCode>
                <c:ptCount val="2"/>
                <c:pt idx="0">
                  <c:v>5.9237188706440451E-2</c:v>
                </c:pt>
                <c:pt idx="1">
                  <c:v>5.9237188706440451E-2</c:v>
                </c:pt>
              </c:numCache>
            </c:numRef>
          </c:yVal>
          <c:smooth val="0"/>
          <c:extLst>
            <c:ext xmlns:c16="http://schemas.microsoft.com/office/drawing/2014/chart" uri="{C3380CC4-5D6E-409C-BE32-E72D297353CC}">
              <c16:uniqueId val="{00000003-D530-4B2B-B7F8-707E96F08570}"/>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'Primary activities (SB)'!$C$11:$C$12</c:f>
              <c:numCache>
                <c:formatCode>General</c:formatCode>
                <c:ptCount val="2"/>
                <c:pt idx="0">
                  <c:v>7.041666666666667</c:v>
                </c:pt>
                <c:pt idx="1">
                  <c:v>7.041666666666667</c:v>
                </c:pt>
              </c:numCache>
            </c:numRef>
          </c:xVal>
          <c:yVal>
            <c:numRef>
              <c:f>'Primary activities (SB)'!$D$11:$D$12</c:f>
              <c:numCache>
                <c:formatCode>0.00</c:formatCode>
                <c:ptCount val="2"/>
                <c:pt idx="0" formatCode="General">
                  <c:v>0</c:v>
                </c:pt>
                <c:pt idx="1">
                  <c:v>0.17076097944056998</c:v>
                </c:pt>
              </c:numCache>
            </c:numRef>
          </c:yVal>
          <c:smooth val="0"/>
          <c:extLst>
            <c:ext xmlns:c16="http://schemas.microsoft.com/office/drawing/2014/chart" uri="{C3380CC4-5D6E-409C-BE32-E72D297353CC}">
              <c16:uniqueId val="{00000004-D530-4B2B-B7F8-707E96F08570}"/>
            </c:ext>
          </c:extLst>
        </c:ser>
        <c:dLbls>
          <c:showLegendKey val="0"/>
          <c:showVal val="0"/>
          <c:showCatName val="0"/>
          <c:showSerName val="0"/>
          <c:showPercent val="0"/>
          <c:showBubbleSize val="0"/>
        </c:dLbls>
        <c:axId val="340807024"/>
        <c:axId val="423992384"/>
      </c:scatterChart>
      <c:valAx>
        <c:axId val="340807024"/>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92384"/>
        <c:crosses val="autoZero"/>
        <c:crossBetween val="midCat"/>
      </c:valAx>
      <c:valAx>
        <c:axId val="423992384"/>
        <c:scaling>
          <c:orientation val="minMax"/>
          <c:max val="0.1707609790000000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807024"/>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5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2020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6716666666666669"/>
          <c:w val="0.76524153230846148"/>
          <c:h val="0.66392607174103235"/>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305B176E-0995-4561-A09C-58D0925E2905}"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ADB7-485B-8227-E5965086DCDE}"/>
                </c:ext>
              </c:extLst>
            </c:dLbl>
            <c:dLbl>
              <c:idx val="1"/>
              <c:tx>
                <c:rich>
                  <a:bodyPr/>
                  <a:lstStyle/>
                  <a:p>
                    <a:fld id="{98319C50-9076-40E7-B74F-3E8988D41E09}"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ADB7-485B-8227-E5965086DCD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'Primary activities (PB)'!$C$20:$C$21</c:f>
              <c:numCache>
                <c:formatCode>General</c:formatCode>
                <c:ptCount val="2"/>
                <c:pt idx="0">
                  <c:v>4</c:v>
                </c:pt>
                <c:pt idx="1">
                  <c:v>10</c:v>
                </c:pt>
              </c:numCache>
            </c:numRef>
          </c:xVal>
          <c:yVal>
            <c:numRef>
              <c:f>'Primary activities (PB)'!$D$20:$D$21</c:f>
              <c:numCache>
                <c:formatCode>General</c:formatCode>
                <c:ptCount val="2"/>
                <c:pt idx="0">
                  <c:v>8.5834429110778543E-2</c:v>
                </c:pt>
                <c:pt idx="1">
                  <c:v>8.9031515138241563E-2</c:v>
                </c:pt>
              </c:numCache>
            </c:numRef>
          </c:yVal>
          <c:smooth val="0"/>
          <c:extLst>
            <c:ext xmlns:c15="http://schemas.microsoft.com/office/drawing/2012/chart" uri="{02D57815-91ED-43cb-92C2-25804820EDAC}">
              <c15:datalabelsRange>
                <c15:f>'Primary activities (PB)'!$B$20:$B$21</c15:f>
                <c15:dlblRangeCache>
                  <c:ptCount val="2"/>
                  <c:pt idx="0">
                    <c:v>FTD</c:v>
                  </c:pt>
                  <c:pt idx="1">
                    <c:v>PRO</c:v>
                  </c:pt>
                </c15:dlblRangeCache>
              </c15:datalabelsRange>
            </c:ext>
            <c:ext xmlns:c16="http://schemas.microsoft.com/office/drawing/2014/chart" uri="{C3380CC4-5D6E-409C-BE32-E72D297353CC}">
              <c16:uniqueId val="{00000002-ADB7-485B-8227-E5965086DCDE}"/>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'Primary activities (PB)'!$C$23:$C$24</c:f>
              <c:numCache>
                <c:formatCode>General</c:formatCode>
                <c:ptCount val="2"/>
                <c:pt idx="0">
                  <c:v>0</c:v>
                </c:pt>
                <c:pt idx="1">
                  <c:v>10</c:v>
                </c:pt>
              </c:numCache>
            </c:numRef>
          </c:xVal>
          <c:yVal>
            <c:numRef>
              <c:f>'Primary activities (PB)'!$D$23:$D$24</c:f>
              <c:numCache>
                <c:formatCode>General</c:formatCode>
                <c:ptCount val="2"/>
                <c:pt idx="0">
                  <c:v>5.2835715816190766E-2</c:v>
                </c:pt>
                <c:pt idx="1">
                  <c:v>5.2835715816190766E-2</c:v>
                </c:pt>
              </c:numCache>
            </c:numRef>
          </c:yVal>
          <c:smooth val="0"/>
          <c:extLst>
            <c:ext xmlns:c16="http://schemas.microsoft.com/office/drawing/2014/chart" uri="{C3380CC4-5D6E-409C-BE32-E72D297353CC}">
              <c16:uniqueId val="{00000003-ADB7-485B-8227-E5965086DCDE}"/>
            </c:ext>
          </c:extLst>
        </c:ser>
        <c:ser>
          <c:idx val="2"/>
          <c:order val="2"/>
          <c:tx>
            <c:strRef>
              <c:f>'Primary activities (PB)'!$C$28:$C$29</c:f>
              <c:strCache>
                <c:ptCount val="2"/>
                <c:pt idx="0">
                  <c:v>7.04</c:v>
                </c:pt>
                <c:pt idx="1">
                  <c:v>7.04</c:v>
                </c:pt>
              </c:strCache>
            </c:strRef>
          </c:tx>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'Primary activities (PB)'!$C$28:$C$29</c:f>
              <c:numCache>
                <c:formatCode>General</c:formatCode>
                <c:ptCount val="2"/>
                <c:pt idx="0">
                  <c:v>7.04</c:v>
                </c:pt>
                <c:pt idx="1">
                  <c:v>7.04</c:v>
                </c:pt>
              </c:numCache>
            </c:numRef>
          </c:xVal>
          <c:yVal>
            <c:numRef>
              <c:f>'Primary activities (PB)'!$D$28:$D$29</c:f>
              <c:numCache>
                <c:formatCode>General</c:formatCode>
                <c:ptCount val="2"/>
                <c:pt idx="0">
                  <c:v>0</c:v>
                </c:pt>
                <c:pt idx="1">
                  <c:v>0.12576578540988731</c:v>
                </c:pt>
              </c:numCache>
            </c:numRef>
          </c:yVal>
          <c:smooth val="0"/>
          <c:extLst>
            <c:ext xmlns:c16="http://schemas.microsoft.com/office/drawing/2014/chart" uri="{C3380CC4-5D6E-409C-BE32-E72D297353CC}">
              <c16:uniqueId val="{00000004-ADB7-485B-8227-E5965086DCDE}"/>
            </c:ext>
          </c:extLst>
        </c:ser>
        <c:dLbls>
          <c:showLegendKey val="0"/>
          <c:showVal val="0"/>
          <c:showCatName val="0"/>
          <c:showSerName val="0"/>
          <c:showPercent val="0"/>
          <c:showBubbleSize val="0"/>
        </c:dLbls>
        <c:axId val="320434688"/>
        <c:axId val="320432192"/>
      </c:scatterChart>
      <c:valAx>
        <c:axId val="320434688"/>
        <c:scaling>
          <c:orientation val="minMax"/>
          <c:max val="10"/>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2192"/>
        <c:crosses val="autoZero"/>
        <c:crossBetween val="midCat"/>
      </c:valAx>
      <c:valAx>
        <c:axId val="320432192"/>
        <c:scaling>
          <c:orientation val="minMax"/>
          <c:max val="0.12576578500000002"/>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4688"/>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6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2020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160386201724784"/>
          <c:y val="0.16716666666666669"/>
          <c:w val="0.73665010623672045"/>
          <c:h val="0.66392607174103235"/>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61138970-4E08-44F7-9DDA-98ED690E7A3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E435-441D-AB41-BD09D876775D}"/>
                </c:ext>
              </c:extLst>
            </c:dLbl>
            <c:dLbl>
              <c:idx val="1"/>
              <c:tx>
                <c:rich>
                  <a:bodyPr/>
                  <a:lstStyle/>
                  <a:p>
                    <a:fld id="{347B898D-DE27-4FA5-A3C3-4F666DA251E8}"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E435-441D-AB41-BD09D876775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'Primary activities (SB)'!$C$20:$C$21</c:f>
              <c:numCache>
                <c:formatCode>General</c:formatCode>
                <c:ptCount val="2"/>
                <c:pt idx="0">
                  <c:v>5</c:v>
                </c:pt>
                <c:pt idx="1">
                  <c:v>12</c:v>
                </c:pt>
              </c:numCache>
            </c:numRef>
          </c:xVal>
          <c:yVal>
            <c:numRef>
              <c:f>'Primary activities (SB)'!$D$20:$D$21</c:f>
              <c:numCache>
                <c:formatCode>General</c:formatCode>
                <c:ptCount val="2"/>
                <c:pt idx="0">
                  <c:v>4.7618617567843947E-2</c:v>
                </c:pt>
                <c:pt idx="1">
                  <c:v>9.138585508202457E-2</c:v>
                </c:pt>
              </c:numCache>
            </c:numRef>
          </c:yVal>
          <c:smooth val="0"/>
          <c:extLst>
            <c:ext xmlns:c15="http://schemas.microsoft.com/office/drawing/2012/chart" uri="{02D57815-91ED-43cb-92C2-25804820EDAC}">
              <c15:datalabelsRange>
                <c15:f>'Primary activities (SB)'!$B$20:$B$21</c15:f>
                <c15:dlblRangeCache>
                  <c:ptCount val="2"/>
                  <c:pt idx="0">
                    <c:v>FTD</c:v>
                  </c:pt>
                  <c:pt idx="1">
                    <c:v>PRO</c:v>
                  </c:pt>
                </c15:dlblRangeCache>
              </c15:datalabelsRange>
            </c:ext>
            <c:ext xmlns:c16="http://schemas.microsoft.com/office/drawing/2014/chart" uri="{C3380CC4-5D6E-409C-BE32-E72D297353CC}">
              <c16:uniqueId val="{00000002-E435-441D-AB41-BD09D876775D}"/>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'Primary activities (SB)'!$C$23:$C$24</c:f>
              <c:numCache>
                <c:formatCode>General</c:formatCode>
                <c:ptCount val="2"/>
                <c:pt idx="0">
                  <c:v>0</c:v>
                </c:pt>
                <c:pt idx="1">
                  <c:v>12</c:v>
                </c:pt>
              </c:numCache>
            </c:numRef>
          </c:xVal>
          <c:yVal>
            <c:numRef>
              <c:f>'Primary activities (SB)'!$D$23:$D$24</c:f>
              <c:numCache>
                <c:formatCode>General</c:formatCode>
                <c:ptCount val="2"/>
                <c:pt idx="0">
                  <c:v>5.9935463661229725E-2</c:v>
                </c:pt>
                <c:pt idx="1">
                  <c:v>5.9935463661229725E-2</c:v>
                </c:pt>
              </c:numCache>
            </c:numRef>
          </c:yVal>
          <c:smooth val="0"/>
          <c:extLst>
            <c:ext xmlns:c16="http://schemas.microsoft.com/office/drawing/2014/chart" uri="{C3380CC4-5D6E-409C-BE32-E72D297353CC}">
              <c16:uniqueId val="{00000003-E435-441D-AB41-BD09D876775D}"/>
            </c:ext>
          </c:extLst>
        </c:ser>
        <c:ser>
          <c:idx val="2"/>
          <c:order val="2"/>
          <c:tx>
            <c:strRef>
              <c:f>'Primary activities (SB)'!$C$28:$C$29</c:f>
              <c:strCache>
                <c:ptCount val="2"/>
                <c:pt idx="0">
                  <c:v>6.96</c:v>
                </c:pt>
                <c:pt idx="1">
                  <c:v>6.96</c:v>
                </c:pt>
              </c:strCache>
            </c:strRef>
          </c:tx>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'Primary activities (SB)'!$C$28:$C$29</c:f>
              <c:numCache>
                <c:formatCode>General</c:formatCode>
                <c:ptCount val="2"/>
                <c:pt idx="0">
                  <c:v>6.96</c:v>
                </c:pt>
                <c:pt idx="1">
                  <c:v>6.96</c:v>
                </c:pt>
              </c:numCache>
            </c:numRef>
          </c:xVal>
          <c:yVal>
            <c:numRef>
              <c:f>'Primary activities (SB)'!$D$28:$D$29</c:f>
              <c:numCache>
                <c:formatCode>General</c:formatCode>
                <c:ptCount val="2"/>
                <c:pt idx="0">
                  <c:v>0</c:v>
                </c:pt>
                <c:pt idx="1">
                  <c:v>0.17209612779009353</c:v>
                </c:pt>
              </c:numCache>
            </c:numRef>
          </c:yVal>
          <c:smooth val="0"/>
          <c:extLst>
            <c:ext xmlns:c16="http://schemas.microsoft.com/office/drawing/2014/chart" uri="{C3380CC4-5D6E-409C-BE32-E72D297353CC}">
              <c16:uniqueId val="{00000004-E435-441D-AB41-BD09D876775D}"/>
            </c:ext>
          </c:extLst>
        </c:ser>
        <c:dLbls>
          <c:showLegendKey val="0"/>
          <c:showVal val="0"/>
          <c:showCatName val="0"/>
          <c:showSerName val="0"/>
          <c:showPercent val="0"/>
          <c:showBubbleSize val="0"/>
        </c:dLbls>
        <c:axId val="320434688"/>
        <c:axId val="320432192"/>
      </c:scatterChart>
      <c:valAx>
        <c:axId val="320434688"/>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2192"/>
        <c:crosses val="autoZero"/>
        <c:crossBetween val="midCat"/>
      </c:valAx>
      <c:valAx>
        <c:axId val="320432192"/>
        <c:scaling>
          <c:orientation val="minMax"/>
          <c:max val="0.1720961280000000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4688"/>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6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2019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954036995375577"/>
          <c:y val="0.17272222222222225"/>
          <c:w val="0.72871359830021243"/>
          <c:h val="0.66392607174103235"/>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FBB81D8E-F7E9-49DC-A58C-4DFA7F048B7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9D79-4A1A-B4C7-B956863D9CEC}"/>
                </c:ext>
              </c:extLst>
            </c:dLbl>
            <c:dLbl>
              <c:idx val="1"/>
              <c:tx>
                <c:rich>
                  <a:bodyPr/>
                  <a:lstStyle/>
                  <a:p>
                    <a:fld id="{FF90E014-F165-4382-BD18-D44DC848FC8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9D79-4A1A-B4C7-B956863D9CE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'Primary activities (PB)'!$C$41:$C$42</c:f>
              <c:numCache>
                <c:formatCode>General</c:formatCode>
                <c:ptCount val="2"/>
                <c:pt idx="0">
                  <c:v>4</c:v>
                </c:pt>
                <c:pt idx="1">
                  <c:v>10</c:v>
                </c:pt>
              </c:numCache>
            </c:numRef>
          </c:xVal>
          <c:yVal>
            <c:numRef>
              <c:f>'Primary activities (PB)'!$D$41:$D$42</c:f>
              <c:numCache>
                <c:formatCode>General</c:formatCode>
                <c:ptCount val="2"/>
                <c:pt idx="0">
                  <c:v>5.4526330307693639E-2</c:v>
                </c:pt>
                <c:pt idx="1">
                  <c:v>0.10331412045263284</c:v>
                </c:pt>
              </c:numCache>
            </c:numRef>
          </c:yVal>
          <c:smooth val="0"/>
          <c:extLst>
            <c:ext xmlns:c15="http://schemas.microsoft.com/office/drawing/2012/chart" uri="{02D57815-91ED-43cb-92C2-25804820EDAC}">
              <c15:datalabelsRange>
                <c15:f>'Primary activities (PB)'!$B$41:$B$42</c15:f>
                <c15:dlblRangeCache>
                  <c:ptCount val="2"/>
                  <c:pt idx="0">
                    <c:v>FTD</c:v>
                  </c:pt>
                  <c:pt idx="1">
                    <c:v>PRO</c:v>
                  </c:pt>
                </c15:dlblRangeCache>
              </c15:datalabelsRange>
            </c:ext>
            <c:ext xmlns:c16="http://schemas.microsoft.com/office/drawing/2014/chart" uri="{C3380CC4-5D6E-409C-BE32-E72D297353CC}">
              <c16:uniqueId val="{00000002-9D79-4A1A-B4C7-B956863D9CEC}"/>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'Primary activities (PB)'!$C$44:$C$45</c:f>
              <c:numCache>
                <c:formatCode>General</c:formatCode>
                <c:ptCount val="2"/>
                <c:pt idx="0">
                  <c:v>0</c:v>
                </c:pt>
                <c:pt idx="1">
                  <c:v>10</c:v>
                </c:pt>
              </c:numCache>
            </c:numRef>
          </c:xVal>
          <c:yVal>
            <c:numRef>
              <c:f>'Primary activities (PB)'!$D$44:$D$45</c:f>
              <c:numCache>
                <c:formatCode>General</c:formatCode>
                <c:ptCount val="2"/>
                <c:pt idx="0">
                  <c:v>5.277651395876113E-2</c:v>
                </c:pt>
                <c:pt idx="1">
                  <c:v>5.277651395876113E-2</c:v>
                </c:pt>
              </c:numCache>
            </c:numRef>
          </c:yVal>
          <c:smooth val="0"/>
          <c:extLst>
            <c:ext xmlns:c16="http://schemas.microsoft.com/office/drawing/2014/chart" uri="{C3380CC4-5D6E-409C-BE32-E72D297353CC}">
              <c16:uniqueId val="{00000003-9D79-4A1A-B4C7-B956863D9CEC}"/>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'Primary activities (PB)'!$C$49:$C$50</c:f>
              <c:numCache>
                <c:formatCode>General</c:formatCode>
                <c:ptCount val="2"/>
                <c:pt idx="0">
                  <c:v>6.96</c:v>
                </c:pt>
                <c:pt idx="1">
                  <c:v>6.96</c:v>
                </c:pt>
              </c:numCache>
            </c:numRef>
          </c:xVal>
          <c:yVal>
            <c:numRef>
              <c:f>'Primary activities (PB)'!$D$49:$D$50</c:f>
              <c:numCache>
                <c:formatCode>0.00</c:formatCode>
                <c:ptCount val="2"/>
                <c:pt idx="0" formatCode="General">
                  <c:v>0</c:v>
                </c:pt>
                <c:pt idx="1">
                  <c:v>0.14967068135288208</c:v>
                </c:pt>
              </c:numCache>
            </c:numRef>
          </c:yVal>
          <c:smooth val="0"/>
          <c:extLst>
            <c:ext xmlns:c16="http://schemas.microsoft.com/office/drawing/2014/chart" uri="{C3380CC4-5D6E-409C-BE32-E72D297353CC}">
              <c16:uniqueId val="{00000004-9D79-4A1A-B4C7-B956863D9CEC}"/>
            </c:ext>
          </c:extLst>
        </c:ser>
        <c:dLbls>
          <c:showLegendKey val="0"/>
          <c:showVal val="0"/>
          <c:showCatName val="0"/>
          <c:showSerName val="0"/>
          <c:showPercent val="0"/>
          <c:showBubbleSize val="0"/>
        </c:dLbls>
        <c:axId val="426555360"/>
        <c:axId val="426551200"/>
      </c:scatterChart>
      <c:valAx>
        <c:axId val="426555360"/>
        <c:scaling>
          <c:orientation val="minMax"/>
          <c:max val="10"/>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1200"/>
        <c:crosses val="autoZero"/>
        <c:crossBetween val="midCat"/>
      </c:valAx>
      <c:valAx>
        <c:axId val="426551200"/>
        <c:scaling>
          <c:orientation val="minMax"/>
          <c:max val="0.14967068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5360"/>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6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2019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954036995375577"/>
          <c:y val="0.17827777777777781"/>
          <c:w val="0.72871359830021243"/>
          <c:h val="0.66392607174103235"/>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8C98B13F-59CC-4937-ACBA-093D8410CCA0}"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0A71-4E58-AA45-A03B927D6A5F}"/>
                </c:ext>
              </c:extLst>
            </c:dLbl>
            <c:dLbl>
              <c:idx val="1"/>
              <c:tx>
                <c:rich>
                  <a:bodyPr/>
                  <a:lstStyle/>
                  <a:p>
                    <a:fld id="{67190A40-1AFB-4DAD-800C-914C5CE51B7B}"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0A71-4E58-AA45-A03B927D6A5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'Primary activities (SB)'!$C$41:$C$42</c:f>
              <c:numCache>
                <c:formatCode>General</c:formatCode>
                <c:ptCount val="2"/>
                <c:pt idx="0">
                  <c:v>6</c:v>
                </c:pt>
                <c:pt idx="1">
                  <c:v>10</c:v>
                </c:pt>
              </c:numCache>
            </c:numRef>
          </c:xVal>
          <c:yVal>
            <c:numRef>
              <c:f>'Primary activities (SB)'!$D$41:$D$42</c:f>
              <c:numCache>
                <c:formatCode>General</c:formatCode>
                <c:ptCount val="2"/>
                <c:pt idx="0">
                  <c:v>4.5361313799755824E-2</c:v>
                </c:pt>
                <c:pt idx="1">
                  <c:v>0.10874223941678463</c:v>
                </c:pt>
              </c:numCache>
            </c:numRef>
          </c:yVal>
          <c:smooth val="0"/>
          <c:extLst>
            <c:ext xmlns:c15="http://schemas.microsoft.com/office/drawing/2012/chart" uri="{02D57815-91ED-43cb-92C2-25804820EDAC}">
              <c15:datalabelsRange>
                <c15:f>'Primary activities (SB)'!$B$41:$B$42</c15:f>
                <c15:dlblRangeCache>
                  <c:ptCount val="2"/>
                  <c:pt idx="0">
                    <c:v>FTD</c:v>
                  </c:pt>
                  <c:pt idx="1">
                    <c:v>PRO</c:v>
                  </c:pt>
                </c15:dlblRangeCache>
              </c15:datalabelsRange>
            </c:ext>
            <c:ext xmlns:c16="http://schemas.microsoft.com/office/drawing/2014/chart" uri="{C3380CC4-5D6E-409C-BE32-E72D297353CC}">
              <c16:uniqueId val="{00000002-0A71-4E58-AA45-A03B927D6A5F}"/>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'Primary activities (SB)'!$C$44:$C$45</c:f>
              <c:numCache>
                <c:formatCode>General</c:formatCode>
                <c:ptCount val="2"/>
                <c:pt idx="0">
                  <c:v>0</c:v>
                </c:pt>
                <c:pt idx="1">
                  <c:v>12</c:v>
                </c:pt>
              </c:numCache>
            </c:numRef>
          </c:xVal>
          <c:yVal>
            <c:numRef>
              <c:f>'Primary activities (SB)'!$D$44:$D$45</c:f>
              <c:numCache>
                <c:formatCode>General</c:formatCode>
                <c:ptCount val="2"/>
                <c:pt idx="0">
                  <c:v>6.0722585961321691E-2</c:v>
                </c:pt>
                <c:pt idx="1">
                  <c:v>6.0722585961321691E-2</c:v>
                </c:pt>
              </c:numCache>
            </c:numRef>
          </c:yVal>
          <c:smooth val="0"/>
          <c:extLst>
            <c:ext xmlns:c16="http://schemas.microsoft.com/office/drawing/2014/chart" uri="{C3380CC4-5D6E-409C-BE32-E72D297353CC}">
              <c16:uniqueId val="{00000003-0A71-4E58-AA45-A03B927D6A5F}"/>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'Primary activities (SB)'!$C$49:$C$50</c:f>
              <c:numCache>
                <c:formatCode>General</c:formatCode>
                <c:ptCount val="2"/>
                <c:pt idx="0">
                  <c:v>6.84</c:v>
                </c:pt>
                <c:pt idx="1">
                  <c:v>6.84</c:v>
                </c:pt>
              </c:numCache>
            </c:numRef>
          </c:xVal>
          <c:yVal>
            <c:numRef>
              <c:f>'Primary activities (SB)'!$D$49:$D$50</c:f>
              <c:numCache>
                <c:formatCode>0.00</c:formatCode>
                <c:ptCount val="2"/>
                <c:pt idx="0" formatCode="General">
                  <c:v>0</c:v>
                </c:pt>
                <c:pt idx="1">
                  <c:v>0.19613975396947828</c:v>
                </c:pt>
              </c:numCache>
            </c:numRef>
          </c:yVal>
          <c:smooth val="0"/>
          <c:extLst>
            <c:ext xmlns:c16="http://schemas.microsoft.com/office/drawing/2014/chart" uri="{C3380CC4-5D6E-409C-BE32-E72D297353CC}">
              <c16:uniqueId val="{00000004-0A71-4E58-AA45-A03B927D6A5F}"/>
            </c:ext>
          </c:extLst>
        </c:ser>
        <c:dLbls>
          <c:showLegendKey val="0"/>
          <c:showVal val="0"/>
          <c:showCatName val="0"/>
          <c:showSerName val="0"/>
          <c:showPercent val="0"/>
          <c:showBubbleSize val="0"/>
        </c:dLbls>
        <c:axId val="426555360"/>
        <c:axId val="426551200"/>
      </c:scatterChart>
      <c:valAx>
        <c:axId val="426555360"/>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1200"/>
        <c:crosses val="autoZero"/>
        <c:crossBetween val="midCat"/>
      </c:valAx>
      <c:valAx>
        <c:axId val="426551200"/>
        <c:scaling>
          <c:orientation val="minMax"/>
          <c:max val="0.19613975400000003"/>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5360"/>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6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2018</a:t>
            </a:r>
          </a:p>
        </c:rich>
      </c:tx>
      <c:layout>
        <c:manualLayout>
          <c:xMode val="edge"/>
          <c:yMode val="edge"/>
          <c:x val="0.25170634920634921"/>
          <c:y val="3.796281714785651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3334989376327958"/>
          <c:y val="0.17827777777777781"/>
          <c:w val="0.7049040744906887"/>
          <c:h val="0.6417038495188101"/>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2598EA5B-984B-4F74-B0D0-4A94D4F24645}"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219D-4437-8CFA-E5EDF1171983}"/>
                </c:ext>
              </c:extLst>
            </c:dLbl>
            <c:dLbl>
              <c:idx val="1"/>
              <c:tx>
                <c:rich>
                  <a:bodyPr/>
                  <a:lstStyle/>
                  <a:p>
                    <a:fld id="{088E4EB9-F499-47B4-9FB7-44B922BFB04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219D-4437-8CFA-E5EDF117198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'Primary activities (PB)'!$C$61:$C$62</c:f>
              <c:numCache>
                <c:formatCode>General</c:formatCode>
                <c:ptCount val="2"/>
                <c:pt idx="0">
                  <c:v>5</c:v>
                </c:pt>
                <c:pt idx="1">
                  <c:v>9</c:v>
                </c:pt>
              </c:numCache>
            </c:numRef>
          </c:xVal>
          <c:yVal>
            <c:numRef>
              <c:f>'Primary activities (PB)'!$D$61:$D$62</c:f>
              <c:numCache>
                <c:formatCode>General</c:formatCode>
                <c:ptCount val="2"/>
                <c:pt idx="0">
                  <c:v>4.0280579194462783E-2</c:v>
                </c:pt>
                <c:pt idx="1">
                  <c:v>0.12437888165037005</c:v>
                </c:pt>
              </c:numCache>
            </c:numRef>
          </c:yVal>
          <c:smooth val="0"/>
          <c:extLst>
            <c:ext xmlns:c15="http://schemas.microsoft.com/office/drawing/2012/chart" uri="{02D57815-91ED-43cb-92C2-25804820EDAC}">
              <c15:datalabelsRange>
                <c15:f>'Primary activities (PB)'!$B$61:$B$62</c15:f>
                <c15:dlblRangeCache>
                  <c:ptCount val="2"/>
                  <c:pt idx="0">
                    <c:v>FTD</c:v>
                  </c:pt>
                  <c:pt idx="1">
                    <c:v>PRO</c:v>
                  </c:pt>
                </c15:dlblRangeCache>
              </c15:datalabelsRange>
            </c:ext>
            <c:ext xmlns:c16="http://schemas.microsoft.com/office/drawing/2014/chart" uri="{C3380CC4-5D6E-409C-BE32-E72D297353CC}">
              <c16:uniqueId val="{00000002-219D-4437-8CFA-E5EDF1171983}"/>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'Primary activities (PB)'!$C$64:$C$65</c:f>
              <c:numCache>
                <c:formatCode>General</c:formatCode>
                <c:ptCount val="2"/>
                <c:pt idx="0">
                  <c:v>0</c:v>
                </c:pt>
                <c:pt idx="1">
                  <c:v>10</c:v>
                </c:pt>
              </c:numCache>
            </c:numRef>
          </c:xVal>
          <c:yVal>
            <c:numRef>
              <c:f>'Primary activities (PB)'!$D$64:$D$65</c:f>
              <c:numCache>
                <c:formatCode>General</c:formatCode>
                <c:ptCount val="2"/>
                <c:pt idx="0">
                  <c:v>5.0990927928383341E-2</c:v>
                </c:pt>
                <c:pt idx="1">
                  <c:v>5.0990927928383341E-2</c:v>
                </c:pt>
              </c:numCache>
            </c:numRef>
          </c:yVal>
          <c:smooth val="0"/>
          <c:extLst>
            <c:ext xmlns:c16="http://schemas.microsoft.com/office/drawing/2014/chart" uri="{C3380CC4-5D6E-409C-BE32-E72D297353CC}">
              <c16:uniqueId val="{00000003-219D-4437-8CFA-E5EDF1171983}"/>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'Primary activities (PB)'!$C$69:$C$70</c:f>
              <c:numCache>
                <c:formatCode>General</c:formatCode>
                <c:ptCount val="2"/>
                <c:pt idx="0">
                  <c:v>6.96</c:v>
                </c:pt>
                <c:pt idx="1">
                  <c:v>6.96</c:v>
                </c:pt>
              </c:numCache>
            </c:numRef>
          </c:xVal>
          <c:yVal>
            <c:numRef>
              <c:f>'Primary activities (PB)'!$D$69:$D$70</c:f>
              <c:numCache>
                <c:formatCode>0.00</c:formatCode>
                <c:ptCount val="2"/>
                <c:pt idx="0" formatCode="General">
                  <c:v>0</c:v>
                </c:pt>
                <c:pt idx="1">
                  <c:v>0.14404728233107458</c:v>
                </c:pt>
              </c:numCache>
            </c:numRef>
          </c:yVal>
          <c:smooth val="0"/>
          <c:extLst>
            <c:ext xmlns:c16="http://schemas.microsoft.com/office/drawing/2014/chart" uri="{C3380CC4-5D6E-409C-BE32-E72D297353CC}">
              <c16:uniqueId val="{00000004-219D-4437-8CFA-E5EDF1171983}"/>
            </c:ext>
          </c:extLst>
        </c:ser>
        <c:dLbls>
          <c:showLegendKey val="0"/>
          <c:showVal val="0"/>
          <c:showCatName val="0"/>
          <c:showSerName val="0"/>
          <c:showPercent val="0"/>
          <c:showBubbleSize val="0"/>
        </c:dLbls>
        <c:axId val="314595056"/>
        <c:axId val="314594640"/>
      </c:scatterChart>
      <c:valAx>
        <c:axId val="314595056"/>
        <c:scaling>
          <c:orientation val="minMax"/>
          <c:max val="10"/>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4640"/>
        <c:crosses val="autoZero"/>
        <c:crossBetween val="midCat"/>
      </c:valAx>
      <c:valAx>
        <c:axId val="314594640"/>
        <c:scaling>
          <c:orientation val="minMax"/>
          <c:max val="0.14404728200000005"/>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5056"/>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6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2018 </a:t>
            </a:r>
          </a:p>
        </c:rich>
      </c:tx>
      <c:layout>
        <c:manualLayout>
          <c:xMode val="edge"/>
          <c:yMode val="edge"/>
          <c:x val="0.21517841519810024"/>
          <c:y val="3.2407261592300965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1747687789026371"/>
          <c:y val="0.16161111111111115"/>
          <c:w val="0.72077709036370452"/>
          <c:h val="0.66392607174103235"/>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0B08CA41-2762-4545-95D1-D351E6DE151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F655-4583-8725-A5ABD1B65E83}"/>
                </c:ext>
              </c:extLst>
            </c:dLbl>
            <c:dLbl>
              <c:idx val="1"/>
              <c:tx>
                <c:rich>
                  <a:bodyPr/>
                  <a:lstStyle/>
                  <a:p>
                    <a:fld id="{3F915A88-43F6-4BC3-9354-1D69B256566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F655-4583-8725-A5ABD1B65E8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'Primary activities (SB)'!$C$61:$C$62</c:f>
              <c:numCache>
                <c:formatCode>General</c:formatCode>
                <c:ptCount val="2"/>
                <c:pt idx="0">
                  <c:v>6</c:v>
                </c:pt>
                <c:pt idx="1">
                  <c:v>9</c:v>
                </c:pt>
              </c:numCache>
            </c:numRef>
          </c:xVal>
          <c:yVal>
            <c:numRef>
              <c:f>'Primary activities (SB)'!$D$61:$D$62</c:f>
              <c:numCache>
                <c:formatCode>General</c:formatCode>
                <c:ptCount val="2"/>
                <c:pt idx="0">
                  <c:v>4.059373780612336E-2</c:v>
                </c:pt>
                <c:pt idx="1">
                  <c:v>0.10029266171774226</c:v>
                </c:pt>
              </c:numCache>
            </c:numRef>
          </c:yVal>
          <c:smooth val="0"/>
          <c:extLst>
            <c:ext xmlns:c15="http://schemas.microsoft.com/office/drawing/2012/chart" uri="{02D57815-91ED-43cb-92C2-25804820EDAC}">
              <c15:datalabelsRange>
                <c15:f>'Primary activities (SB)'!$B$61:$B$62</c15:f>
                <c15:dlblRangeCache>
                  <c:ptCount val="2"/>
                  <c:pt idx="0">
                    <c:v>FTD</c:v>
                  </c:pt>
                  <c:pt idx="1">
                    <c:v>PRO</c:v>
                  </c:pt>
                </c15:dlblRangeCache>
              </c15:datalabelsRange>
            </c:ext>
            <c:ext xmlns:c16="http://schemas.microsoft.com/office/drawing/2014/chart" uri="{C3380CC4-5D6E-409C-BE32-E72D297353CC}">
              <c16:uniqueId val="{00000002-F655-4583-8725-A5ABD1B65E83}"/>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'Primary activities (SB)'!$C$64:$C$65</c:f>
              <c:numCache>
                <c:formatCode>General</c:formatCode>
                <c:ptCount val="2"/>
                <c:pt idx="0">
                  <c:v>0</c:v>
                </c:pt>
                <c:pt idx="1">
                  <c:v>12</c:v>
                </c:pt>
              </c:numCache>
            </c:numRef>
          </c:xVal>
          <c:yVal>
            <c:numRef>
              <c:f>'Primary activities (SB)'!$D$64:$D$65</c:f>
              <c:numCache>
                <c:formatCode>General</c:formatCode>
                <c:ptCount val="2"/>
                <c:pt idx="0">
                  <c:v>6.1459893959753098E-2</c:v>
                </c:pt>
                <c:pt idx="1">
                  <c:v>6.1459893959753098E-2</c:v>
                </c:pt>
              </c:numCache>
            </c:numRef>
          </c:yVal>
          <c:smooth val="0"/>
          <c:extLst>
            <c:ext xmlns:c16="http://schemas.microsoft.com/office/drawing/2014/chart" uri="{C3380CC4-5D6E-409C-BE32-E72D297353CC}">
              <c16:uniqueId val="{00000003-F655-4583-8725-A5ABD1B65E83}"/>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'Primary activities (SB)'!$C$69:$C$70</c:f>
              <c:numCache>
                <c:formatCode>General</c:formatCode>
                <c:ptCount val="2"/>
                <c:pt idx="0">
                  <c:v>6.96</c:v>
                </c:pt>
                <c:pt idx="1">
                  <c:v>6.96</c:v>
                </c:pt>
              </c:numCache>
            </c:numRef>
          </c:xVal>
          <c:yVal>
            <c:numRef>
              <c:f>'Primary activities (SB)'!$D$69:$D$70</c:f>
              <c:numCache>
                <c:formatCode>0.00</c:formatCode>
                <c:ptCount val="2"/>
                <c:pt idx="0" formatCode="General">
                  <c:v>0</c:v>
                </c:pt>
                <c:pt idx="1">
                  <c:v>0.19856147277588526</c:v>
                </c:pt>
              </c:numCache>
            </c:numRef>
          </c:yVal>
          <c:smooth val="0"/>
          <c:extLst>
            <c:ext xmlns:c16="http://schemas.microsoft.com/office/drawing/2014/chart" uri="{C3380CC4-5D6E-409C-BE32-E72D297353CC}">
              <c16:uniqueId val="{00000004-F655-4583-8725-A5ABD1B65E83}"/>
            </c:ext>
          </c:extLst>
        </c:ser>
        <c:dLbls>
          <c:showLegendKey val="0"/>
          <c:showVal val="0"/>
          <c:showCatName val="0"/>
          <c:showSerName val="0"/>
          <c:showPercent val="0"/>
          <c:showBubbleSize val="0"/>
        </c:dLbls>
        <c:axId val="314595056"/>
        <c:axId val="314594640"/>
      </c:scatterChart>
      <c:valAx>
        <c:axId val="314595056"/>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4640"/>
        <c:crosses val="autoZero"/>
        <c:crossBetween val="midCat"/>
      </c:valAx>
      <c:valAx>
        <c:axId val="314594640"/>
        <c:scaling>
          <c:orientation val="minMax"/>
          <c:max val="0.19856147300000004"/>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5056"/>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6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2021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85370578677666"/>
          <c:y val="0.16161111111111115"/>
          <c:w val="0.77347550306211721"/>
          <c:h val="0.66948162729658789"/>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CE2E42B5-20B6-485B-B454-91E2305CD2B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6CFD-4B59-A302-FDA9F8D10087}"/>
                </c:ext>
              </c:extLst>
            </c:dLbl>
            <c:dLbl>
              <c:idx val="1"/>
              <c:tx>
                <c:rich>
                  <a:bodyPr/>
                  <a:lstStyle/>
                  <a:p>
                    <a:fld id="{20409566-1B41-4AD2-94D1-D59C10895153}"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6CFD-4B59-A302-FDA9F8D10087}"/>
                </c:ext>
              </c:extLst>
            </c:dLbl>
            <c:dLbl>
              <c:idx val="2"/>
              <c:tx>
                <c:rich>
                  <a:bodyPr/>
                  <a:lstStyle/>
                  <a:p>
                    <a:fld id="{CDD6AFF6-AE3F-4085-BEDC-19184677EBA8}"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6CFD-4B59-A302-FDA9F8D10087}"/>
                </c:ext>
              </c:extLst>
            </c:dLbl>
            <c:dLbl>
              <c:idx val="3"/>
              <c:tx>
                <c:rich>
                  <a:bodyPr/>
                  <a:lstStyle/>
                  <a:p>
                    <a:fld id="{A546C680-704E-46C2-9DD3-7D5C74A2E4A9}"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6CFD-4B59-A302-FDA9F8D10087}"/>
                </c:ext>
              </c:extLst>
            </c:dLbl>
            <c:dLbl>
              <c:idx val="4"/>
              <c:tx>
                <c:rich>
                  <a:bodyPr/>
                  <a:lstStyle/>
                  <a:p>
                    <a:fld id="{0987F6C2-0550-42A0-983B-686F51472ED0}"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6CFD-4B59-A302-FDA9F8D1008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'Support activities (PB)'!$C$3:$C$7</c:f>
              <c:numCache>
                <c:formatCode>General</c:formatCode>
                <c:ptCount val="5"/>
                <c:pt idx="0">
                  <c:v>8</c:v>
                </c:pt>
                <c:pt idx="1">
                  <c:v>9</c:v>
                </c:pt>
                <c:pt idx="2">
                  <c:v>8</c:v>
                </c:pt>
                <c:pt idx="3">
                  <c:v>7</c:v>
                </c:pt>
                <c:pt idx="4">
                  <c:v>6</c:v>
                </c:pt>
              </c:numCache>
            </c:numRef>
          </c:xVal>
          <c:yVal>
            <c:numRef>
              <c:f>'Support activities (PB)'!$D$3:$D$7</c:f>
              <c:numCache>
                <c:formatCode>General</c:formatCode>
                <c:ptCount val="5"/>
                <c:pt idx="0">
                  <c:v>3.1768656017441332E-2</c:v>
                </c:pt>
                <c:pt idx="1">
                  <c:v>0.13153159060957317</c:v>
                </c:pt>
                <c:pt idx="2">
                  <c:v>7.6734986849385248E-2</c:v>
                </c:pt>
                <c:pt idx="3">
                  <c:v>6.78310591106875E-2</c:v>
                </c:pt>
                <c:pt idx="4">
                  <c:v>2.6099417365473443E-2</c:v>
                </c:pt>
              </c:numCache>
            </c:numRef>
          </c:yVal>
          <c:smooth val="0"/>
          <c:extLst>
            <c:ext xmlns:c15="http://schemas.microsoft.com/office/drawing/2012/chart" uri="{02D57815-91ED-43cb-92C2-25804820EDAC}">
              <c15:datalabelsRange>
                <c15:f>'Support activities (PB)'!$B$3:$B$7</c15:f>
                <c15:dlblRangeCache>
                  <c:ptCount val="5"/>
                  <c:pt idx="0">
                    <c:v>GNM</c:v>
                  </c:pt>
                  <c:pt idx="1">
                    <c:v>RKM</c:v>
                  </c:pt>
                  <c:pt idx="2">
                    <c:v>FIN</c:v>
                  </c:pt>
                  <c:pt idx="3">
                    <c:v>CON</c:v>
                  </c:pt>
                  <c:pt idx="4">
                    <c:v>MNA</c:v>
                  </c:pt>
                </c15:dlblRangeCache>
              </c15:datalabelsRange>
            </c:ext>
            <c:ext xmlns:c16="http://schemas.microsoft.com/office/drawing/2014/chart" uri="{C3380CC4-5D6E-409C-BE32-E72D297353CC}">
              <c16:uniqueId val="{00000005-6CFD-4B59-A302-FDA9F8D10087}"/>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'Support activities (PB)'!$C$9:$C$10</c:f>
              <c:numCache>
                <c:formatCode>General</c:formatCode>
                <c:ptCount val="2"/>
                <c:pt idx="0">
                  <c:v>0</c:v>
                </c:pt>
                <c:pt idx="1">
                  <c:v>9</c:v>
                </c:pt>
              </c:numCache>
            </c:numRef>
          </c:xVal>
          <c:yVal>
            <c:numRef>
              <c:f>'Support activities (PB)'!$D$9:$D$10</c:f>
              <c:numCache>
                <c:formatCode>General</c:formatCode>
                <c:ptCount val="2"/>
                <c:pt idx="0">
                  <c:v>5.3075522900180812E-2</c:v>
                </c:pt>
                <c:pt idx="1">
                  <c:v>5.3075522900180812E-2</c:v>
                </c:pt>
              </c:numCache>
            </c:numRef>
          </c:yVal>
          <c:smooth val="0"/>
          <c:extLst>
            <c:ext xmlns:c16="http://schemas.microsoft.com/office/drawing/2014/chart" uri="{C3380CC4-5D6E-409C-BE32-E72D297353CC}">
              <c16:uniqueId val="{00000006-6CFD-4B59-A302-FDA9F8D10087}"/>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'Support activities (PB)'!$C$14:$C$15</c:f>
              <c:numCache>
                <c:formatCode>General</c:formatCode>
                <c:ptCount val="2"/>
                <c:pt idx="0">
                  <c:v>6.4</c:v>
                </c:pt>
                <c:pt idx="1">
                  <c:v>6.4</c:v>
                </c:pt>
              </c:numCache>
            </c:numRef>
          </c:xVal>
          <c:yVal>
            <c:numRef>
              <c:f>'Support activities (PB)'!$D$14:$D$15</c:f>
              <c:numCache>
                <c:formatCode>0.00</c:formatCode>
                <c:ptCount val="2"/>
                <c:pt idx="0" formatCode="General">
                  <c:v>0</c:v>
                </c:pt>
                <c:pt idx="1">
                  <c:v>0.13153159060957317</c:v>
                </c:pt>
              </c:numCache>
            </c:numRef>
          </c:yVal>
          <c:smooth val="0"/>
          <c:extLst>
            <c:ext xmlns:c16="http://schemas.microsoft.com/office/drawing/2014/chart" uri="{C3380CC4-5D6E-409C-BE32-E72D297353CC}">
              <c16:uniqueId val="{00000007-6CFD-4B59-A302-FDA9F8D10087}"/>
            </c:ext>
          </c:extLst>
        </c:ser>
        <c:dLbls>
          <c:showLegendKey val="0"/>
          <c:showVal val="0"/>
          <c:showCatName val="0"/>
          <c:showSerName val="0"/>
          <c:showPercent val="0"/>
          <c:showBubbleSize val="0"/>
        </c:dLbls>
        <c:axId val="340807024"/>
        <c:axId val="423992384"/>
      </c:scatterChart>
      <c:valAx>
        <c:axId val="340807024"/>
        <c:scaling>
          <c:orientation val="minMax"/>
          <c:max val="9"/>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92384"/>
        <c:crosses val="autoZero"/>
        <c:crossBetween val="midCat"/>
      </c:valAx>
      <c:valAx>
        <c:axId val="423992384"/>
        <c:scaling>
          <c:orientation val="minMax"/>
          <c:max val="0.13153159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807024"/>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6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2021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938163979502563"/>
          <c:y val="0.15605555555555556"/>
          <c:w val="0.73887232845894268"/>
          <c:h val="0.68059273840769918"/>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318EFF54-0E97-41D1-8C39-B95E555D7660}" type="CELLRANGE">
                      <a:rPr lang="en-US"/>
                      <a:pPr/>
                      <a:t>[CELLRANGE]</a:t>
                    </a:fld>
                    <a:endParaRPr lang="en-US"/>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DA54-4B67-8441-3513FB921564}"/>
                </c:ext>
              </c:extLst>
            </c:dLbl>
            <c:dLbl>
              <c:idx val="1"/>
              <c:tx>
                <c:rich>
                  <a:bodyPr/>
                  <a:lstStyle/>
                  <a:p>
                    <a:fld id="{07388CC1-2A29-42FB-AB7A-83845D3B0C62}" type="CELLRANGE">
                      <a:rPr lang="en-US"/>
                      <a:pPr/>
                      <a:t>[CELLRANGE]</a:t>
                    </a:fld>
                    <a:endParaRPr lang="en-US"/>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DA54-4B67-8441-3513FB921564}"/>
                </c:ext>
              </c:extLst>
            </c:dLbl>
            <c:dLbl>
              <c:idx val="2"/>
              <c:tx>
                <c:rich>
                  <a:bodyPr/>
                  <a:lstStyle/>
                  <a:p>
                    <a:fld id="{9EA3842C-0A76-40FF-B21E-40B51B3E0434}" type="CELLRANGE">
                      <a:rPr lang="en-US"/>
                      <a:pPr/>
                      <a:t>[CELLRANGE]</a:t>
                    </a:fld>
                    <a:endParaRPr lang="en-US"/>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DA54-4B67-8441-3513FB921564}"/>
                </c:ext>
              </c:extLst>
            </c:dLbl>
            <c:dLbl>
              <c:idx val="3"/>
              <c:tx>
                <c:rich>
                  <a:bodyPr/>
                  <a:lstStyle/>
                  <a:p>
                    <a:fld id="{D0E7F724-7386-4647-BEF4-71418B61BB87}" type="CELLRANGE">
                      <a:rPr lang="en-US"/>
                      <a:pPr/>
                      <a:t>[CELLRANGE]</a:t>
                    </a:fld>
                    <a:endParaRPr lang="en-US"/>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DA54-4B67-8441-3513FB921564}"/>
                </c:ext>
              </c:extLst>
            </c:dLbl>
            <c:dLbl>
              <c:idx val="4"/>
              <c:tx>
                <c:rich>
                  <a:bodyPr/>
                  <a:lstStyle/>
                  <a:p>
                    <a:fld id="{885B5A65-2BB6-4516-B63E-3E72199223B4}" type="CELLRANGE">
                      <a:rPr lang="en-US"/>
                      <a:pPr/>
                      <a:t>[CELLRANGE]</a:t>
                    </a:fld>
                    <a:endParaRPr lang="en-US"/>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DA54-4B67-8441-3513FB92156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l"/>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'Support activities (SB)'!$C$3:$C$7</c:f>
              <c:numCache>
                <c:formatCode>General</c:formatCode>
                <c:ptCount val="5"/>
                <c:pt idx="0">
                  <c:v>8</c:v>
                </c:pt>
                <c:pt idx="1">
                  <c:v>12</c:v>
                </c:pt>
                <c:pt idx="2">
                  <c:v>11</c:v>
                </c:pt>
                <c:pt idx="3">
                  <c:v>10</c:v>
                </c:pt>
                <c:pt idx="4">
                  <c:v>7.041666666666667</c:v>
                </c:pt>
              </c:numCache>
            </c:numRef>
          </c:xVal>
          <c:yVal>
            <c:numRef>
              <c:f>'Support activities (SB)'!$D$3:$D$7</c:f>
              <c:numCache>
                <c:formatCode>General</c:formatCode>
                <c:ptCount val="5"/>
                <c:pt idx="0">
                  <c:v>5.2351438406421175E-2</c:v>
                </c:pt>
                <c:pt idx="1">
                  <c:v>0.17076097944056998</c:v>
                </c:pt>
                <c:pt idx="2">
                  <c:v>6.2723727472537169E-2</c:v>
                </c:pt>
                <c:pt idx="3">
                  <c:v>0.10641407661643518</c:v>
                </c:pt>
                <c:pt idx="4">
                  <c:v>5.9237188706440451E-2</c:v>
                </c:pt>
              </c:numCache>
            </c:numRef>
          </c:yVal>
          <c:smooth val="0"/>
          <c:extLst>
            <c:ext xmlns:c15="http://schemas.microsoft.com/office/drawing/2012/chart" uri="{02D57815-91ED-43cb-92C2-25804820EDAC}">
              <c15:datalabelsRange>
                <c15:f>'Support activities (SB)'!$B$3:$B$7</c15:f>
                <c15:dlblRangeCache>
                  <c:ptCount val="5"/>
                  <c:pt idx="0">
                    <c:v>GNM</c:v>
                  </c:pt>
                  <c:pt idx="1">
                    <c:v>RKM</c:v>
                  </c:pt>
                  <c:pt idx="2">
                    <c:v>FIN</c:v>
                  </c:pt>
                  <c:pt idx="3">
                    <c:v>CON</c:v>
                  </c:pt>
                  <c:pt idx="4">
                    <c:v>MNA</c:v>
                  </c:pt>
                </c15:dlblRangeCache>
              </c15:datalabelsRange>
            </c:ext>
            <c:ext xmlns:c16="http://schemas.microsoft.com/office/drawing/2014/chart" uri="{C3380CC4-5D6E-409C-BE32-E72D297353CC}">
              <c16:uniqueId val="{00000005-DA54-4B67-8441-3513FB921564}"/>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'Support activities (SB)'!$C$9:$C$10</c:f>
              <c:numCache>
                <c:formatCode>General</c:formatCode>
                <c:ptCount val="2"/>
                <c:pt idx="0">
                  <c:v>0</c:v>
                </c:pt>
                <c:pt idx="1">
                  <c:v>12</c:v>
                </c:pt>
              </c:numCache>
            </c:numRef>
          </c:xVal>
          <c:yVal>
            <c:numRef>
              <c:f>'Support activities (SB)'!$D$9:$D$10</c:f>
              <c:numCache>
                <c:formatCode>General</c:formatCode>
                <c:ptCount val="2"/>
                <c:pt idx="0">
                  <c:v>5.9237188706440451E-2</c:v>
                </c:pt>
                <c:pt idx="1">
                  <c:v>5.9237188706440451E-2</c:v>
                </c:pt>
              </c:numCache>
            </c:numRef>
          </c:yVal>
          <c:smooth val="0"/>
          <c:extLst>
            <c:ext xmlns:c16="http://schemas.microsoft.com/office/drawing/2014/chart" uri="{C3380CC4-5D6E-409C-BE32-E72D297353CC}">
              <c16:uniqueId val="{00000006-DA54-4B67-8441-3513FB921564}"/>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'Support activities (SB)'!$C$14:$C$15</c:f>
              <c:numCache>
                <c:formatCode>General</c:formatCode>
                <c:ptCount val="2"/>
                <c:pt idx="0">
                  <c:v>7.041666666666667</c:v>
                </c:pt>
                <c:pt idx="1">
                  <c:v>7.041666666666667</c:v>
                </c:pt>
              </c:numCache>
            </c:numRef>
          </c:xVal>
          <c:yVal>
            <c:numRef>
              <c:f>'Support activities (SB)'!$D$14:$D$15</c:f>
              <c:numCache>
                <c:formatCode>0.00</c:formatCode>
                <c:ptCount val="2"/>
                <c:pt idx="0" formatCode="General">
                  <c:v>0</c:v>
                </c:pt>
                <c:pt idx="1">
                  <c:v>0.17076097944056998</c:v>
                </c:pt>
              </c:numCache>
            </c:numRef>
          </c:yVal>
          <c:smooth val="0"/>
          <c:extLst>
            <c:ext xmlns:c16="http://schemas.microsoft.com/office/drawing/2014/chart" uri="{C3380CC4-5D6E-409C-BE32-E72D297353CC}">
              <c16:uniqueId val="{00000007-DA54-4B67-8441-3513FB921564}"/>
            </c:ext>
          </c:extLst>
        </c:ser>
        <c:dLbls>
          <c:showLegendKey val="0"/>
          <c:showVal val="0"/>
          <c:showCatName val="0"/>
          <c:showSerName val="0"/>
          <c:showPercent val="0"/>
          <c:showBubbleSize val="0"/>
        </c:dLbls>
        <c:axId val="340807024"/>
        <c:axId val="423992384"/>
      </c:scatterChart>
      <c:valAx>
        <c:axId val="340807024"/>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92384"/>
        <c:crosses val="autoZero"/>
        <c:crossBetween val="midCat"/>
      </c:valAx>
      <c:valAx>
        <c:axId val="423992384"/>
        <c:scaling>
          <c:orientation val="minMax"/>
          <c:max val="0.1707609790000000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807024"/>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userShapes r:id="rId4"/>
</c:chartSpace>
</file>

<file path=word/charts/chart6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2020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763560804899388"/>
          <c:y val="0.17272222222222225"/>
          <c:w val="0.7406183602049744"/>
          <c:h val="0.65281496062992128"/>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17AC10FF-6086-45F0-A7B7-2B62C27AD3C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4B79-4884-BB32-178A824AEAD7}"/>
                </c:ext>
              </c:extLst>
            </c:dLbl>
            <c:dLbl>
              <c:idx val="1"/>
              <c:tx>
                <c:rich>
                  <a:bodyPr/>
                  <a:lstStyle/>
                  <a:p>
                    <a:fld id="{BE873962-5E96-4846-A889-0DA4EEBEABE8}"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4B79-4884-BB32-178A824AEAD7}"/>
                </c:ext>
              </c:extLst>
            </c:dLbl>
            <c:dLbl>
              <c:idx val="2"/>
              <c:tx>
                <c:rich>
                  <a:bodyPr/>
                  <a:lstStyle/>
                  <a:p>
                    <a:fld id="{883AB0E6-EC46-41C6-BAB1-EC5399F6A19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4B79-4884-BB32-178A824AEAD7}"/>
                </c:ext>
              </c:extLst>
            </c:dLbl>
            <c:dLbl>
              <c:idx val="3"/>
              <c:tx>
                <c:rich>
                  <a:bodyPr/>
                  <a:lstStyle/>
                  <a:p>
                    <a:fld id="{2B255216-5664-4240-8D59-F8FCB20A0F5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4B79-4884-BB32-178A824AEAD7}"/>
                </c:ext>
              </c:extLst>
            </c:dLbl>
            <c:dLbl>
              <c:idx val="4"/>
              <c:tx>
                <c:rich>
                  <a:bodyPr/>
                  <a:lstStyle/>
                  <a:p>
                    <a:fld id="{1CA559CE-3CED-43FA-81AD-509A54F8F2C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4B79-4884-BB32-178A824AEAD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'Support activities (PB)'!$C$23:$C$27</c:f>
              <c:numCache>
                <c:formatCode>General</c:formatCode>
                <c:ptCount val="5"/>
                <c:pt idx="0">
                  <c:v>9</c:v>
                </c:pt>
                <c:pt idx="1">
                  <c:v>10</c:v>
                </c:pt>
                <c:pt idx="2">
                  <c:v>9</c:v>
                </c:pt>
                <c:pt idx="3">
                  <c:v>8</c:v>
                </c:pt>
                <c:pt idx="4">
                  <c:v>5</c:v>
                </c:pt>
              </c:numCache>
            </c:numRef>
          </c:xVal>
          <c:yVal>
            <c:numRef>
              <c:f>'Support activities (PB)'!$D$23:$D$27</c:f>
              <c:numCache>
                <c:formatCode>General</c:formatCode>
                <c:ptCount val="5"/>
                <c:pt idx="0">
                  <c:v>3.230845936577046E-2</c:v>
                </c:pt>
                <c:pt idx="1">
                  <c:v>0.12576578540988731</c:v>
                </c:pt>
                <c:pt idx="2">
                  <c:v>7.2958290510806698E-2</c:v>
                </c:pt>
                <c:pt idx="3">
                  <c:v>7.3565295132316133E-2</c:v>
                </c:pt>
                <c:pt idx="4">
                  <c:v>2.7458192519778445E-2</c:v>
                </c:pt>
              </c:numCache>
            </c:numRef>
          </c:yVal>
          <c:smooth val="0"/>
          <c:extLst>
            <c:ext xmlns:c15="http://schemas.microsoft.com/office/drawing/2012/chart" uri="{02D57815-91ED-43cb-92C2-25804820EDAC}">
              <c15:datalabelsRange>
                <c15:f>'Support activities (PB)'!$B$23:$B$27</c15:f>
                <c15:dlblRangeCache>
                  <c:ptCount val="5"/>
                  <c:pt idx="0">
                    <c:v>GNM</c:v>
                  </c:pt>
                  <c:pt idx="1">
                    <c:v>RKM</c:v>
                  </c:pt>
                  <c:pt idx="2">
                    <c:v>FIN</c:v>
                  </c:pt>
                  <c:pt idx="3">
                    <c:v>CON</c:v>
                  </c:pt>
                  <c:pt idx="4">
                    <c:v>MNA</c:v>
                  </c:pt>
                </c15:dlblRangeCache>
              </c15:datalabelsRange>
            </c:ext>
            <c:ext xmlns:c16="http://schemas.microsoft.com/office/drawing/2014/chart" uri="{C3380CC4-5D6E-409C-BE32-E72D297353CC}">
              <c16:uniqueId val="{00000005-4B79-4884-BB32-178A824AEAD7}"/>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'Support activities (PB)'!$C$29:$C$30</c:f>
              <c:numCache>
                <c:formatCode>General</c:formatCode>
                <c:ptCount val="2"/>
                <c:pt idx="0">
                  <c:v>0</c:v>
                </c:pt>
                <c:pt idx="1">
                  <c:v>10</c:v>
                </c:pt>
              </c:numCache>
            </c:numRef>
          </c:xVal>
          <c:yVal>
            <c:numRef>
              <c:f>'Support activities (PB)'!$D$29:$D$30</c:f>
              <c:numCache>
                <c:formatCode>General</c:formatCode>
                <c:ptCount val="2"/>
                <c:pt idx="0">
                  <c:v>5.2835715816190766E-2</c:v>
                </c:pt>
                <c:pt idx="1">
                  <c:v>5.2835715816190766E-2</c:v>
                </c:pt>
              </c:numCache>
            </c:numRef>
          </c:yVal>
          <c:smooth val="0"/>
          <c:extLst>
            <c:ext xmlns:c16="http://schemas.microsoft.com/office/drawing/2014/chart" uri="{C3380CC4-5D6E-409C-BE32-E72D297353CC}">
              <c16:uniqueId val="{00000006-4B79-4884-BB32-178A824AEAD7}"/>
            </c:ext>
          </c:extLst>
        </c:ser>
        <c:ser>
          <c:idx val="2"/>
          <c:order val="2"/>
          <c:tx>
            <c:strRef>
              <c:f>'Support activities (PB)'!$C$34:$C$35</c:f>
              <c:strCache>
                <c:ptCount val="2"/>
                <c:pt idx="0">
                  <c:v>7.04</c:v>
                </c:pt>
                <c:pt idx="1">
                  <c:v>7.04</c:v>
                </c:pt>
              </c:strCache>
            </c:strRef>
          </c:tx>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'Support activities (PB)'!$C$34:$C$35</c:f>
              <c:numCache>
                <c:formatCode>General</c:formatCode>
                <c:ptCount val="2"/>
                <c:pt idx="0">
                  <c:v>7.04</c:v>
                </c:pt>
                <c:pt idx="1">
                  <c:v>7.04</c:v>
                </c:pt>
              </c:numCache>
            </c:numRef>
          </c:xVal>
          <c:yVal>
            <c:numRef>
              <c:f>'Support activities (PB)'!$D$34:$D$35</c:f>
              <c:numCache>
                <c:formatCode>General</c:formatCode>
                <c:ptCount val="2"/>
                <c:pt idx="0">
                  <c:v>0</c:v>
                </c:pt>
                <c:pt idx="1">
                  <c:v>0.12576578540988731</c:v>
                </c:pt>
              </c:numCache>
            </c:numRef>
          </c:yVal>
          <c:smooth val="0"/>
          <c:extLst>
            <c:ext xmlns:c16="http://schemas.microsoft.com/office/drawing/2014/chart" uri="{C3380CC4-5D6E-409C-BE32-E72D297353CC}">
              <c16:uniqueId val="{00000007-4B79-4884-BB32-178A824AEAD7}"/>
            </c:ext>
          </c:extLst>
        </c:ser>
        <c:dLbls>
          <c:showLegendKey val="0"/>
          <c:showVal val="0"/>
          <c:showCatName val="0"/>
          <c:showSerName val="0"/>
          <c:showPercent val="0"/>
          <c:showBubbleSize val="0"/>
        </c:dLbls>
        <c:axId val="320434688"/>
        <c:axId val="320432192"/>
      </c:scatterChart>
      <c:valAx>
        <c:axId val="320434688"/>
        <c:scaling>
          <c:orientation val="minMax"/>
          <c:max val="10"/>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2192"/>
        <c:crosses val="autoZero"/>
        <c:crossBetween val="midCat"/>
      </c:valAx>
      <c:valAx>
        <c:axId val="320432192"/>
        <c:scaling>
          <c:orientation val="minMax"/>
          <c:max val="0.12576578500000002"/>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4688"/>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userShapes r:id="rId4"/>
</c:chartSpace>
</file>

<file path=word/charts/chart6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2020</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954036995375577"/>
          <c:y val="0.16716666666666669"/>
          <c:w val="0.72871359830021243"/>
          <c:h val="0.65837051618547693"/>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89F761D1-5F55-4CBB-B5F0-9FD3F53D4D0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A19E-4801-AE71-D2EDD10CFD58}"/>
                </c:ext>
              </c:extLst>
            </c:dLbl>
            <c:dLbl>
              <c:idx val="1"/>
              <c:tx>
                <c:rich>
                  <a:bodyPr/>
                  <a:lstStyle/>
                  <a:p>
                    <a:fld id="{2EE3120B-410C-437B-8F11-E7A4BBA3A52E}"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A19E-4801-AE71-D2EDD10CFD58}"/>
                </c:ext>
              </c:extLst>
            </c:dLbl>
            <c:dLbl>
              <c:idx val="2"/>
              <c:tx>
                <c:rich>
                  <a:bodyPr/>
                  <a:lstStyle/>
                  <a:p>
                    <a:fld id="{B08EA6CE-AE85-4B65-A165-66DD072622AC}"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A19E-4801-AE71-D2EDD10CFD58}"/>
                </c:ext>
              </c:extLst>
            </c:dLbl>
            <c:dLbl>
              <c:idx val="3"/>
              <c:tx>
                <c:rich>
                  <a:bodyPr/>
                  <a:lstStyle/>
                  <a:p>
                    <a:fld id="{DE67BBD8-C225-4E6C-AA22-9C5FAAAC137C}"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A19E-4801-AE71-D2EDD10CFD58}"/>
                </c:ext>
              </c:extLst>
            </c:dLbl>
            <c:dLbl>
              <c:idx val="4"/>
              <c:tx>
                <c:rich>
                  <a:bodyPr/>
                  <a:lstStyle/>
                  <a:p>
                    <a:fld id="{CE21C334-499D-43BC-8F81-F89EDEDB2FCE}"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A19E-4801-AE71-D2EDD10CFD5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'Support activities (SB)'!$C$23:$C$27</c:f>
              <c:numCache>
                <c:formatCode>General</c:formatCode>
                <c:ptCount val="5"/>
                <c:pt idx="0">
                  <c:v>8</c:v>
                </c:pt>
                <c:pt idx="1">
                  <c:v>12</c:v>
                </c:pt>
                <c:pt idx="2">
                  <c:v>11</c:v>
                </c:pt>
                <c:pt idx="3">
                  <c:v>10</c:v>
                </c:pt>
                <c:pt idx="4">
                  <c:v>8</c:v>
                </c:pt>
              </c:numCache>
            </c:numRef>
          </c:xVal>
          <c:yVal>
            <c:numRef>
              <c:f>'Support activities (SB)'!$D$23:$D$27</c:f>
              <c:numCache>
                <c:formatCode>General</c:formatCode>
                <c:ptCount val="5"/>
                <c:pt idx="0">
                  <c:v>5.1054090287523057E-2</c:v>
                </c:pt>
                <c:pt idx="1">
                  <c:v>0.17209612779009353</c:v>
                </c:pt>
                <c:pt idx="2">
                  <c:v>6.3723873763164657E-2</c:v>
                </c:pt>
                <c:pt idx="3">
                  <c:v>0.10486724353095227</c:v>
                </c:pt>
                <c:pt idx="4">
                  <c:v>3.8929018953904992E-2</c:v>
                </c:pt>
              </c:numCache>
            </c:numRef>
          </c:yVal>
          <c:smooth val="0"/>
          <c:extLst>
            <c:ext xmlns:c15="http://schemas.microsoft.com/office/drawing/2012/chart" uri="{02D57815-91ED-43cb-92C2-25804820EDAC}">
              <c15:datalabelsRange>
                <c15:f>'Support activities (SB)'!$B$23:$B$27</c15:f>
                <c15:dlblRangeCache>
                  <c:ptCount val="5"/>
                  <c:pt idx="0">
                    <c:v>GNM</c:v>
                  </c:pt>
                  <c:pt idx="1">
                    <c:v>RKM</c:v>
                  </c:pt>
                  <c:pt idx="2">
                    <c:v>FIN</c:v>
                  </c:pt>
                  <c:pt idx="3">
                    <c:v>CON</c:v>
                  </c:pt>
                  <c:pt idx="4">
                    <c:v>MNA</c:v>
                  </c:pt>
                </c15:dlblRangeCache>
              </c15:datalabelsRange>
            </c:ext>
            <c:ext xmlns:c16="http://schemas.microsoft.com/office/drawing/2014/chart" uri="{C3380CC4-5D6E-409C-BE32-E72D297353CC}">
              <c16:uniqueId val="{00000005-A19E-4801-AE71-D2EDD10CFD58}"/>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'Support activities (SB)'!$C$29:$C$30</c:f>
              <c:numCache>
                <c:formatCode>General</c:formatCode>
                <c:ptCount val="2"/>
                <c:pt idx="0">
                  <c:v>0</c:v>
                </c:pt>
                <c:pt idx="1">
                  <c:v>12</c:v>
                </c:pt>
              </c:numCache>
            </c:numRef>
          </c:xVal>
          <c:yVal>
            <c:numRef>
              <c:f>'Support activities (SB)'!$D$29:$D$30</c:f>
              <c:numCache>
                <c:formatCode>General</c:formatCode>
                <c:ptCount val="2"/>
                <c:pt idx="0">
                  <c:v>5.9935463661229725E-2</c:v>
                </c:pt>
                <c:pt idx="1">
                  <c:v>5.9935463661229725E-2</c:v>
                </c:pt>
              </c:numCache>
            </c:numRef>
          </c:yVal>
          <c:smooth val="0"/>
          <c:extLst>
            <c:ext xmlns:c16="http://schemas.microsoft.com/office/drawing/2014/chart" uri="{C3380CC4-5D6E-409C-BE32-E72D297353CC}">
              <c16:uniqueId val="{00000006-A19E-4801-AE71-D2EDD10CFD58}"/>
            </c:ext>
          </c:extLst>
        </c:ser>
        <c:ser>
          <c:idx val="2"/>
          <c:order val="2"/>
          <c:tx>
            <c:strRef>
              <c:f>'Support activities (SB)'!$C$34:$C$35</c:f>
              <c:strCache>
                <c:ptCount val="2"/>
                <c:pt idx="0">
                  <c:v>6.96</c:v>
                </c:pt>
                <c:pt idx="1">
                  <c:v>6.96</c:v>
                </c:pt>
              </c:strCache>
            </c:strRef>
          </c:tx>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'Support activities (SB)'!$C$34:$C$35</c:f>
              <c:numCache>
                <c:formatCode>General</c:formatCode>
                <c:ptCount val="2"/>
                <c:pt idx="0">
                  <c:v>6.96</c:v>
                </c:pt>
                <c:pt idx="1">
                  <c:v>6.96</c:v>
                </c:pt>
              </c:numCache>
            </c:numRef>
          </c:xVal>
          <c:yVal>
            <c:numRef>
              <c:f>'Support activities (SB)'!$D$34:$D$35</c:f>
              <c:numCache>
                <c:formatCode>General</c:formatCode>
                <c:ptCount val="2"/>
                <c:pt idx="0">
                  <c:v>0</c:v>
                </c:pt>
                <c:pt idx="1">
                  <c:v>0.17209612779009353</c:v>
                </c:pt>
              </c:numCache>
            </c:numRef>
          </c:yVal>
          <c:smooth val="0"/>
          <c:extLst>
            <c:ext xmlns:c16="http://schemas.microsoft.com/office/drawing/2014/chart" uri="{C3380CC4-5D6E-409C-BE32-E72D297353CC}">
              <c16:uniqueId val="{00000007-A19E-4801-AE71-D2EDD10CFD58}"/>
            </c:ext>
          </c:extLst>
        </c:ser>
        <c:dLbls>
          <c:showLegendKey val="0"/>
          <c:showVal val="0"/>
          <c:showCatName val="0"/>
          <c:showSerName val="0"/>
          <c:showPercent val="0"/>
          <c:showBubbleSize val="0"/>
        </c:dLbls>
        <c:axId val="320434688"/>
        <c:axId val="320432192"/>
      </c:scatterChart>
      <c:valAx>
        <c:axId val="320434688"/>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2192"/>
        <c:crosses val="autoZero"/>
        <c:crossBetween val="midCat"/>
      </c:valAx>
      <c:valAx>
        <c:axId val="320432192"/>
        <c:scaling>
          <c:orientation val="minMax"/>
          <c:max val="0.1720961280000000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4688"/>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6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2019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763560804899388"/>
          <c:y val="0.17272222222222225"/>
          <c:w val="0.7406183602049744"/>
          <c:h val="0.66392607174103235"/>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9D3F9B2B-5803-43AD-984B-2FE950398DE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2FD2-482C-9787-CD3FDC9354C8}"/>
                </c:ext>
              </c:extLst>
            </c:dLbl>
            <c:dLbl>
              <c:idx val="1"/>
              <c:tx>
                <c:rich>
                  <a:bodyPr/>
                  <a:lstStyle/>
                  <a:p>
                    <a:fld id="{FE66DFF8-C8A5-4114-BBF5-C51BEE6A76E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2FD2-482C-9787-CD3FDC9354C8}"/>
                </c:ext>
              </c:extLst>
            </c:dLbl>
            <c:dLbl>
              <c:idx val="2"/>
              <c:tx>
                <c:rich>
                  <a:bodyPr/>
                  <a:lstStyle/>
                  <a:p>
                    <a:fld id="{C31BA8E6-73BC-4194-911B-3E4119E76530}"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2FD2-482C-9787-CD3FDC9354C8}"/>
                </c:ext>
              </c:extLst>
            </c:dLbl>
            <c:dLbl>
              <c:idx val="3"/>
              <c:tx>
                <c:rich>
                  <a:bodyPr/>
                  <a:lstStyle/>
                  <a:p>
                    <a:fld id="{15429C5C-1EE4-4E24-8114-22CD118909B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2FD2-482C-9787-CD3FDC9354C8}"/>
                </c:ext>
              </c:extLst>
            </c:dLbl>
            <c:dLbl>
              <c:idx val="4"/>
              <c:tx>
                <c:rich>
                  <a:bodyPr/>
                  <a:lstStyle/>
                  <a:p>
                    <a:fld id="{3482A5C4-AE59-41F4-B95A-4C704F3B094E}"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2FD2-482C-9787-CD3FDC9354C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'Support activities (PB)'!$C$47:$C$51</c:f>
              <c:numCache>
                <c:formatCode>General</c:formatCode>
                <c:ptCount val="5"/>
                <c:pt idx="0">
                  <c:v>9</c:v>
                </c:pt>
                <c:pt idx="1">
                  <c:v>10</c:v>
                </c:pt>
                <c:pt idx="2">
                  <c:v>9</c:v>
                </c:pt>
                <c:pt idx="3">
                  <c:v>10</c:v>
                </c:pt>
                <c:pt idx="4">
                  <c:v>5</c:v>
                </c:pt>
              </c:numCache>
            </c:numRef>
          </c:xVal>
          <c:yVal>
            <c:numRef>
              <c:f>'Support activities (PB)'!$D$47:$D$51</c:f>
              <c:numCache>
                <c:formatCode>General</c:formatCode>
                <c:ptCount val="5"/>
                <c:pt idx="0">
                  <c:v>2.981274505949006E-2</c:v>
                </c:pt>
                <c:pt idx="1">
                  <c:v>9.121500541877256E-2</c:v>
                </c:pt>
                <c:pt idx="2">
                  <c:v>9.9210435761618879E-2</c:v>
                </c:pt>
                <c:pt idx="3">
                  <c:v>5.9637289445651075E-2</c:v>
                </c:pt>
                <c:pt idx="4">
                  <c:v>2.313467066101571E-2</c:v>
                </c:pt>
              </c:numCache>
            </c:numRef>
          </c:yVal>
          <c:smooth val="0"/>
          <c:extLst>
            <c:ext xmlns:c15="http://schemas.microsoft.com/office/drawing/2012/chart" uri="{02D57815-91ED-43cb-92C2-25804820EDAC}">
              <c15:datalabelsRange>
                <c15:f>'Support activities (PB)'!$B$47:$B$51</c15:f>
                <c15:dlblRangeCache>
                  <c:ptCount val="5"/>
                  <c:pt idx="0">
                    <c:v>GNM</c:v>
                  </c:pt>
                  <c:pt idx="1">
                    <c:v>RKM</c:v>
                  </c:pt>
                  <c:pt idx="2">
                    <c:v>FIN</c:v>
                  </c:pt>
                  <c:pt idx="3">
                    <c:v>CON</c:v>
                  </c:pt>
                  <c:pt idx="4">
                    <c:v>MNA</c:v>
                  </c:pt>
                </c15:dlblRangeCache>
              </c15:datalabelsRange>
            </c:ext>
            <c:ext xmlns:c16="http://schemas.microsoft.com/office/drawing/2014/chart" uri="{C3380CC4-5D6E-409C-BE32-E72D297353CC}">
              <c16:uniqueId val="{00000005-2FD2-482C-9787-CD3FDC9354C8}"/>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'Support activities (PB)'!$C$53:$C$54</c:f>
              <c:numCache>
                <c:formatCode>General</c:formatCode>
                <c:ptCount val="2"/>
                <c:pt idx="0">
                  <c:v>0</c:v>
                </c:pt>
                <c:pt idx="1">
                  <c:v>10</c:v>
                </c:pt>
              </c:numCache>
            </c:numRef>
          </c:xVal>
          <c:yVal>
            <c:numRef>
              <c:f>'Support activities (PB)'!$D$53:$D$54</c:f>
              <c:numCache>
                <c:formatCode>General</c:formatCode>
                <c:ptCount val="2"/>
                <c:pt idx="0">
                  <c:v>5.277651395876113E-2</c:v>
                </c:pt>
                <c:pt idx="1">
                  <c:v>5.277651395876113E-2</c:v>
                </c:pt>
              </c:numCache>
            </c:numRef>
          </c:yVal>
          <c:smooth val="0"/>
          <c:extLst>
            <c:ext xmlns:c16="http://schemas.microsoft.com/office/drawing/2014/chart" uri="{C3380CC4-5D6E-409C-BE32-E72D297353CC}">
              <c16:uniqueId val="{00000006-2FD2-482C-9787-CD3FDC9354C8}"/>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'Support activities (PB)'!$C$58:$C$59</c:f>
              <c:numCache>
                <c:formatCode>General</c:formatCode>
                <c:ptCount val="2"/>
                <c:pt idx="0">
                  <c:v>6.96</c:v>
                </c:pt>
                <c:pt idx="1">
                  <c:v>6.96</c:v>
                </c:pt>
              </c:numCache>
            </c:numRef>
          </c:xVal>
          <c:yVal>
            <c:numRef>
              <c:f>'Support activities (PB)'!$D$58:$D$59</c:f>
              <c:numCache>
                <c:formatCode>0.00</c:formatCode>
                <c:ptCount val="2"/>
                <c:pt idx="0" formatCode="General">
                  <c:v>0</c:v>
                </c:pt>
                <c:pt idx="1">
                  <c:v>0.14967068135288208</c:v>
                </c:pt>
              </c:numCache>
            </c:numRef>
          </c:yVal>
          <c:smooth val="0"/>
          <c:extLst>
            <c:ext xmlns:c16="http://schemas.microsoft.com/office/drawing/2014/chart" uri="{C3380CC4-5D6E-409C-BE32-E72D297353CC}">
              <c16:uniqueId val="{00000007-2FD2-482C-9787-CD3FDC9354C8}"/>
            </c:ext>
          </c:extLst>
        </c:ser>
        <c:dLbls>
          <c:showLegendKey val="0"/>
          <c:showVal val="0"/>
          <c:showCatName val="0"/>
          <c:showSerName val="0"/>
          <c:showPercent val="0"/>
          <c:showBubbleSize val="0"/>
        </c:dLbls>
        <c:axId val="426555360"/>
        <c:axId val="426551200"/>
      </c:scatterChart>
      <c:valAx>
        <c:axId val="426555360"/>
        <c:scaling>
          <c:orientation val="minMax"/>
          <c:max val="10"/>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1200"/>
        <c:crosses val="autoZero"/>
        <c:crossBetween val="midCat"/>
      </c:valAx>
      <c:valAx>
        <c:axId val="426551200"/>
        <c:scaling>
          <c:orientation val="minMax"/>
          <c:max val="0.149670681"/>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5360"/>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7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2019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160386201724784"/>
          <c:y val="0.16716666666666669"/>
          <c:w val="0.73665010623672045"/>
          <c:h val="0.67503718285214354"/>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82D3265D-A39E-4F39-BA06-A6AFAC2A777D}"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00ED-4162-BFDD-37ECE441A0DA}"/>
                </c:ext>
              </c:extLst>
            </c:dLbl>
            <c:dLbl>
              <c:idx val="1"/>
              <c:tx>
                <c:rich>
                  <a:bodyPr/>
                  <a:lstStyle/>
                  <a:p>
                    <a:fld id="{A7908E2B-218E-4FC7-B092-844D557193A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00ED-4162-BFDD-37ECE441A0DA}"/>
                </c:ext>
              </c:extLst>
            </c:dLbl>
            <c:dLbl>
              <c:idx val="2"/>
              <c:tx>
                <c:rich>
                  <a:bodyPr/>
                  <a:lstStyle/>
                  <a:p>
                    <a:fld id="{2410ED3C-68C9-4720-B391-1DC7D7FF28EB}"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00ED-4162-BFDD-37ECE441A0DA}"/>
                </c:ext>
              </c:extLst>
            </c:dLbl>
            <c:dLbl>
              <c:idx val="3"/>
              <c:tx>
                <c:rich>
                  <a:bodyPr/>
                  <a:lstStyle/>
                  <a:p>
                    <a:fld id="{BF789551-E01B-49B8-B6A5-14A618170BC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00ED-4162-BFDD-37ECE441A0DA}"/>
                </c:ext>
              </c:extLst>
            </c:dLbl>
            <c:dLbl>
              <c:idx val="4"/>
              <c:tx>
                <c:rich>
                  <a:bodyPr/>
                  <a:lstStyle/>
                  <a:p>
                    <a:fld id="{54EF62A7-28CF-4509-B6F5-EE9A77EB3CAC}"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00ED-4162-BFDD-37ECE441A0D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'Support activities (SB)'!$C$47:$C$51</c:f>
              <c:numCache>
                <c:formatCode>General</c:formatCode>
                <c:ptCount val="5"/>
                <c:pt idx="0">
                  <c:v>8</c:v>
                </c:pt>
                <c:pt idx="1">
                  <c:v>11</c:v>
                </c:pt>
                <c:pt idx="2">
                  <c:v>11</c:v>
                </c:pt>
                <c:pt idx="3">
                  <c:v>10</c:v>
                </c:pt>
                <c:pt idx="4">
                  <c:v>8</c:v>
                </c:pt>
              </c:numCache>
            </c:numRef>
          </c:xVal>
          <c:yVal>
            <c:numRef>
              <c:f>'Support activities (SB)'!$D$47:$D$51</c:f>
              <c:numCache>
                <c:formatCode>General</c:formatCode>
                <c:ptCount val="5"/>
                <c:pt idx="0">
                  <c:v>5.970932835202946E-2</c:v>
                </c:pt>
                <c:pt idx="1">
                  <c:v>0.19613975396947828</c:v>
                </c:pt>
                <c:pt idx="2">
                  <c:v>9.5221803720364831E-2</c:v>
                </c:pt>
                <c:pt idx="3">
                  <c:v>7.6106987882578775E-2</c:v>
                </c:pt>
                <c:pt idx="4">
                  <c:v>3.3773897123911885E-2</c:v>
                </c:pt>
              </c:numCache>
            </c:numRef>
          </c:yVal>
          <c:smooth val="0"/>
          <c:extLst>
            <c:ext xmlns:c15="http://schemas.microsoft.com/office/drawing/2012/chart" uri="{02D57815-91ED-43cb-92C2-25804820EDAC}">
              <c15:datalabelsRange>
                <c15:f>'Support activities (SB)'!$B$47:$B$51</c15:f>
                <c15:dlblRangeCache>
                  <c:ptCount val="5"/>
                  <c:pt idx="0">
                    <c:v>GNM</c:v>
                  </c:pt>
                  <c:pt idx="1">
                    <c:v>RKM</c:v>
                  </c:pt>
                  <c:pt idx="2">
                    <c:v>FIN</c:v>
                  </c:pt>
                  <c:pt idx="3">
                    <c:v>CON</c:v>
                  </c:pt>
                  <c:pt idx="4">
                    <c:v>MNA</c:v>
                  </c:pt>
                </c15:dlblRangeCache>
              </c15:datalabelsRange>
            </c:ext>
            <c:ext xmlns:c16="http://schemas.microsoft.com/office/drawing/2014/chart" uri="{C3380CC4-5D6E-409C-BE32-E72D297353CC}">
              <c16:uniqueId val="{00000005-00ED-4162-BFDD-37ECE441A0DA}"/>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'Support activities (SB)'!$C$53:$C$54</c:f>
              <c:numCache>
                <c:formatCode>General</c:formatCode>
                <c:ptCount val="2"/>
                <c:pt idx="0">
                  <c:v>0</c:v>
                </c:pt>
                <c:pt idx="1">
                  <c:v>12</c:v>
                </c:pt>
              </c:numCache>
            </c:numRef>
          </c:xVal>
          <c:yVal>
            <c:numRef>
              <c:f>'Support activities (SB)'!$D$53:$D$54</c:f>
              <c:numCache>
                <c:formatCode>General</c:formatCode>
                <c:ptCount val="2"/>
                <c:pt idx="0">
                  <c:v>6.0722585961321691E-2</c:v>
                </c:pt>
                <c:pt idx="1">
                  <c:v>6.0722585961321691E-2</c:v>
                </c:pt>
              </c:numCache>
            </c:numRef>
          </c:yVal>
          <c:smooth val="0"/>
          <c:extLst>
            <c:ext xmlns:c16="http://schemas.microsoft.com/office/drawing/2014/chart" uri="{C3380CC4-5D6E-409C-BE32-E72D297353CC}">
              <c16:uniqueId val="{00000006-00ED-4162-BFDD-37ECE441A0DA}"/>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'Support activities (SB)'!$C$58:$C$59</c:f>
              <c:numCache>
                <c:formatCode>General</c:formatCode>
                <c:ptCount val="2"/>
                <c:pt idx="0">
                  <c:v>6.84</c:v>
                </c:pt>
                <c:pt idx="1">
                  <c:v>6.84</c:v>
                </c:pt>
              </c:numCache>
            </c:numRef>
          </c:xVal>
          <c:yVal>
            <c:numRef>
              <c:f>'Support activities (SB)'!$D$58:$D$59</c:f>
              <c:numCache>
                <c:formatCode>0.00</c:formatCode>
                <c:ptCount val="2"/>
                <c:pt idx="0" formatCode="General">
                  <c:v>0</c:v>
                </c:pt>
                <c:pt idx="1">
                  <c:v>0.19613975396947828</c:v>
                </c:pt>
              </c:numCache>
            </c:numRef>
          </c:yVal>
          <c:smooth val="0"/>
          <c:extLst>
            <c:ext xmlns:c16="http://schemas.microsoft.com/office/drawing/2014/chart" uri="{C3380CC4-5D6E-409C-BE32-E72D297353CC}">
              <c16:uniqueId val="{00000007-00ED-4162-BFDD-37ECE441A0DA}"/>
            </c:ext>
          </c:extLst>
        </c:ser>
        <c:dLbls>
          <c:showLegendKey val="0"/>
          <c:showVal val="0"/>
          <c:showCatName val="0"/>
          <c:showSerName val="0"/>
          <c:showPercent val="0"/>
          <c:showBubbleSize val="0"/>
        </c:dLbls>
        <c:axId val="426555360"/>
        <c:axId val="426551200"/>
      </c:scatterChart>
      <c:valAx>
        <c:axId val="426555360"/>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1200"/>
        <c:crosses val="autoZero"/>
        <c:crossBetween val="midCat"/>
      </c:valAx>
      <c:valAx>
        <c:axId val="426551200"/>
        <c:scaling>
          <c:orientation val="minMax"/>
          <c:max val="0.19613975400000003"/>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55360"/>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7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Primary biofuel, </a:t>
            </a:r>
            <a:r>
              <a:rPr lang="en-US" baseline="0"/>
              <a:t>2018</a:t>
            </a:r>
          </a:p>
        </c:rich>
      </c:tx>
      <c:layout>
        <c:manualLayout>
          <c:xMode val="edge"/>
          <c:yMode val="edge"/>
          <c:x val="0.22807555305586802"/>
          <c:y val="3.796281714785651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1350862392200975"/>
          <c:y val="0.16161111111111115"/>
          <c:w val="0.72474534433195847"/>
          <c:h val="0.69170384951881014"/>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2313B00C-696D-49BD-8C48-AE44697D09A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EEE1-4387-B0E3-7C246F89E56D}"/>
                </c:ext>
              </c:extLst>
            </c:dLbl>
            <c:dLbl>
              <c:idx val="1"/>
              <c:tx>
                <c:rich>
                  <a:bodyPr/>
                  <a:lstStyle/>
                  <a:p>
                    <a:fld id="{8E6F7E03-1694-41AA-807C-9DA752420E99}"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EEE1-4387-B0E3-7C246F89E56D}"/>
                </c:ext>
              </c:extLst>
            </c:dLbl>
            <c:dLbl>
              <c:idx val="2"/>
              <c:tx>
                <c:rich>
                  <a:bodyPr/>
                  <a:lstStyle/>
                  <a:p>
                    <a:fld id="{04D3835E-63DF-4114-962A-75E112A18808}"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EEE1-4387-B0E3-7C246F89E56D}"/>
                </c:ext>
              </c:extLst>
            </c:dLbl>
            <c:dLbl>
              <c:idx val="3"/>
              <c:tx>
                <c:rich>
                  <a:bodyPr/>
                  <a:lstStyle/>
                  <a:p>
                    <a:fld id="{810CA5A1-B1BE-4DE1-A595-4763FFB7268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EEE1-4387-B0E3-7C246F89E56D}"/>
                </c:ext>
              </c:extLst>
            </c:dLbl>
            <c:dLbl>
              <c:idx val="4"/>
              <c:tx>
                <c:rich>
                  <a:bodyPr/>
                  <a:lstStyle/>
                  <a:p>
                    <a:fld id="{AB95078A-974E-41E4-B563-A12DF74EB3B5}"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EEE1-4387-B0E3-7C246F89E56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'Support activities (PB)'!$C$70:$C$74</c:f>
              <c:numCache>
                <c:formatCode>General</c:formatCode>
                <c:ptCount val="5"/>
                <c:pt idx="0">
                  <c:v>9</c:v>
                </c:pt>
                <c:pt idx="1">
                  <c:v>10</c:v>
                </c:pt>
                <c:pt idx="2">
                  <c:v>9</c:v>
                </c:pt>
                <c:pt idx="3">
                  <c:v>10</c:v>
                </c:pt>
                <c:pt idx="4">
                  <c:v>5</c:v>
                </c:pt>
              </c:numCache>
            </c:numRef>
          </c:xVal>
          <c:yVal>
            <c:numRef>
              <c:f>'Support activities (PB)'!$D$70:$D$74</c:f>
              <c:numCache>
                <c:formatCode>General</c:formatCode>
                <c:ptCount val="5"/>
                <c:pt idx="0">
                  <c:v>3.1210753781739382E-2</c:v>
                </c:pt>
                <c:pt idx="1">
                  <c:v>7.3274654778744314E-2</c:v>
                </c:pt>
                <c:pt idx="2">
                  <c:v>0.11412559887586718</c:v>
                </c:pt>
                <c:pt idx="3">
                  <c:v>5.707719089823364E-2</c:v>
                </c:pt>
                <c:pt idx="4">
                  <c:v>2.9237559483998487E-2</c:v>
                </c:pt>
              </c:numCache>
            </c:numRef>
          </c:yVal>
          <c:smooth val="0"/>
          <c:extLst>
            <c:ext xmlns:c15="http://schemas.microsoft.com/office/drawing/2012/chart" uri="{02D57815-91ED-43cb-92C2-25804820EDAC}">
              <c15:datalabelsRange>
                <c15:f>'Support activities (PB)'!$B$70:$B$74</c15:f>
                <c15:dlblRangeCache>
                  <c:ptCount val="5"/>
                  <c:pt idx="0">
                    <c:v>GNM</c:v>
                  </c:pt>
                  <c:pt idx="1">
                    <c:v>RKM</c:v>
                  </c:pt>
                  <c:pt idx="2">
                    <c:v>FIN</c:v>
                  </c:pt>
                  <c:pt idx="3">
                    <c:v>CON</c:v>
                  </c:pt>
                  <c:pt idx="4">
                    <c:v>MNA</c:v>
                  </c:pt>
                </c15:dlblRangeCache>
              </c15:datalabelsRange>
            </c:ext>
            <c:ext xmlns:c16="http://schemas.microsoft.com/office/drawing/2014/chart" uri="{C3380CC4-5D6E-409C-BE32-E72D297353CC}">
              <c16:uniqueId val="{00000005-EEE1-4387-B0E3-7C246F89E56D}"/>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'Support activities (PB)'!$C$76:$C$77</c:f>
              <c:numCache>
                <c:formatCode>General</c:formatCode>
                <c:ptCount val="2"/>
                <c:pt idx="0">
                  <c:v>0</c:v>
                </c:pt>
                <c:pt idx="1">
                  <c:v>10</c:v>
                </c:pt>
              </c:numCache>
            </c:numRef>
          </c:xVal>
          <c:yVal>
            <c:numRef>
              <c:f>'Support activities (PB)'!$D$76:$D$77</c:f>
              <c:numCache>
                <c:formatCode>General</c:formatCode>
                <c:ptCount val="2"/>
                <c:pt idx="0">
                  <c:v>5.0990927928383341E-2</c:v>
                </c:pt>
                <c:pt idx="1">
                  <c:v>5.0990927928383341E-2</c:v>
                </c:pt>
              </c:numCache>
            </c:numRef>
          </c:yVal>
          <c:smooth val="0"/>
          <c:extLst>
            <c:ext xmlns:c16="http://schemas.microsoft.com/office/drawing/2014/chart" uri="{C3380CC4-5D6E-409C-BE32-E72D297353CC}">
              <c16:uniqueId val="{00000006-EEE1-4387-B0E3-7C246F89E56D}"/>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'Support activities (PB)'!$C$81:$C$82</c:f>
              <c:numCache>
                <c:formatCode>General</c:formatCode>
                <c:ptCount val="2"/>
                <c:pt idx="0">
                  <c:v>6.96</c:v>
                </c:pt>
                <c:pt idx="1">
                  <c:v>6.96</c:v>
                </c:pt>
              </c:numCache>
            </c:numRef>
          </c:xVal>
          <c:yVal>
            <c:numRef>
              <c:f>'Support activities (PB)'!$D$81:$D$82</c:f>
              <c:numCache>
                <c:formatCode>0.00</c:formatCode>
                <c:ptCount val="2"/>
                <c:pt idx="0" formatCode="General">
                  <c:v>0</c:v>
                </c:pt>
                <c:pt idx="1">
                  <c:v>0.14404728233107458</c:v>
                </c:pt>
              </c:numCache>
            </c:numRef>
          </c:yVal>
          <c:smooth val="0"/>
          <c:extLst>
            <c:ext xmlns:c16="http://schemas.microsoft.com/office/drawing/2014/chart" uri="{C3380CC4-5D6E-409C-BE32-E72D297353CC}">
              <c16:uniqueId val="{00000007-EEE1-4387-B0E3-7C246F89E56D}"/>
            </c:ext>
          </c:extLst>
        </c:ser>
        <c:dLbls>
          <c:showLegendKey val="0"/>
          <c:showVal val="0"/>
          <c:showCatName val="0"/>
          <c:showSerName val="0"/>
          <c:showPercent val="0"/>
          <c:showBubbleSize val="0"/>
        </c:dLbls>
        <c:axId val="314595056"/>
        <c:axId val="314594640"/>
      </c:scatterChart>
      <c:valAx>
        <c:axId val="314595056"/>
        <c:scaling>
          <c:orientation val="minMax"/>
          <c:max val="10"/>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4640"/>
        <c:crosses val="autoZero"/>
        <c:crossBetween val="midCat"/>
      </c:valAx>
      <c:valAx>
        <c:axId val="314594640"/>
        <c:scaling>
          <c:orientation val="minMax"/>
          <c:max val="0.14404728200000005"/>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5056"/>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7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Secondary biofuel, </a:t>
            </a:r>
            <a:r>
              <a:rPr lang="en-US" baseline="0"/>
              <a:t>2018</a:t>
            </a:r>
          </a:p>
        </c:rich>
      </c:tx>
      <c:layout>
        <c:manualLayout>
          <c:xMode val="edge"/>
          <c:yMode val="edge"/>
          <c:x val="0.23916666666666669"/>
          <c:y val="3.240726159230096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3334989376327958"/>
          <c:y val="0.16716666666666669"/>
          <c:w val="0.7049040744906887"/>
          <c:h val="0.66948162729658789"/>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fld id="{04600DE5-FA09-4FD4-981E-F96991C18EFC}"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E54C-47E0-B06C-0EDFCC7DCEF8}"/>
                </c:ext>
              </c:extLst>
            </c:dLbl>
            <c:dLbl>
              <c:idx val="1"/>
              <c:tx>
                <c:rich>
                  <a:bodyPr/>
                  <a:lstStyle/>
                  <a:p>
                    <a:fld id="{F8434B7C-C433-4E30-BB1C-36C90129B658}"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E54C-47E0-B06C-0EDFCC7DCEF8}"/>
                </c:ext>
              </c:extLst>
            </c:dLbl>
            <c:dLbl>
              <c:idx val="2"/>
              <c:tx>
                <c:rich>
                  <a:bodyPr/>
                  <a:lstStyle/>
                  <a:p>
                    <a:fld id="{E4B9F260-BFF8-457C-9D3E-62D78FCE0E5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E54C-47E0-B06C-0EDFCC7DCEF8}"/>
                </c:ext>
              </c:extLst>
            </c:dLbl>
            <c:dLbl>
              <c:idx val="3"/>
              <c:tx>
                <c:rich>
                  <a:bodyPr/>
                  <a:lstStyle/>
                  <a:p>
                    <a:fld id="{33577BFD-CC6C-4EEB-9C56-047A899AF8D8}"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E54C-47E0-B06C-0EDFCC7DCEF8}"/>
                </c:ext>
              </c:extLst>
            </c:dLbl>
            <c:dLbl>
              <c:idx val="4"/>
              <c:tx>
                <c:rich>
                  <a:bodyPr/>
                  <a:lstStyle/>
                  <a:p>
                    <a:fld id="{9A4DE45A-C1C0-4507-A92A-C19C9A1C2B19}"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E54C-47E0-B06C-0EDFCC7DCEF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'Support activities (SB)'!$C$70:$C$74</c:f>
              <c:numCache>
                <c:formatCode>General</c:formatCode>
                <c:ptCount val="5"/>
                <c:pt idx="0">
                  <c:v>8</c:v>
                </c:pt>
                <c:pt idx="1">
                  <c:v>10</c:v>
                </c:pt>
                <c:pt idx="2">
                  <c:v>12</c:v>
                </c:pt>
                <c:pt idx="3">
                  <c:v>10</c:v>
                </c:pt>
                <c:pt idx="4">
                  <c:v>8</c:v>
                </c:pt>
              </c:numCache>
            </c:numRef>
          </c:xVal>
          <c:yVal>
            <c:numRef>
              <c:f>'Support activities (SB)'!$D$70:$D$74</c:f>
              <c:numCache>
                <c:formatCode>General</c:formatCode>
                <c:ptCount val="5"/>
                <c:pt idx="0">
                  <c:v>5.3406717374471724E-2</c:v>
                </c:pt>
                <c:pt idx="1">
                  <c:v>0.19856147277588526</c:v>
                </c:pt>
                <c:pt idx="2">
                  <c:v>8.2222361451286974E-2</c:v>
                </c:pt>
                <c:pt idx="3">
                  <c:v>8.066001800169692E-2</c:v>
                </c:pt>
                <c:pt idx="4">
                  <c:v>3.4666260382328944E-2</c:v>
                </c:pt>
              </c:numCache>
            </c:numRef>
          </c:yVal>
          <c:smooth val="0"/>
          <c:extLst>
            <c:ext xmlns:c15="http://schemas.microsoft.com/office/drawing/2012/chart" uri="{02D57815-91ED-43cb-92C2-25804820EDAC}">
              <c15:datalabelsRange>
                <c15:f>'Support activities (SB)'!$B$70:$B$74</c15:f>
                <c15:dlblRangeCache>
                  <c:ptCount val="5"/>
                  <c:pt idx="0">
                    <c:v>GNM</c:v>
                  </c:pt>
                  <c:pt idx="1">
                    <c:v>RKM</c:v>
                  </c:pt>
                  <c:pt idx="2">
                    <c:v>FIN</c:v>
                  </c:pt>
                  <c:pt idx="3">
                    <c:v>CON</c:v>
                  </c:pt>
                  <c:pt idx="4">
                    <c:v>MNA</c:v>
                  </c:pt>
                </c15:dlblRangeCache>
              </c15:datalabelsRange>
            </c:ext>
            <c:ext xmlns:c16="http://schemas.microsoft.com/office/drawing/2014/chart" uri="{C3380CC4-5D6E-409C-BE32-E72D297353CC}">
              <c16:uniqueId val="{00000005-E54C-47E0-B06C-0EDFCC7DCEF8}"/>
            </c:ext>
          </c:extLst>
        </c:ser>
        <c:ser>
          <c:idx val="1"/>
          <c:order val="1"/>
          <c:spPr>
            <a:ln w="9525" cap="rnd">
              <a:solidFill>
                <a:schemeClr val="tx1">
                  <a:lumMod val="95000"/>
                  <a:lumOff val="5000"/>
                </a:schemeClr>
              </a:solidFill>
              <a:round/>
            </a:ln>
            <a:effectLst/>
          </c:spPr>
          <c:marker>
            <c:symbol val="circle"/>
            <c:size val="5"/>
            <c:spPr>
              <a:solidFill>
                <a:schemeClr val="accent2"/>
              </a:solidFill>
              <a:ln w="9525">
                <a:solidFill>
                  <a:schemeClr val="accent2"/>
                </a:solidFill>
              </a:ln>
              <a:effectLst/>
            </c:spPr>
          </c:marker>
          <c:xVal>
            <c:numRef>
              <c:f>'Support activities (SB)'!$C$76:$C$77</c:f>
              <c:numCache>
                <c:formatCode>General</c:formatCode>
                <c:ptCount val="2"/>
                <c:pt idx="0">
                  <c:v>0</c:v>
                </c:pt>
                <c:pt idx="1">
                  <c:v>12</c:v>
                </c:pt>
              </c:numCache>
            </c:numRef>
          </c:xVal>
          <c:yVal>
            <c:numRef>
              <c:f>'Support activities (SB)'!$D$76:$D$77</c:f>
              <c:numCache>
                <c:formatCode>General</c:formatCode>
                <c:ptCount val="2"/>
                <c:pt idx="0">
                  <c:v>6.1459893959753098E-2</c:v>
                </c:pt>
                <c:pt idx="1">
                  <c:v>6.1459893959753098E-2</c:v>
                </c:pt>
              </c:numCache>
            </c:numRef>
          </c:yVal>
          <c:smooth val="0"/>
          <c:extLst>
            <c:ext xmlns:c16="http://schemas.microsoft.com/office/drawing/2014/chart" uri="{C3380CC4-5D6E-409C-BE32-E72D297353CC}">
              <c16:uniqueId val="{00000006-E54C-47E0-B06C-0EDFCC7DCEF8}"/>
            </c:ext>
          </c:extLst>
        </c:ser>
        <c:ser>
          <c:idx val="2"/>
          <c:order val="2"/>
          <c:spPr>
            <a:ln w="9525" cap="rnd">
              <a:solidFill>
                <a:schemeClr val="tx1">
                  <a:lumMod val="95000"/>
                  <a:lumOff val="5000"/>
                </a:schemeClr>
              </a:solidFill>
              <a:round/>
            </a:ln>
            <a:effectLst/>
          </c:spPr>
          <c:marker>
            <c:symbol val="circle"/>
            <c:size val="5"/>
            <c:spPr>
              <a:solidFill>
                <a:schemeClr val="accent3"/>
              </a:solidFill>
              <a:ln w="9525">
                <a:solidFill>
                  <a:schemeClr val="accent3"/>
                </a:solidFill>
              </a:ln>
              <a:effectLst/>
            </c:spPr>
          </c:marker>
          <c:xVal>
            <c:numRef>
              <c:f>'Support activities (SB)'!$C$81:$C$82</c:f>
              <c:numCache>
                <c:formatCode>General</c:formatCode>
                <c:ptCount val="2"/>
                <c:pt idx="0">
                  <c:v>6.96</c:v>
                </c:pt>
                <c:pt idx="1">
                  <c:v>6.96</c:v>
                </c:pt>
              </c:numCache>
            </c:numRef>
          </c:xVal>
          <c:yVal>
            <c:numRef>
              <c:f>'Support activities (SB)'!$D$81:$D$82</c:f>
              <c:numCache>
                <c:formatCode>0.00</c:formatCode>
                <c:ptCount val="2"/>
                <c:pt idx="0" formatCode="General">
                  <c:v>0</c:v>
                </c:pt>
                <c:pt idx="1">
                  <c:v>0.19856147277588526</c:v>
                </c:pt>
              </c:numCache>
            </c:numRef>
          </c:yVal>
          <c:smooth val="0"/>
          <c:extLst>
            <c:ext xmlns:c16="http://schemas.microsoft.com/office/drawing/2014/chart" uri="{C3380CC4-5D6E-409C-BE32-E72D297353CC}">
              <c16:uniqueId val="{00000007-E54C-47E0-B06C-0EDFCC7DCEF8}"/>
            </c:ext>
          </c:extLst>
        </c:ser>
        <c:dLbls>
          <c:showLegendKey val="0"/>
          <c:showVal val="0"/>
          <c:showCatName val="0"/>
          <c:showSerName val="0"/>
          <c:showPercent val="0"/>
          <c:showBubbleSize val="0"/>
        </c:dLbls>
        <c:axId val="314595056"/>
        <c:axId val="314594640"/>
      </c:scatterChart>
      <c:valAx>
        <c:axId val="314595056"/>
        <c:scaling>
          <c:orientation val="minMax"/>
          <c:max val="12"/>
          <c:min val="0"/>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Prevalence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4640"/>
        <c:crosses val="autoZero"/>
        <c:crossBetween val="midCat"/>
      </c:valAx>
      <c:valAx>
        <c:axId val="314594640"/>
        <c:scaling>
          <c:orientation val="minMax"/>
          <c:max val="0.19856147300000004"/>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Significance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95000"/>
                <a:lumOff val="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95056"/>
        <c:crosses val="autoZero"/>
        <c:crossBetween val="midCat"/>
      </c:valAx>
      <c:spPr>
        <a:noFill/>
        <a:ln>
          <a:solidFill>
            <a:schemeClr val="tx1">
              <a:lumMod val="95000"/>
              <a:lumOff val="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_rels/drawing1.xml.rels><?xml version="1.0" encoding="UTF-8" standalone="yes"?>
<Relationships xmlns="http://schemas.openxmlformats.org/package/2006/relationships"><Relationship Id="rId1" Type="http://schemas.openxmlformats.org/officeDocument/2006/relationships/image" Target="../media/image1.png"/></Relationships>
</file>

<file path=word/drawings/_rels/drawing2.xml.rels><?xml version="1.0" encoding="UTF-8" standalone="yes"?>
<Relationships xmlns="http://schemas.openxmlformats.org/package/2006/relationships"><Relationship Id="rId1" Type="http://schemas.openxmlformats.org/officeDocument/2006/relationships/image" Target="../media/image1.png"/></Relationships>
</file>

<file path=word/drawings/_rels/drawing3.xml.rels><?xml version="1.0" encoding="UTF-8" standalone="yes"?>
<Relationships xmlns="http://schemas.openxmlformats.org/package/2006/relationships"><Relationship Id="rId1" Type="http://schemas.openxmlformats.org/officeDocument/2006/relationships/image" Target="../media/image2.png"/></Relationships>
</file>

<file path=word/drawings/_rels/drawing4.xml.rels><?xml version="1.0" encoding="UTF-8" standalone="yes"?>
<Relationships xmlns="http://schemas.openxmlformats.org/package/2006/relationships"><Relationship Id="rId1" Type="http://schemas.openxmlformats.org/officeDocument/2006/relationships/image" Target="../media/image2.png"/></Relationships>
</file>

<file path=word/drawings/_rels/drawing5.xml.rels><?xml version="1.0" encoding="UTF-8" standalone="yes"?>
<Relationships xmlns="http://schemas.openxmlformats.org/package/2006/relationships"><Relationship Id="rId1" Type="http://schemas.openxmlformats.org/officeDocument/2006/relationships/image" Target="../media/image1.png"/></Relationships>
</file>

<file path=word/drawings/_rels/drawing6.xml.rels><?xml version="1.0" encoding="UTF-8" standalone="yes"?>
<Relationships xmlns="http://schemas.openxmlformats.org/package/2006/relationships"><Relationship Id="rId1" Type="http://schemas.openxmlformats.org/officeDocument/2006/relationships/image" Target="../media/image1.png"/></Relationships>
</file>

<file path=word/drawings/drawing1.xml><?xml version="1.0" encoding="utf-8"?>
<c:userShapes xmlns:c="http://schemas.openxmlformats.org/drawingml/2006/chart">
  <cdr:relSizeAnchor xmlns:cdr="http://schemas.openxmlformats.org/drawingml/2006/chartDrawing">
    <cdr:from>
      <cdr:x>0.91999</cdr:x>
      <cdr:y>0.17662</cdr:y>
    </cdr:from>
    <cdr:to>
      <cdr:x>1</cdr:x>
      <cdr:y>0.27454</cdr:y>
    </cdr:to>
    <cdr:pic>
      <cdr:nvPicPr>
        <cdr:cNvPr id="2" name="chart">
          <a:extLst xmlns:a="http://schemas.openxmlformats.org/drawingml/2006/main">
            <a:ext uri="{FF2B5EF4-FFF2-40B4-BE49-F238E27FC236}">
              <a16:creationId xmlns:a16="http://schemas.microsoft.com/office/drawing/2014/main" id="{4C0953E0-DAE5-2490-3DFB-F690E5E58FAF}"/>
            </a:ext>
          </a:extLst>
        </cdr:cNvPr>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4206208" y="450850"/>
          <a:ext cx="365792" cy="249958"/>
        </a:xfrm>
        <a:prstGeom xmlns:a="http://schemas.openxmlformats.org/drawingml/2006/main" prst="rect">
          <a:avLst/>
        </a:prstGeom>
      </cdr:spPr>
    </cdr:pic>
  </cdr:relSizeAnchor>
</c:userShapes>
</file>

<file path=word/drawings/drawing2.xml><?xml version="1.0" encoding="utf-8"?>
<c:userShapes xmlns:c="http://schemas.openxmlformats.org/drawingml/2006/chart">
  <cdr:relSizeAnchor xmlns:cdr="http://schemas.openxmlformats.org/drawingml/2006/chartDrawing">
    <cdr:from>
      <cdr:x>0.91389</cdr:x>
      <cdr:y>0.16704</cdr:y>
    </cdr:from>
    <cdr:to>
      <cdr:x>0.9939</cdr:x>
      <cdr:y>0.2559</cdr:y>
    </cdr:to>
    <cdr:pic>
      <cdr:nvPicPr>
        <cdr:cNvPr id="2" name="chart">
          <a:extLst xmlns:a="http://schemas.openxmlformats.org/drawingml/2006/main">
            <a:ext uri="{FF2B5EF4-FFF2-40B4-BE49-F238E27FC236}">
              <a16:creationId xmlns:a16="http://schemas.microsoft.com/office/drawing/2014/main" id="{B64E47DA-8F87-5D45-D6A4-EEA4116987AD}"/>
            </a:ext>
          </a:extLst>
        </cdr:cNvPr>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4178300" y="469900"/>
          <a:ext cx="365792" cy="249958"/>
        </a:xfrm>
        <a:prstGeom xmlns:a="http://schemas.openxmlformats.org/drawingml/2006/main" prst="rect">
          <a:avLst/>
        </a:prstGeom>
      </cdr:spPr>
    </cdr:pic>
  </cdr:relSizeAnchor>
</c:userShapes>
</file>

<file path=word/drawings/drawing3.xml><?xml version="1.0" encoding="utf-8"?>
<c:userShapes xmlns:c="http://schemas.openxmlformats.org/drawingml/2006/chart">
  <cdr:relSizeAnchor xmlns:cdr="http://schemas.openxmlformats.org/drawingml/2006/chartDrawing">
    <cdr:from>
      <cdr:x>0.68254</cdr:x>
      <cdr:y>0.16667</cdr:y>
    </cdr:from>
    <cdr:to>
      <cdr:x>0.78373</cdr:x>
      <cdr:y>0.25144</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2184401" y="381000"/>
          <a:ext cx="323849" cy="193799"/>
        </a:xfrm>
        <a:prstGeom xmlns:a="http://schemas.openxmlformats.org/drawingml/2006/main" prst="rect">
          <a:avLst/>
        </a:prstGeom>
      </cdr:spPr>
    </cdr:pic>
  </cdr:relSizeAnchor>
</c:userShapes>
</file>

<file path=word/drawings/drawing4.xml><?xml version="1.0" encoding="utf-8"?>
<c:userShapes xmlns:c="http://schemas.openxmlformats.org/drawingml/2006/chart">
  <cdr:relSizeAnchor xmlns:cdr="http://schemas.openxmlformats.org/drawingml/2006/chartDrawing">
    <cdr:from>
      <cdr:x>0.74802</cdr:x>
      <cdr:y>0.16667</cdr:y>
    </cdr:from>
    <cdr:to>
      <cdr:x>0.83532</cdr:x>
      <cdr:y>0.23981</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2393951" y="381000"/>
          <a:ext cx="279399" cy="167199"/>
        </a:xfrm>
        <a:prstGeom xmlns:a="http://schemas.openxmlformats.org/drawingml/2006/main" prst="rect">
          <a:avLst/>
        </a:prstGeom>
      </cdr:spPr>
    </cdr:pic>
  </cdr:relSizeAnchor>
</c:userShapes>
</file>

<file path=word/drawings/drawing5.xml><?xml version="1.0" encoding="utf-8"?>
<c:userShapes xmlns:c="http://schemas.openxmlformats.org/drawingml/2006/chart">
  <cdr:relSizeAnchor xmlns:cdr="http://schemas.openxmlformats.org/drawingml/2006/chartDrawing">
    <cdr:from>
      <cdr:x>0.91999</cdr:x>
      <cdr:y>0.17662</cdr:y>
    </cdr:from>
    <cdr:to>
      <cdr:x>1</cdr:x>
      <cdr:y>0.27454</cdr:y>
    </cdr:to>
    <cdr:pic>
      <cdr:nvPicPr>
        <cdr:cNvPr id="3" name="chart">
          <a:extLst xmlns:a="http://schemas.openxmlformats.org/drawingml/2006/main">
            <a:ext uri="{FF2B5EF4-FFF2-40B4-BE49-F238E27FC236}">
              <a16:creationId xmlns:a16="http://schemas.microsoft.com/office/drawing/2014/main" id="{CF324539-8410-03F3-DEF8-E1E6C94B213E}"/>
            </a:ext>
          </a:extLst>
        </cdr:cNvPr>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4206208" y="450850"/>
          <a:ext cx="365792" cy="249958"/>
        </a:xfrm>
        <a:prstGeom xmlns:a="http://schemas.openxmlformats.org/drawingml/2006/main" prst="rect">
          <a:avLst/>
        </a:prstGeom>
      </cdr:spPr>
    </cdr:pic>
  </cdr:relSizeAnchor>
</c:userShapes>
</file>

<file path=word/drawings/drawing6.xml><?xml version="1.0" encoding="utf-8"?>
<c:userShapes xmlns:c="http://schemas.openxmlformats.org/drawingml/2006/chart">
  <cdr:relSizeAnchor xmlns:cdr="http://schemas.openxmlformats.org/drawingml/2006/chartDrawing">
    <cdr:from>
      <cdr:x>0.91528</cdr:x>
      <cdr:y>0.17381</cdr:y>
    </cdr:from>
    <cdr:to>
      <cdr:x>0.99528</cdr:x>
      <cdr:y>0.26267</cdr:y>
    </cdr:to>
    <cdr:pic>
      <cdr:nvPicPr>
        <cdr:cNvPr id="2" name="chart">
          <a:extLst xmlns:a="http://schemas.openxmlformats.org/drawingml/2006/main">
            <a:ext uri="{FF2B5EF4-FFF2-40B4-BE49-F238E27FC236}">
              <a16:creationId xmlns:a16="http://schemas.microsoft.com/office/drawing/2014/main" id="{C395F64B-B58A-5E29-BECB-167BE31D8405}"/>
            </a:ext>
          </a:extLst>
        </cdr:cNvPr>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4184650" y="488950"/>
          <a:ext cx="365792" cy="249958"/>
        </a:xfrm>
        <a:prstGeom xmlns:a="http://schemas.openxmlformats.org/drawingml/2006/main" prst="rect">
          <a:avLst/>
        </a:prstGeom>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66188B623C2C488553BF1185B7B0A1" ma:contentTypeVersion="4" ma:contentTypeDescription="Create a new document." ma:contentTypeScope="" ma:versionID="7c3c27900aeee13f7b81724bf3842df0">
  <xsd:schema xmlns:xsd="http://www.w3.org/2001/XMLSchema" xmlns:xs="http://www.w3.org/2001/XMLSchema" xmlns:p="http://schemas.microsoft.com/office/2006/metadata/properties" xmlns:ns3="9217543d-8e03-41c0-97e8-0c3050a0c14d" targetNamespace="http://schemas.microsoft.com/office/2006/metadata/properties" ma:root="true" ma:fieldsID="6977928783bbc93d8a5f4e0fc8aa9e5a" ns3:_="">
    <xsd:import namespace="9217543d-8e03-41c0-97e8-0c3050a0c14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543d-8e03-41c0-97e8-0c3050a0c1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17C1D-DB99-4D92-908F-54C40CF3203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9330C5-CD52-4E77-A7BD-7A766B44CB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543d-8e03-41c0-97e8-0c3050a0c1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C24491-4B88-41F0-B5F6-43858ECA2E44}">
  <ds:schemaRefs>
    <ds:schemaRef ds:uri="http://schemas.microsoft.com/sharepoint/v3/contenttype/forms"/>
  </ds:schemaRefs>
</ds:datastoreItem>
</file>

<file path=customXml/itemProps4.xml><?xml version="1.0" encoding="utf-8"?>
<ds:datastoreItem xmlns:ds="http://schemas.openxmlformats.org/officeDocument/2006/customXml" ds:itemID="{D9033CC2-A532-4CEB-91E8-4670301A6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137</Pages>
  <Words>44140</Words>
  <Characters>251600</Characters>
  <Application>Microsoft Office Word</Application>
  <DocSecurity>0</DocSecurity>
  <Lines>2096</Lines>
  <Paragraphs>590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Bista, Bishal</dc:creator>
  <cp:lastModifiedBy>Bista, Bishal</cp:lastModifiedBy>
  <cp:revision>40</cp:revision>
  <dcterms:created xsi:type="dcterms:W3CDTF">2023-04-19T21:29:00Z</dcterms:created>
  <dcterms:modified xsi:type="dcterms:W3CDTF">2023-04-21T17:01:00Z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0x010100C966188B623C2C488553BF1185B7B0A1</vt:lpwstr>
  </property>
  <property fmtid="{D5CDD505-2E9C-101B-9397-08002B2CF9AE}" pid="3" name="ZOTERO_PREF_1">
    <vt:lpwstr>&lt;data data-version="3" zotero-version="6.0.23"&gt;&lt;session id="cVBQBHGu"/&gt;&lt;style id="http://www.zotero.org/styles/apa" locale="en-US" hasBibliography="1" bibliographyStyleHasBeenSet="1"/&gt;&lt;prefs&gt;&lt;pref name="fieldType" value="Field"/&gt;&lt;pref name="automaticJourn</vt:lpwstr>
  </property>
  <property fmtid="{D5CDD505-2E9C-101B-9397-08002B2CF9AE}" pid="4" name="ZOTERO_PREF_2">
    <vt:lpwstr>alAbbreviations" value="true"/&gt;&lt;/prefs&gt;&lt;/data&gt;</vt:lpwstr>
  </property>
  <property fmtid="{D5CDD505-2E9C-101B-9397-08002B2CF9AE}" pid="5" name="GrammarlyDocumentId">
    <vt:lpwstr>5de6026883739b91662e9e625d8aa647fae5b4068216ca95610d8fa11e043e6c</vt:lpwstr>
  </property>
</Properties>
</file>